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54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 Отец Гринева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 Пьяный француз спал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на учителя, и отец Гринева явился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 Разгневанный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урок. Пьяный француз спал,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а Петя мастерил из географической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змея. Разгневанный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отец выгнал француза. На том учеба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Модели случайных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55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27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Уважаемый Директору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йацуауу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