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  <w:r>
              <w:rPr>
                <w:rFonts w:ascii="Times New Roman" w:hAnsi="Times New Roman"/>
                <w:sz w:val="24"/>
              </w:rPr>
              <w:t xml:space="preserve">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  <w:r>
              <w:rPr>
                <w:rFonts w:ascii="Times New Roman" w:hAnsi="Times New Roman"/>
                <w:sz w:val="24"/>
              </w:rPr>
              <w:t xml:space="preserve">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br/>
              <w:t>Ключ</w:t>
              <w:br/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br/>
              <w:t>Ключ, от 21.04.2006</w:t>
              <w:br/>
              <w:t xml:space="preserve"> зявление, от 21.04.2006</w:t>
              <w:br/>
              <w:t>Одна строка схема, от 21.04.2006</w:t>
              <w:br/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br/>
              <w:t>Ключ, от 21.05.2006</w:t>
              <w:br/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br/>
              <w:t>Одна строка схема</w:t>
              <w:br/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br/>
              <w:t>Одна строка схема, от 21.07.2006</w:t>
              <w:br/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21.04.2006, от 21.04.2006,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Одна строка схема,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