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D1AB45" w14:textId="77777777" w:rsidR="00964BF9" w:rsidRPr="00964BF9" w:rsidRDefault="00964BF9" w:rsidP="00964BF9">
      <w:r w:rsidRPr="00964BF9">
        <w:t>Based on my review of the monthly research schedule and the three new issue reports, here's a comprehensive summary:</w:t>
      </w:r>
    </w:p>
    <w:p w14:paraId="44A452C1" w14:textId="77777777" w:rsidR="00964BF9" w:rsidRPr="00964BF9" w:rsidRDefault="00964BF9" w:rsidP="00964BF9">
      <w:pPr>
        <w:rPr>
          <w:b/>
          <w:bCs/>
        </w:rPr>
      </w:pPr>
      <w:r w:rsidRPr="00964BF9">
        <w:rPr>
          <w:b/>
          <w:bCs/>
        </w:rPr>
        <w:t>Summary of New Issue Reports</w:t>
      </w:r>
    </w:p>
    <w:p w14:paraId="6F078409" w14:textId="77777777" w:rsidR="00964BF9" w:rsidRPr="00964BF9" w:rsidRDefault="00964BF9" w:rsidP="00964BF9">
      <w:pPr>
        <w:rPr>
          <w:b/>
          <w:bCs/>
        </w:rPr>
      </w:pPr>
      <w:r w:rsidRPr="00964BF9">
        <w:rPr>
          <w:b/>
          <w:bCs/>
        </w:rPr>
        <w:t>1. OWN Equipment Fund II LLC (June 25, 2025)</w:t>
      </w:r>
    </w:p>
    <w:p w14:paraId="0E6149E1" w14:textId="77777777" w:rsidR="00964BF9" w:rsidRPr="00964BF9" w:rsidRDefault="00964BF9" w:rsidP="00964BF9">
      <w:r w:rsidRPr="00964BF9">
        <w:rPr>
          <w:b/>
          <w:bCs/>
        </w:rPr>
        <w:t>Deal Size:</w:t>
      </w:r>
      <w:r w:rsidRPr="00964BF9">
        <w:t xml:space="preserve"> $227.78 million </w:t>
      </w:r>
      <w:r w:rsidRPr="00964BF9">
        <w:rPr>
          <w:b/>
          <w:bCs/>
        </w:rPr>
        <w:t>Issuer/Manager:</w:t>
      </w:r>
      <w:r w:rsidRPr="00964BF9">
        <w:t xml:space="preserve"> EquipmentShare.com Inc. (EQS)</w:t>
      </w:r>
    </w:p>
    <w:p w14:paraId="455BF2E9" w14:textId="77777777" w:rsidR="00964BF9" w:rsidRPr="00964BF9" w:rsidRDefault="00964BF9" w:rsidP="00964BF9">
      <w:r w:rsidRPr="00964BF9">
        <w:rPr>
          <w:b/>
          <w:bCs/>
        </w:rPr>
        <w:t>Collateral Characteristics:</w:t>
      </w:r>
    </w:p>
    <w:p w14:paraId="7382BAFE" w14:textId="77777777" w:rsidR="00964BF9" w:rsidRPr="00964BF9" w:rsidRDefault="00964BF9" w:rsidP="00964BF9">
      <w:pPr>
        <w:numPr>
          <w:ilvl w:val="0"/>
          <w:numId w:val="1"/>
        </w:numPr>
      </w:pPr>
      <w:r w:rsidRPr="00964BF9">
        <w:rPr>
          <w:b/>
          <w:bCs/>
        </w:rPr>
        <w:t>Type:</w:t>
      </w:r>
      <w:r w:rsidRPr="00964BF9">
        <w:t xml:space="preserve"> Construction equipment rental portfolio (5,291 pieces)</w:t>
      </w:r>
    </w:p>
    <w:p w14:paraId="794CA71E" w14:textId="77777777" w:rsidR="00964BF9" w:rsidRPr="00964BF9" w:rsidRDefault="00964BF9" w:rsidP="00964BF9">
      <w:pPr>
        <w:numPr>
          <w:ilvl w:val="0"/>
          <w:numId w:val="1"/>
        </w:numPr>
      </w:pPr>
      <w:r w:rsidRPr="00964BF9">
        <w:rPr>
          <w:b/>
          <w:bCs/>
        </w:rPr>
        <w:t>NOLV:</w:t>
      </w:r>
      <w:r w:rsidRPr="00964BF9">
        <w:t xml:space="preserve"> $274.4 million as of April 30, 2025</w:t>
      </w:r>
    </w:p>
    <w:p w14:paraId="0CB42C0D" w14:textId="77777777" w:rsidR="00964BF9" w:rsidRPr="00964BF9" w:rsidRDefault="00964BF9" w:rsidP="00964BF9">
      <w:pPr>
        <w:numPr>
          <w:ilvl w:val="0"/>
          <w:numId w:val="1"/>
        </w:numPr>
      </w:pPr>
      <w:r w:rsidRPr="00964BF9">
        <w:rPr>
          <w:b/>
          <w:bCs/>
        </w:rPr>
        <w:t>Equipment Mix:</w:t>
      </w:r>
      <w:r w:rsidRPr="00964BF9">
        <w:t xml:space="preserve"> 9 equipment types from 10 manufacturers </w:t>
      </w:r>
    </w:p>
    <w:p w14:paraId="770AB5D4" w14:textId="77777777" w:rsidR="00964BF9" w:rsidRPr="00964BF9" w:rsidRDefault="00964BF9" w:rsidP="00964BF9">
      <w:pPr>
        <w:numPr>
          <w:ilvl w:val="1"/>
          <w:numId w:val="1"/>
        </w:numPr>
      </w:pPr>
      <w:r w:rsidRPr="00964BF9">
        <w:t>Telehandlers: 36.60%</w:t>
      </w:r>
    </w:p>
    <w:p w14:paraId="70EE6E50" w14:textId="77777777" w:rsidR="00964BF9" w:rsidRPr="00964BF9" w:rsidRDefault="00964BF9" w:rsidP="00964BF9">
      <w:pPr>
        <w:numPr>
          <w:ilvl w:val="1"/>
          <w:numId w:val="1"/>
        </w:numPr>
      </w:pPr>
      <w:r w:rsidRPr="00964BF9">
        <w:t>Telescopic Boom Lifts: 24.60%</w:t>
      </w:r>
    </w:p>
    <w:p w14:paraId="060AED46" w14:textId="77777777" w:rsidR="00964BF9" w:rsidRPr="00964BF9" w:rsidRDefault="00964BF9" w:rsidP="00964BF9">
      <w:pPr>
        <w:numPr>
          <w:ilvl w:val="1"/>
          <w:numId w:val="1"/>
        </w:numPr>
      </w:pPr>
      <w:r w:rsidRPr="00964BF9">
        <w:t>Scissor Lifts: 12.28%</w:t>
      </w:r>
    </w:p>
    <w:p w14:paraId="6C3D53CB" w14:textId="77777777" w:rsidR="00964BF9" w:rsidRPr="00964BF9" w:rsidRDefault="00964BF9" w:rsidP="00964BF9">
      <w:pPr>
        <w:numPr>
          <w:ilvl w:val="0"/>
          <w:numId w:val="1"/>
        </w:numPr>
      </w:pPr>
      <w:r w:rsidRPr="00964BF9">
        <w:rPr>
          <w:b/>
          <w:bCs/>
        </w:rPr>
        <w:t>Geographic:</w:t>
      </w:r>
      <w:r w:rsidRPr="00964BF9">
        <w:t xml:space="preserve"> Diversified across 44 states</w:t>
      </w:r>
    </w:p>
    <w:p w14:paraId="07C489E3" w14:textId="77777777" w:rsidR="00964BF9" w:rsidRPr="00964BF9" w:rsidRDefault="00964BF9" w:rsidP="00964BF9">
      <w:pPr>
        <w:numPr>
          <w:ilvl w:val="0"/>
          <w:numId w:val="1"/>
        </w:numPr>
      </w:pPr>
      <w:r w:rsidRPr="00964BF9">
        <w:rPr>
          <w:b/>
          <w:bCs/>
        </w:rPr>
        <w:t>Weighted Average Age:</w:t>
      </w:r>
      <w:r w:rsidRPr="00964BF9">
        <w:t xml:space="preserve"> 24 months (</w:t>
      </w:r>
      <w:proofErr w:type="gramStart"/>
      <w:r w:rsidRPr="00964BF9">
        <w:t>0-46 month</w:t>
      </w:r>
      <w:proofErr w:type="gramEnd"/>
      <w:r w:rsidRPr="00964BF9">
        <w:t xml:space="preserve"> range)</w:t>
      </w:r>
    </w:p>
    <w:p w14:paraId="19EA75C0" w14:textId="77777777" w:rsidR="00964BF9" w:rsidRPr="00964BF9" w:rsidRDefault="00964BF9" w:rsidP="00964BF9">
      <w:r w:rsidRPr="00964BF9">
        <w:rPr>
          <w:b/>
          <w:bCs/>
        </w:rPr>
        <w:t>Capital Structure &amp; Ratings:</w:t>
      </w:r>
    </w:p>
    <w:p w14:paraId="52B407A3" w14:textId="77777777" w:rsidR="00964BF9" w:rsidRPr="00964BF9" w:rsidRDefault="00964BF9" w:rsidP="00964BF9">
      <w:pPr>
        <w:numPr>
          <w:ilvl w:val="0"/>
          <w:numId w:val="2"/>
        </w:numPr>
      </w:pPr>
      <w:r w:rsidRPr="00964BF9">
        <w:rPr>
          <w:b/>
          <w:bCs/>
        </w:rPr>
        <w:t>Class A:</w:t>
      </w:r>
      <w:r w:rsidRPr="00964BF9">
        <w:t xml:space="preserve"> $203.34M, 5.48%, A(sf), 74.10% advance rate</w:t>
      </w:r>
    </w:p>
    <w:p w14:paraId="5F95DD97" w14:textId="77777777" w:rsidR="00964BF9" w:rsidRPr="00964BF9" w:rsidRDefault="00964BF9" w:rsidP="00964BF9">
      <w:pPr>
        <w:numPr>
          <w:ilvl w:val="0"/>
          <w:numId w:val="2"/>
        </w:numPr>
      </w:pPr>
      <w:r w:rsidRPr="00964BF9">
        <w:rPr>
          <w:b/>
          <w:bCs/>
        </w:rPr>
        <w:t>Class B:</w:t>
      </w:r>
      <w:r w:rsidRPr="00964BF9">
        <w:t xml:space="preserve"> $11.81M, 6.31%, BBB-(sf), 78.40% advance rate</w:t>
      </w:r>
    </w:p>
    <w:p w14:paraId="1362E0D8" w14:textId="77777777" w:rsidR="00964BF9" w:rsidRPr="00964BF9" w:rsidRDefault="00964BF9" w:rsidP="00964BF9">
      <w:pPr>
        <w:numPr>
          <w:ilvl w:val="0"/>
          <w:numId w:val="2"/>
        </w:numPr>
      </w:pPr>
      <w:r w:rsidRPr="00964BF9">
        <w:rPr>
          <w:b/>
          <w:bCs/>
        </w:rPr>
        <w:t>Class C:</w:t>
      </w:r>
      <w:r w:rsidRPr="00964BF9">
        <w:t xml:space="preserve"> $12.63M, 9.02%, BB-(sf), 83.00% advance rate</w:t>
      </w:r>
    </w:p>
    <w:p w14:paraId="53588307" w14:textId="77777777" w:rsidR="00964BF9" w:rsidRPr="00964BF9" w:rsidRDefault="00964BF9" w:rsidP="00964BF9">
      <w:r w:rsidRPr="00964BF9">
        <w:rPr>
          <w:b/>
          <w:bCs/>
        </w:rPr>
        <w:t>Credit Enhancement:</w:t>
      </w:r>
    </w:p>
    <w:p w14:paraId="05A7851A" w14:textId="77777777" w:rsidR="00964BF9" w:rsidRPr="00964BF9" w:rsidRDefault="00964BF9" w:rsidP="00964BF9">
      <w:pPr>
        <w:numPr>
          <w:ilvl w:val="0"/>
          <w:numId w:val="3"/>
        </w:numPr>
      </w:pPr>
      <w:r w:rsidRPr="00964BF9">
        <w:t>Initial overcollateralization: ~17.0%</w:t>
      </w:r>
    </w:p>
    <w:p w14:paraId="06A9FCF5" w14:textId="77777777" w:rsidR="00964BF9" w:rsidRPr="00964BF9" w:rsidRDefault="00964BF9" w:rsidP="00964BF9">
      <w:pPr>
        <w:numPr>
          <w:ilvl w:val="0"/>
          <w:numId w:val="3"/>
        </w:numPr>
      </w:pPr>
      <w:r w:rsidRPr="00964BF9">
        <w:t>Required OC maintenance: 16.85% (Liquidation Event trigger)</w:t>
      </w:r>
    </w:p>
    <w:p w14:paraId="4259F38F" w14:textId="77777777" w:rsidR="00964BF9" w:rsidRPr="00964BF9" w:rsidRDefault="00964BF9" w:rsidP="00964BF9">
      <w:pPr>
        <w:numPr>
          <w:ilvl w:val="0"/>
          <w:numId w:val="3"/>
        </w:numPr>
      </w:pPr>
      <w:r w:rsidRPr="00964BF9">
        <w:t>Reserve account: $5.7M (4 months interest/fees)</w:t>
      </w:r>
    </w:p>
    <w:p w14:paraId="0FE18367" w14:textId="77777777" w:rsidR="00964BF9" w:rsidRPr="00964BF9" w:rsidRDefault="00964BF9" w:rsidP="00964BF9">
      <w:pPr>
        <w:numPr>
          <w:ilvl w:val="0"/>
          <w:numId w:val="3"/>
        </w:numPr>
      </w:pPr>
      <w:r w:rsidRPr="00964BF9">
        <w:t>Management fee reserve: Up to 6 months deferred fees</w:t>
      </w:r>
    </w:p>
    <w:p w14:paraId="597AC0B6" w14:textId="77777777" w:rsidR="00964BF9" w:rsidRPr="00964BF9" w:rsidRDefault="00964BF9" w:rsidP="00964BF9">
      <w:pPr>
        <w:numPr>
          <w:ilvl w:val="0"/>
          <w:numId w:val="3"/>
        </w:numPr>
      </w:pPr>
      <w:r w:rsidRPr="00964BF9">
        <w:rPr>
          <w:b/>
          <w:bCs/>
        </w:rPr>
        <w:t>Key Risk:</w:t>
      </w:r>
      <w:r w:rsidRPr="00964BF9">
        <w:t xml:space="preserve"> Equipment liquidation upon Manager Termination Event</w:t>
      </w:r>
    </w:p>
    <w:p w14:paraId="553FEC18" w14:textId="77777777" w:rsidR="00964BF9" w:rsidRPr="00964BF9" w:rsidRDefault="00964BF9" w:rsidP="00964BF9">
      <w:r w:rsidRPr="00964BF9">
        <w:rPr>
          <w:b/>
          <w:bCs/>
        </w:rPr>
        <w:t>Unique Features:</w:t>
      </w:r>
    </w:p>
    <w:p w14:paraId="105136BA" w14:textId="77777777" w:rsidR="00964BF9" w:rsidRPr="00964BF9" w:rsidRDefault="00964BF9" w:rsidP="00964BF9">
      <w:pPr>
        <w:numPr>
          <w:ilvl w:val="0"/>
          <w:numId w:val="4"/>
        </w:numPr>
      </w:pPr>
      <w:proofErr w:type="gramStart"/>
      <w:r w:rsidRPr="00964BF9">
        <w:t>Equipment rental model</w:t>
      </w:r>
      <w:proofErr w:type="gramEnd"/>
      <w:r w:rsidRPr="00964BF9">
        <w:t xml:space="preserve"> with month-to-month leases</w:t>
      </w:r>
    </w:p>
    <w:p w14:paraId="16AD4787" w14:textId="77777777" w:rsidR="00964BF9" w:rsidRPr="00964BF9" w:rsidRDefault="00964BF9" w:rsidP="00964BF9">
      <w:pPr>
        <w:numPr>
          <w:ilvl w:val="0"/>
          <w:numId w:val="4"/>
        </w:numPr>
      </w:pPr>
      <w:r w:rsidRPr="00964BF9">
        <w:lastRenderedPageBreak/>
        <w:t>Rating based on liquidation analysis due to short rental terms</w:t>
      </w:r>
    </w:p>
    <w:p w14:paraId="109DC43D" w14:textId="77777777" w:rsidR="00964BF9" w:rsidRPr="00964BF9" w:rsidRDefault="00964BF9" w:rsidP="00964BF9">
      <w:pPr>
        <w:numPr>
          <w:ilvl w:val="0"/>
          <w:numId w:val="4"/>
        </w:numPr>
      </w:pPr>
      <w:r w:rsidRPr="00964BF9">
        <w:t>Stay risk in bankruptcy requiring court petition for equipment recovery</w:t>
      </w:r>
    </w:p>
    <w:p w14:paraId="0F7E027F" w14:textId="77777777" w:rsidR="00964BF9" w:rsidRPr="00964BF9" w:rsidRDefault="00964BF9" w:rsidP="00964BF9">
      <w:r w:rsidRPr="00964BF9">
        <w:pict w14:anchorId="63D05FCD">
          <v:rect id="_x0000_i1025" style="width:0;height:1.5pt" o:hralign="center" o:hrstd="t" o:hr="t" fillcolor="#a0a0a0" stroked="f"/>
        </w:pict>
      </w:r>
    </w:p>
    <w:p w14:paraId="70328DA9" w14:textId="77777777" w:rsidR="00964BF9" w:rsidRPr="00964BF9" w:rsidRDefault="00964BF9" w:rsidP="00964BF9">
      <w:pPr>
        <w:rPr>
          <w:b/>
          <w:bCs/>
        </w:rPr>
      </w:pPr>
      <w:r w:rsidRPr="00964BF9">
        <w:rPr>
          <w:b/>
          <w:bCs/>
        </w:rPr>
        <w:t>2. PEAC Solutions Receivables 2025-1 (February 11, 2025)</w:t>
      </w:r>
    </w:p>
    <w:p w14:paraId="5E719031" w14:textId="77777777" w:rsidR="00964BF9" w:rsidRPr="00964BF9" w:rsidRDefault="00964BF9" w:rsidP="00964BF9">
      <w:r w:rsidRPr="00964BF9">
        <w:rPr>
          <w:b/>
          <w:bCs/>
        </w:rPr>
        <w:t>Deal Size:</w:t>
      </w:r>
      <w:r w:rsidRPr="00964BF9">
        <w:t xml:space="preserve"> $687.27 million </w:t>
      </w:r>
      <w:r w:rsidRPr="00964BF9">
        <w:rPr>
          <w:b/>
          <w:bCs/>
        </w:rPr>
        <w:t>Servicer:</w:t>
      </w:r>
      <w:r w:rsidRPr="00964BF9">
        <w:t xml:space="preserve"> PEAC Solutions (d/b/a Marlin Leasing Corporation)</w:t>
      </w:r>
    </w:p>
    <w:p w14:paraId="45B5951F" w14:textId="77777777" w:rsidR="00964BF9" w:rsidRPr="00964BF9" w:rsidRDefault="00964BF9" w:rsidP="00964BF9">
      <w:r w:rsidRPr="00964BF9">
        <w:rPr>
          <w:b/>
          <w:bCs/>
        </w:rPr>
        <w:t>Collateral Characteristics:</w:t>
      </w:r>
    </w:p>
    <w:p w14:paraId="6226A0A0" w14:textId="77777777" w:rsidR="00964BF9" w:rsidRPr="00964BF9" w:rsidRDefault="00964BF9" w:rsidP="00964BF9">
      <w:pPr>
        <w:numPr>
          <w:ilvl w:val="0"/>
          <w:numId w:val="5"/>
        </w:numPr>
      </w:pPr>
      <w:r w:rsidRPr="00964BF9">
        <w:rPr>
          <w:b/>
          <w:bCs/>
        </w:rPr>
        <w:t>Cut-off ASV:</w:t>
      </w:r>
      <w:r w:rsidRPr="00964BF9">
        <w:t xml:space="preserve"> $766.07 million (36,306 contracts)</w:t>
      </w:r>
    </w:p>
    <w:p w14:paraId="7EECF635" w14:textId="77777777" w:rsidR="00964BF9" w:rsidRPr="00964BF9" w:rsidRDefault="00964BF9" w:rsidP="00964BF9">
      <w:pPr>
        <w:numPr>
          <w:ilvl w:val="0"/>
          <w:numId w:val="5"/>
        </w:numPr>
      </w:pPr>
      <w:r w:rsidRPr="00964BF9">
        <w:rPr>
          <w:b/>
          <w:bCs/>
        </w:rPr>
        <w:t>Receivable Mix:</w:t>
      </w:r>
      <w:r w:rsidRPr="00964BF9">
        <w:t xml:space="preserve"> </w:t>
      </w:r>
    </w:p>
    <w:p w14:paraId="63AE5885" w14:textId="77777777" w:rsidR="00964BF9" w:rsidRPr="00964BF9" w:rsidRDefault="00964BF9" w:rsidP="00964BF9">
      <w:pPr>
        <w:numPr>
          <w:ilvl w:val="1"/>
          <w:numId w:val="5"/>
        </w:numPr>
      </w:pPr>
      <w:r w:rsidRPr="00964BF9">
        <w:t>Equipment Receivables: 49.24%</w:t>
      </w:r>
    </w:p>
    <w:p w14:paraId="3286DD87" w14:textId="77777777" w:rsidR="00964BF9" w:rsidRPr="00964BF9" w:rsidRDefault="00964BF9" w:rsidP="00964BF9">
      <w:pPr>
        <w:numPr>
          <w:ilvl w:val="1"/>
          <w:numId w:val="5"/>
        </w:numPr>
      </w:pPr>
      <w:r w:rsidRPr="00964BF9">
        <w:t>Xerox Equipment Receivables: 46.10% (3 channels: Direct 9.64%, Indirect 25.91%, ADR 10.55%)</w:t>
      </w:r>
    </w:p>
    <w:p w14:paraId="7AED5D81" w14:textId="77777777" w:rsidR="00964BF9" w:rsidRPr="00964BF9" w:rsidRDefault="00964BF9" w:rsidP="00964BF9">
      <w:pPr>
        <w:numPr>
          <w:ilvl w:val="1"/>
          <w:numId w:val="5"/>
        </w:numPr>
      </w:pPr>
      <w:r w:rsidRPr="00964BF9">
        <w:t>Working Capital: 4.66%</w:t>
      </w:r>
    </w:p>
    <w:p w14:paraId="7F29196B" w14:textId="77777777" w:rsidR="00964BF9" w:rsidRPr="00964BF9" w:rsidRDefault="00964BF9" w:rsidP="00964BF9">
      <w:pPr>
        <w:numPr>
          <w:ilvl w:val="0"/>
          <w:numId w:val="5"/>
        </w:numPr>
      </w:pPr>
      <w:r w:rsidRPr="00964BF9">
        <w:rPr>
          <w:b/>
          <w:bCs/>
        </w:rPr>
        <w:t>Equipment Type:</w:t>
      </w:r>
      <w:r w:rsidRPr="00964BF9">
        <w:t xml:space="preserve"> Copiers &amp; Printing dominant (55.79%)</w:t>
      </w:r>
    </w:p>
    <w:p w14:paraId="66C10BF0" w14:textId="77777777" w:rsidR="00964BF9" w:rsidRPr="00964BF9" w:rsidRDefault="00964BF9" w:rsidP="00964BF9">
      <w:pPr>
        <w:numPr>
          <w:ilvl w:val="0"/>
          <w:numId w:val="5"/>
        </w:numPr>
      </w:pPr>
      <w:r w:rsidRPr="00964BF9">
        <w:rPr>
          <w:b/>
          <w:bCs/>
        </w:rPr>
        <w:t>Average Contract:</w:t>
      </w:r>
      <w:r w:rsidRPr="00964BF9">
        <w:t xml:space="preserve"> $21,100</w:t>
      </w:r>
    </w:p>
    <w:p w14:paraId="16F3EFF3" w14:textId="77777777" w:rsidR="00964BF9" w:rsidRPr="00964BF9" w:rsidRDefault="00964BF9" w:rsidP="00964BF9">
      <w:pPr>
        <w:numPr>
          <w:ilvl w:val="0"/>
          <w:numId w:val="5"/>
        </w:numPr>
      </w:pPr>
      <w:r w:rsidRPr="00964BF9">
        <w:rPr>
          <w:b/>
          <w:bCs/>
        </w:rPr>
        <w:t>Seasoning:</w:t>
      </w:r>
      <w:r w:rsidRPr="00964BF9">
        <w:t xml:space="preserve"> 7 months (decreased from 20 months in prior deal)</w:t>
      </w:r>
    </w:p>
    <w:p w14:paraId="2748F720" w14:textId="77777777" w:rsidR="00964BF9" w:rsidRPr="00964BF9" w:rsidRDefault="00964BF9" w:rsidP="00964BF9">
      <w:pPr>
        <w:numPr>
          <w:ilvl w:val="0"/>
          <w:numId w:val="5"/>
        </w:numPr>
      </w:pPr>
      <w:r w:rsidRPr="00964BF9">
        <w:rPr>
          <w:b/>
          <w:bCs/>
        </w:rPr>
        <w:t>Geographic:</w:t>
      </w:r>
      <w:r w:rsidRPr="00964BF9">
        <w:t xml:space="preserve"> CA (14.30%), TX (11.37%), diversified</w:t>
      </w:r>
    </w:p>
    <w:p w14:paraId="353D42CB" w14:textId="77777777" w:rsidR="00964BF9" w:rsidRPr="00964BF9" w:rsidRDefault="00964BF9" w:rsidP="00964BF9">
      <w:r w:rsidRPr="00964BF9">
        <w:rPr>
          <w:b/>
          <w:bCs/>
        </w:rPr>
        <w:t>Capital Structure &amp; Ratings:</w:t>
      </w:r>
    </w:p>
    <w:p w14:paraId="0A383A1E" w14:textId="77777777" w:rsidR="00964BF9" w:rsidRPr="00964BF9" w:rsidRDefault="00964BF9" w:rsidP="00964BF9">
      <w:pPr>
        <w:numPr>
          <w:ilvl w:val="0"/>
          <w:numId w:val="6"/>
        </w:numPr>
      </w:pPr>
      <w:r w:rsidRPr="00964BF9">
        <w:rPr>
          <w:b/>
          <w:bCs/>
        </w:rPr>
        <w:t>Class A-1:</w:t>
      </w:r>
      <w:r w:rsidRPr="00964BF9">
        <w:t xml:space="preserve"> $226.0M, 4.592%, K1+(sf), February 2026 maturity</w:t>
      </w:r>
    </w:p>
    <w:p w14:paraId="2A1A589B" w14:textId="77777777" w:rsidR="00964BF9" w:rsidRPr="00964BF9" w:rsidRDefault="00964BF9" w:rsidP="00964BF9">
      <w:pPr>
        <w:numPr>
          <w:ilvl w:val="0"/>
          <w:numId w:val="6"/>
        </w:numPr>
      </w:pPr>
      <w:r w:rsidRPr="00964BF9">
        <w:rPr>
          <w:b/>
          <w:bCs/>
        </w:rPr>
        <w:t>Class A-2:</w:t>
      </w:r>
      <w:r w:rsidRPr="00964BF9">
        <w:t xml:space="preserve"> $250.1M, 4.94%, AAA(sf), October 2028 maturity</w:t>
      </w:r>
    </w:p>
    <w:p w14:paraId="4FC605A1" w14:textId="77777777" w:rsidR="00964BF9" w:rsidRPr="00964BF9" w:rsidRDefault="00964BF9" w:rsidP="00964BF9">
      <w:pPr>
        <w:numPr>
          <w:ilvl w:val="0"/>
          <w:numId w:val="6"/>
        </w:numPr>
      </w:pPr>
      <w:r w:rsidRPr="00964BF9">
        <w:rPr>
          <w:b/>
          <w:bCs/>
        </w:rPr>
        <w:t>Class A-3:</w:t>
      </w:r>
      <w:r w:rsidRPr="00964BF9">
        <w:t xml:space="preserve"> $135.7M, 5.04%, AAA(sf), July 2032 maturity</w:t>
      </w:r>
    </w:p>
    <w:p w14:paraId="7AD2CABA" w14:textId="77777777" w:rsidR="00964BF9" w:rsidRPr="00964BF9" w:rsidRDefault="00964BF9" w:rsidP="00964BF9">
      <w:pPr>
        <w:numPr>
          <w:ilvl w:val="0"/>
          <w:numId w:val="6"/>
        </w:numPr>
      </w:pPr>
      <w:r w:rsidRPr="00964BF9">
        <w:rPr>
          <w:b/>
          <w:bCs/>
        </w:rPr>
        <w:t>Class B:</w:t>
      </w:r>
      <w:r w:rsidRPr="00964BF9">
        <w:t xml:space="preserve"> $33.1M, 5.20%, AA(sf), July 2032 maturity</w:t>
      </w:r>
    </w:p>
    <w:p w14:paraId="03B8283A" w14:textId="77777777" w:rsidR="00964BF9" w:rsidRPr="00964BF9" w:rsidRDefault="00964BF9" w:rsidP="00964BF9">
      <w:pPr>
        <w:numPr>
          <w:ilvl w:val="0"/>
          <w:numId w:val="6"/>
        </w:numPr>
      </w:pPr>
      <w:r w:rsidRPr="00964BF9">
        <w:rPr>
          <w:b/>
          <w:bCs/>
        </w:rPr>
        <w:t>Class C:</w:t>
      </w:r>
      <w:r w:rsidRPr="00964BF9">
        <w:t xml:space="preserve"> $42.3M, 5.49%, A(sf), July 2032 maturity</w:t>
      </w:r>
    </w:p>
    <w:p w14:paraId="4AEBE6DA" w14:textId="77777777" w:rsidR="00964BF9" w:rsidRPr="00964BF9" w:rsidRDefault="00964BF9" w:rsidP="00964BF9">
      <w:r w:rsidRPr="00964BF9">
        <w:rPr>
          <w:b/>
          <w:bCs/>
        </w:rPr>
        <w:t>Credit Enhancement:</w:t>
      </w:r>
    </w:p>
    <w:p w14:paraId="5704125C" w14:textId="77777777" w:rsidR="00964BF9" w:rsidRPr="00964BF9" w:rsidRDefault="00964BF9" w:rsidP="00964BF9">
      <w:pPr>
        <w:numPr>
          <w:ilvl w:val="0"/>
          <w:numId w:val="7"/>
        </w:numPr>
      </w:pPr>
      <w:r w:rsidRPr="00964BF9">
        <w:t>Initial OC: 10.70%, Target: 14.00%, Floor: 1.00%</w:t>
      </w:r>
    </w:p>
    <w:p w14:paraId="5241331B" w14:textId="77777777" w:rsidR="00964BF9" w:rsidRPr="00964BF9" w:rsidRDefault="00964BF9" w:rsidP="00964BF9">
      <w:pPr>
        <w:numPr>
          <w:ilvl w:val="0"/>
          <w:numId w:val="7"/>
        </w:numPr>
      </w:pPr>
      <w:r w:rsidRPr="00964BF9">
        <w:t>Reserve Account: 0.50% (non-amortizing)</w:t>
      </w:r>
    </w:p>
    <w:p w14:paraId="2A526AED" w14:textId="77777777" w:rsidR="00964BF9" w:rsidRPr="00964BF9" w:rsidRDefault="00964BF9" w:rsidP="00964BF9">
      <w:pPr>
        <w:numPr>
          <w:ilvl w:val="0"/>
          <w:numId w:val="7"/>
        </w:numPr>
      </w:pPr>
      <w:r w:rsidRPr="00964BF9">
        <w:t>Excess Spread: ~1.14% annually</w:t>
      </w:r>
    </w:p>
    <w:p w14:paraId="36DCD0F4" w14:textId="77777777" w:rsidR="00964BF9" w:rsidRPr="00964BF9" w:rsidRDefault="00964BF9" w:rsidP="00964BF9">
      <w:pPr>
        <w:numPr>
          <w:ilvl w:val="0"/>
          <w:numId w:val="7"/>
        </w:numPr>
      </w:pPr>
      <w:r w:rsidRPr="00964BF9">
        <w:rPr>
          <w:b/>
          <w:bCs/>
        </w:rPr>
        <w:lastRenderedPageBreak/>
        <w:t>Expected CNL:</w:t>
      </w:r>
      <w:r w:rsidRPr="00964BF9">
        <w:t xml:space="preserve"> 3.30%-3.40% (higher than prior deal due to lower seasoning)</w:t>
      </w:r>
    </w:p>
    <w:p w14:paraId="5048E5B9" w14:textId="77777777" w:rsidR="00964BF9" w:rsidRPr="00964BF9" w:rsidRDefault="00964BF9" w:rsidP="00964BF9">
      <w:r w:rsidRPr="00964BF9">
        <w:rPr>
          <w:b/>
          <w:bCs/>
        </w:rPr>
        <w:t>Key Considerations:</w:t>
      </w:r>
    </w:p>
    <w:p w14:paraId="17A1D62E" w14:textId="77777777" w:rsidR="00964BF9" w:rsidRPr="00964BF9" w:rsidRDefault="00964BF9" w:rsidP="00964BF9">
      <w:pPr>
        <w:numPr>
          <w:ilvl w:val="0"/>
          <w:numId w:val="8"/>
        </w:numPr>
      </w:pPr>
      <w:r w:rsidRPr="00964BF9">
        <w:t>Xerox partnership transition ongoing (completion expected March 2025)</w:t>
      </w:r>
    </w:p>
    <w:p w14:paraId="36A272BC" w14:textId="77777777" w:rsidR="00964BF9" w:rsidRPr="00964BF9" w:rsidRDefault="00964BF9" w:rsidP="00964BF9">
      <w:pPr>
        <w:numPr>
          <w:ilvl w:val="0"/>
          <w:numId w:val="8"/>
        </w:numPr>
      </w:pPr>
      <w:r w:rsidRPr="00964BF9">
        <w:t>Historical performance: Xerox receivables show lower losses vs. equipment/working capital</w:t>
      </w:r>
    </w:p>
    <w:p w14:paraId="11186FD7" w14:textId="77777777" w:rsidR="00964BF9" w:rsidRPr="00964BF9" w:rsidRDefault="00964BF9" w:rsidP="00964BF9">
      <w:pPr>
        <w:numPr>
          <w:ilvl w:val="0"/>
          <w:numId w:val="8"/>
        </w:numPr>
      </w:pPr>
      <w:r w:rsidRPr="00964BF9">
        <w:t>Integration risk during Xerox servicing system transition</w:t>
      </w:r>
    </w:p>
    <w:p w14:paraId="718740E7" w14:textId="77777777" w:rsidR="00964BF9" w:rsidRPr="00964BF9" w:rsidRDefault="00964BF9" w:rsidP="00964BF9">
      <w:r w:rsidRPr="00964BF9">
        <w:pict w14:anchorId="4BF81FE0">
          <v:rect id="_x0000_i1026" style="width:0;height:1.5pt" o:hralign="center" o:hrstd="t" o:hr="t" fillcolor="#a0a0a0" stroked="f"/>
        </w:pict>
      </w:r>
    </w:p>
    <w:p w14:paraId="6CD1C7CA" w14:textId="77777777" w:rsidR="00964BF9" w:rsidRPr="00964BF9" w:rsidRDefault="00964BF9" w:rsidP="00964BF9">
      <w:pPr>
        <w:rPr>
          <w:b/>
          <w:bCs/>
        </w:rPr>
      </w:pPr>
      <w:r w:rsidRPr="00964BF9">
        <w:rPr>
          <w:b/>
          <w:bCs/>
        </w:rPr>
        <w:t>3. KBRA Monthly Research Schedule Overview</w:t>
      </w:r>
    </w:p>
    <w:p w14:paraId="46EA838C" w14:textId="77777777" w:rsidR="00964BF9" w:rsidRPr="00964BF9" w:rsidRDefault="00964BF9" w:rsidP="00964BF9">
      <w:r w:rsidRPr="00964BF9">
        <w:rPr>
          <w:b/>
          <w:bCs/>
        </w:rPr>
        <w:t>Objective:</w:t>
      </w:r>
      <w:r w:rsidRPr="00964BF9">
        <w:t xml:space="preserve"> Systematic tracking and analysis of KBRA ABS publications</w:t>
      </w:r>
    </w:p>
    <w:p w14:paraId="2DC572BE" w14:textId="77777777" w:rsidR="00964BF9" w:rsidRPr="00964BF9" w:rsidRDefault="00964BF9" w:rsidP="00964BF9">
      <w:r w:rsidRPr="00964BF9">
        <w:rPr>
          <w:b/>
          <w:bCs/>
        </w:rPr>
        <w:t>Weekly Tasks:</w:t>
      </w:r>
    </w:p>
    <w:p w14:paraId="0ACFB78C" w14:textId="77777777" w:rsidR="00964BF9" w:rsidRPr="00964BF9" w:rsidRDefault="00964BF9" w:rsidP="00964BF9">
      <w:pPr>
        <w:numPr>
          <w:ilvl w:val="0"/>
          <w:numId w:val="9"/>
        </w:numPr>
      </w:pPr>
      <w:r w:rsidRPr="00964BF9">
        <w:t>New issue tracking and cataloging</w:t>
      </w:r>
    </w:p>
    <w:p w14:paraId="5DC12523" w14:textId="77777777" w:rsidR="00964BF9" w:rsidRPr="00964BF9" w:rsidRDefault="00964BF9" w:rsidP="00964BF9">
      <w:pPr>
        <w:numPr>
          <w:ilvl w:val="0"/>
          <w:numId w:val="9"/>
        </w:numPr>
      </w:pPr>
      <w:r w:rsidRPr="00964BF9">
        <w:t>Surveillance report monitoring</w:t>
      </w:r>
    </w:p>
    <w:p w14:paraId="55BAA128" w14:textId="77777777" w:rsidR="00964BF9" w:rsidRPr="00964BF9" w:rsidRDefault="00964BF9" w:rsidP="00964BF9">
      <w:pPr>
        <w:numPr>
          <w:ilvl w:val="0"/>
          <w:numId w:val="9"/>
        </w:numPr>
      </w:pPr>
      <w:r w:rsidRPr="00964BF9">
        <w:t>Market commentary extraction</w:t>
      </w:r>
    </w:p>
    <w:p w14:paraId="73C55584" w14:textId="77777777" w:rsidR="00964BF9" w:rsidRPr="00964BF9" w:rsidRDefault="00964BF9" w:rsidP="00964BF9">
      <w:pPr>
        <w:numPr>
          <w:ilvl w:val="0"/>
          <w:numId w:val="9"/>
        </w:numPr>
      </w:pPr>
      <w:r w:rsidRPr="00964BF9">
        <w:t>Standardized file naming and organization</w:t>
      </w:r>
    </w:p>
    <w:p w14:paraId="746EAEEC" w14:textId="77777777" w:rsidR="00964BF9" w:rsidRPr="00964BF9" w:rsidRDefault="00964BF9" w:rsidP="00964BF9">
      <w:r w:rsidRPr="00964BF9">
        <w:rPr>
          <w:b/>
          <w:bCs/>
        </w:rPr>
        <w:t>Monthly Tasks:</w:t>
      </w:r>
    </w:p>
    <w:p w14:paraId="55398B3E" w14:textId="77777777" w:rsidR="00964BF9" w:rsidRPr="00964BF9" w:rsidRDefault="00964BF9" w:rsidP="00964BF9">
      <w:pPr>
        <w:numPr>
          <w:ilvl w:val="0"/>
          <w:numId w:val="10"/>
        </w:numPr>
      </w:pPr>
      <w:r w:rsidRPr="00964BF9">
        <w:t>Index data updates (Consumer Loan, Auto Loan, Student Loan indices)</w:t>
      </w:r>
    </w:p>
    <w:p w14:paraId="1B9FBEF0" w14:textId="77777777" w:rsidR="00964BF9" w:rsidRPr="00964BF9" w:rsidRDefault="00964BF9" w:rsidP="00964BF9">
      <w:pPr>
        <w:numPr>
          <w:ilvl w:val="0"/>
          <w:numId w:val="10"/>
        </w:numPr>
      </w:pPr>
      <w:r w:rsidRPr="00964BF9">
        <w:t xml:space="preserve">Methodology </w:t>
      </w:r>
      <w:proofErr w:type="gramStart"/>
      <w:r w:rsidRPr="00964BF9">
        <w:t>change</w:t>
      </w:r>
      <w:proofErr w:type="gramEnd"/>
      <w:r w:rsidRPr="00964BF9">
        <w:t xml:space="preserve"> tracking</w:t>
      </w:r>
    </w:p>
    <w:p w14:paraId="5A6CC8DD" w14:textId="77777777" w:rsidR="00964BF9" w:rsidRPr="00964BF9" w:rsidRDefault="00964BF9" w:rsidP="00964BF9">
      <w:pPr>
        <w:numPr>
          <w:ilvl w:val="0"/>
          <w:numId w:val="10"/>
        </w:numPr>
      </w:pPr>
      <w:r w:rsidRPr="00964BF9">
        <w:t>Comprehensive dashboard creation</w:t>
      </w:r>
    </w:p>
    <w:p w14:paraId="1A62B1A9" w14:textId="77777777" w:rsidR="00964BF9" w:rsidRPr="00964BF9" w:rsidRDefault="00964BF9" w:rsidP="00964BF9">
      <w:pPr>
        <w:numPr>
          <w:ilvl w:val="0"/>
          <w:numId w:val="10"/>
        </w:numPr>
      </w:pPr>
      <w:r w:rsidRPr="00964BF9">
        <w:t>Cross-sector coverage (CLO/CRE/CMBS)</w:t>
      </w:r>
    </w:p>
    <w:p w14:paraId="57465F09" w14:textId="77777777" w:rsidR="00964BF9" w:rsidRPr="00964BF9" w:rsidRDefault="00964BF9" w:rsidP="00964BF9">
      <w:r w:rsidRPr="00964BF9">
        <w:rPr>
          <w:b/>
          <w:bCs/>
        </w:rPr>
        <w:t>File Structure:</w:t>
      </w:r>
      <w:r w:rsidRPr="00964BF9">
        <w:t xml:space="preserve"> Organized by sector, date, and document type with consistent naming conventions</w:t>
      </w:r>
    </w:p>
    <w:p w14:paraId="41B8B06A" w14:textId="77777777" w:rsidR="00964BF9" w:rsidRPr="00964BF9" w:rsidRDefault="00964BF9" w:rsidP="00964BF9">
      <w:r w:rsidRPr="00964BF9">
        <w:pict w14:anchorId="08EBBD81">
          <v:rect id="_x0000_i1027" style="width:0;height:1.5pt" o:hralign="center" o:hrstd="t" o:hr="t" fillcolor="#a0a0a0" stroked="f"/>
        </w:pict>
      </w:r>
    </w:p>
    <w:p w14:paraId="6554ABAC" w14:textId="77777777" w:rsidR="00964BF9" w:rsidRPr="00964BF9" w:rsidRDefault="00964BF9" w:rsidP="00964BF9">
      <w:pPr>
        <w:rPr>
          <w:b/>
          <w:bCs/>
        </w:rPr>
      </w:pPr>
      <w:r w:rsidRPr="00964BF9">
        <w:rPr>
          <w:b/>
          <w:bCs/>
        </w:rPr>
        <w:t>Key Insights &amp; Process Improvement Recommendations</w:t>
      </w:r>
    </w:p>
    <w:p w14:paraId="7C4AC52A" w14:textId="77777777" w:rsidR="00964BF9" w:rsidRPr="00964BF9" w:rsidRDefault="00964BF9" w:rsidP="00964BF9">
      <w:pPr>
        <w:rPr>
          <w:b/>
          <w:bCs/>
        </w:rPr>
      </w:pPr>
      <w:r w:rsidRPr="00964BF9">
        <w:rPr>
          <w:b/>
          <w:bCs/>
        </w:rPr>
        <w:t>Market Trends Observed:</w:t>
      </w:r>
    </w:p>
    <w:p w14:paraId="5B7ADABC" w14:textId="77777777" w:rsidR="00964BF9" w:rsidRPr="00964BF9" w:rsidRDefault="00964BF9" w:rsidP="00964BF9">
      <w:pPr>
        <w:numPr>
          <w:ilvl w:val="0"/>
          <w:numId w:val="11"/>
        </w:numPr>
      </w:pPr>
      <w:r w:rsidRPr="00964BF9">
        <w:rPr>
          <w:b/>
          <w:bCs/>
        </w:rPr>
        <w:t>Diversification Strategy:</w:t>
      </w:r>
      <w:r w:rsidRPr="00964BF9">
        <w:t xml:space="preserve"> Both deals show diversification across equipment types and geography</w:t>
      </w:r>
    </w:p>
    <w:p w14:paraId="13264F84" w14:textId="77777777" w:rsidR="00964BF9" w:rsidRPr="00964BF9" w:rsidRDefault="00964BF9" w:rsidP="00964BF9">
      <w:pPr>
        <w:numPr>
          <w:ilvl w:val="0"/>
          <w:numId w:val="11"/>
        </w:numPr>
      </w:pPr>
      <w:r w:rsidRPr="00964BF9">
        <w:rPr>
          <w:b/>
          <w:bCs/>
        </w:rPr>
        <w:lastRenderedPageBreak/>
        <w:t>Credit Enhancement Evolution:</w:t>
      </w:r>
      <w:r w:rsidRPr="00964BF9">
        <w:t xml:space="preserve"> PEAC shows reduced enhancement levels vs. prior deals, suggesting market confidence</w:t>
      </w:r>
    </w:p>
    <w:p w14:paraId="3FC5400A" w14:textId="77777777" w:rsidR="00964BF9" w:rsidRPr="00964BF9" w:rsidRDefault="00964BF9" w:rsidP="00964BF9">
      <w:pPr>
        <w:numPr>
          <w:ilvl w:val="0"/>
          <w:numId w:val="11"/>
        </w:numPr>
      </w:pPr>
      <w:r w:rsidRPr="00964BF9">
        <w:rPr>
          <w:b/>
          <w:bCs/>
        </w:rPr>
        <w:t>Operational Complexity:</w:t>
      </w:r>
      <w:r w:rsidRPr="00964BF9">
        <w:t xml:space="preserve"> OWN's equipment rental model and PEAC's Xerox integration highlight increasing operational sophistication</w:t>
      </w:r>
    </w:p>
    <w:p w14:paraId="0D36853F" w14:textId="77777777" w:rsidR="00964BF9" w:rsidRPr="00964BF9" w:rsidRDefault="00964BF9" w:rsidP="00964BF9">
      <w:pPr>
        <w:rPr>
          <w:b/>
          <w:bCs/>
        </w:rPr>
      </w:pPr>
      <w:r w:rsidRPr="00964BF9">
        <w:rPr>
          <w:b/>
          <w:bCs/>
        </w:rPr>
        <w:t>Process Improvement Suggestions:</w:t>
      </w:r>
    </w:p>
    <w:p w14:paraId="7FA26B8B" w14:textId="77777777" w:rsidR="00964BF9" w:rsidRPr="00964BF9" w:rsidRDefault="00964BF9" w:rsidP="00964BF9">
      <w:r w:rsidRPr="00964BF9">
        <w:rPr>
          <w:b/>
          <w:bCs/>
        </w:rPr>
        <w:t>1. Enhanced Comparative Analysis</w:t>
      </w:r>
    </w:p>
    <w:p w14:paraId="1504B367" w14:textId="77777777" w:rsidR="00964BF9" w:rsidRPr="00964BF9" w:rsidRDefault="00964BF9" w:rsidP="00964BF9">
      <w:pPr>
        <w:numPr>
          <w:ilvl w:val="0"/>
          <w:numId w:val="12"/>
        </w:numPr>
      </w:pPr>
      <w:r w:rsidRPr="00964BF9">
        <w:t>Create standardized templates comparing similar asset classes across rating agencies</w:t>
      </w:r>
    </w:p>
    <w:p w14:paraId="70632C4A" w14:textId="77777777" w:rsidR="00964BF9" w:rsidRPr="00964BF9" w:rsidRDefault="00964BF9" w:rsidP="00964BF9">
      <w:pPr>
        <w:numPr>
          <w:ilvl w:val="0"/>
          <w:numId w:val="12"/>
        </w:numPr>
      </w:pPr>
      <w:r w:rsidRPr="00964BF9">
        <w:t>Develop metrics dashboards tracking advance rates, enhancement levels, and expected losses by sector</w:t>
      </w:r>
    </w:p>
    <w:p w14:paraId="27A703BA" w14:textId="77777777" w:rsidR="00964BF9" w:rsidRPr="00964BF9" w:rsidRDefault="00964BF9" w:rsidP="00964BF9">
      <w:pPr>
        <w:numPr>
          <w:ilvl w:val="0"/>
          <w:numId w:val="12"/>
        </w:numPr>
      </w:pPr>
      <w:r w:rsidRPr="00964BF9">
        <w:t>Implement automated alerts for significant deviation from historical norms</w:t>
      </w:r>
    </w:p>
    <w:p w14:paraId="4D46BF53" w14:textId="77777777" w:rsidR="00964BF9" w:rsidRPr="00964BF9" w:rsidRDefault="00964BF9" w:rsidP="00964BF9">
      <w:r w:rsidRPr="00964BF9">
        <w:rPr>
          <w:b/>
          <w:bCs/>
        </w:rPr>
        <w:t>2. Integration Risk Framework</w:t>
      </w:r>
    </w:p>
    <w:p w14:paraId="2E26BB4E" w14:textId="77777777" w:rsidR="00964BF9" w:rsidRPr="00964BF9" w:rsidRDefault="00964BF9" w:rsidP="00964BF9">
      <w:pPr>
        <w:numPr>
          <w:ilvl w:val="0"/>
          <w:numId w:val="13"/>
        </w:numPr>
      </w:pPr>
      <w:r w:rsidRPr="00964BF9">
        <w:t>Develop specific analytical framework for deals with ongoing operational transitions (like PEAC's Xerox integration)</w:t>
      </w:r>
    </w:p>
    <w:p w14:paraId="1EEC653F" w14:textId="77777777" w:rsidR="00964BF9" w:rsidRPr="00964BF9" w:rsidRDefault="00964BF9" w:rsidP="00964BF9">
      <w:pPr>
        <w:numPr>
          <w:ilvl w:val="0"/>
          <w:numId w:val="13"/>
        </w:numPr>
      </w:pPr>
      <w:r w:rsidRPr="00964BF9">
        <w:t>Create early warning indicators for operational integration risks</w:t>
      </w:r>
    </w:p>
    <w:p w14:paraId="6DF4E76B" w14:textId="77777777" w:rsidR="00964BF9" w:rsidRPr="00964BF9" w:rsidRDefault="00964BF9" w:rsidP="00964BF9">
      <w:pPr>
        <w:numPr>
          <w:ilvl w:val="0"/>
          <w:numId w:val="13"/>
        </w:numPr>
      </w:pPr>
      <w:r w:rsidRPr="00964BF9">
        <w:t>Establish enhanced monitoring protocols during transition periods</w:t>
      </w:r>
    </w:p>
    <w:p w14:paraId="675EE34A" w14:textId="77777777" w:rsidR="00964BF9" w:rsidRPr="00964BF9" w:rsidRDefault="00964BF9" w:rsidP="00964BF9">
      <w:r w:rsidRPr="00964BF9">
        <w:rPr>
          <w:b/>
          <w:bCs/>
        </w:rPr>
        <w:t>3. Sector-Specific Deep Dives</w:t>
      </w:r>
    </w:p>
    <w:p w14:paraId="3E426B9E" w14:textId="77777777" w:rsidR="00964BF9" w:rsidRPr="00964BF9" w:rsidRDefault="00964BF9" w:rsidP="00964BF9">
      <w:pPr>
        <w:numPr>
          <w:ilvl w:val="0"/>
          <w:numId w:val="14"/>
        </w:numPr>
      </w:pPr>
      <w:r w:rsidRPr="00964BF9">
        <w:t>Equipment ABS: Focus on liquidation assumptions and equipment value trends</w:t>
      </w:r>
    </w:p>
    <w:p w14:paraId="15276F28" w14:textId="77777777" w:rsidR="00964BF9" w:rsidRPr="00964BF9" w:rsidRDefault="00964BF9" w:rsidP="00964BF9">
      <w:pPr>
        <w:numPr>
          <w:ilvl w:val="0"/>
          <w:numId w:val="14"/>
        </w:numPr>
      </w:pPr>
      <w:r w:rsidRPr="00964BF9">
        <w:t>Small-ticket leasing: Track performance correlation between seasoning and loss expectations</w:t>
      </w:r>
    </w:p>
    <w:p w14:paraId="24E01472" w14:textId="77777777" w:rsidR="00964BF9" w:rsidRPr="00964BF9" w:rsidRDefault="00964BF9" w:rsidP="00964BF9">
      <w:pPr>
        <w:numPr>
          <w:ilvl w:val="0"/>
          <w:numId w:val="14"/>
        </w:numPr>
      </w:pPr>
      <w:r w:rsidRPr="00964BF9">
        <w:t>Working capital: Enhanced monitoring of indirect vs. direct origination performance</w:t>
      </w:r>
    </w:p>
    <w:p w14:paraId="437D14C2" w14:textId="77777777" w:rsidR="00964BF9" w:rsidRPr="00964BF9" w:rsidRDefault="00964BF9" w:rsidP="00964BF9">
      <w:r w:rsidRPr="00964BF9">
        <w:rPr>
          <w:b/>
          <w:bCs/>
        </w:rPr>
        <w:t>4. Data Standardization</w:t>
      </w:r>
    </w:p>
    <w:p w14:paraId="30922AEC" w14:textId="77777777" w:rsidR="00964BF9" w:rsidRPr="00964BF9" w:rsidRDefault="00964BF9" w:rsidP="00964BF9">
      <w:pPr>
        <w:numPr>
          <w:ilvl w:val="0"/>
          <w:numId w:val="15"/>
        </w:numPr>
      </w:pPr>
      <w:r w:rsidRPr="00964BF9">
        <w:t>Implement consistent data extraction templates across all new issues</w:t>
      </w:r>
    </w:p>
    <w:p w14:paraId="72856E68" w14:textId="77777777" w:rsidR="00964BF9" w:rsidRPr="00964BF9" w:rsidRDefault="00964BF9" w:rsidP="00964BF9">
      <w:pPr>
        <w:numPr>
          <w:ilvl w:val="0"/>
          <w:numId w:val="15"/>
        </w:numPr>
      </w:pPr>
      <w:r w:rsidRPr="00964BF9">
        <w:t>Create automated data validation checks for key metrics</w:t>
      </w:r>
    </w:p>
    <w:p w14:paraId="03E98159" w14:textId="77777777" w:rsidR="00964BF9" w:rsidRPr="00964BF9" w:rsidRDefault="00964BF9" w:rsidP="00964BF9">
      <w:pPr>
        <w:numPr>
          <w:ilvl w:val="0"/>
          <w:numId w:val="15"/>
        </w:numPr>
      </w:pPr>
      <w:r w:rsidRPr="00964BF9">
        <w:t>Develop standardized stress testing comparison framework</w:t>
      </w:r>
    </w:p>
    <w:p w14:paraId="3013E6A9" w14:textId="77777777" w:rsidR="00964BF9" w:rsidRPr="00964BF9" w:rsidRDefault="00964BF9" w:rsidP="00964BF9">
      <w:r w:rsidRPr="00964BF9">
        <w:rPr>
          <w:b/>
          <w:bCs/>
        </w:rPr>
        <w:t>5. Predictive Analytics Integration</w:t>
      </w:r>
    </w:p>
    <w:p w14:paraId="0684A522" w14:textId="77777777" w:rsidR="00964BF9" w:rsidRPr="00964BF9" w:rsidRDefault="00964BF9" w:rsidP="00964BF9">
      <w:pPr>
        <w:numPr>
          <w:ilvl w:val="0"/>
          <w:numId w:val="16"/>
        </w:numPr>
      </w:pPr>
      <w:r w:rsidRPr="00964BF9">
        <w:t>Correlate deal characteristics with subsequent surveillance performance</w:t>
      </w:r>
    </w:p>
    <w:p w14:paraId="29BFC49F" w14:textId="77777777" w:rsidR="00964BF9" w:rsidRPr="00964BF9" w:rsidRDefault="00964BF9" w:rsidP="00964BF9">
      <w:pPr>
        <w:numPr>
          <w:ilvl w:val="0"/>
          <w:numId w:val="16"/>
        </w:numPr>
      </w:pPr>
      <w:r w:rsidRPr="00964BF9">
        <w:lastRenderedPageBreak/>
        <w:t>Develop early warning indicators based on structural features and market conditions</w:t>
      </w:r>
    </w:p>
    <w:p w14:paraId="3CE6D53D" w14:textId="77777777" w:rsidR="00964BF9" w:rsidRPr="00964BF9" w:rsidRDefault="00964BF9" w:rsidP="00964BF9">
      <w:pPr>
        <w:numPr>
          <w:ilvl w:val="0"/>
          <w:numId w:val="16"/>
        </w:numPr>
      </w:pPr>
      <w:r w:rsidRPr="00964BF9">
        <w:t>Create performance prediction models based on historical deal characteristics</w:t>
      </w:r>
    </w:p>
    <w:p w14:paraId="7E8F57F4" w14:textId="77777777" w:rsidR="00964BF9" w:rsidRPr="00964BF9" w:rsidRDefault="00964BF9" w:rsidP="00964BF9">
      <w:r w:rsidRPr="00964BF9">
        <w:t>This systematic approach would enhance the value of the research process by creating more actionable intelligence and improving predictive capabilities for deal performance assessment.</w:t>
      </w:r>
    </w:p>
    <w:p w14:paraId="58965B0A" w14:textId="77777777" w:rsidR="00964BF9" w:rsidRDefault="00964BF9"/>
    <w:sectPr w:rsidR="00964B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336EC"/>
    <w:multiLevelType w:val="multilevel"/>
    <w:tmpl w:val="5A025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481536"/>
    <w:multiLevelType w:val="multilevel"/>
    <w:tmpl w:val="D6A2A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4F285C"/>
    <w:multiLevelType w:val="multilevel"/>
    <w:tmpl w:val="3244E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0F0065"/>
    <w:multiLevelType w:val="multilevel"/>
    <w:tmpl w:val="8B803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B91D84"/>
    <w:multiLevelType w:val="multilevel"/>
    <w:tmpl w:val="17F6B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777B20"/>
    <w:multiLevelType w:val="multilevel"/>
    <w:tmpl w:val="8DDEE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CF5279"/>
    <w:multiLevelType w:val="multilevel"/>
    <w:tmpl w:val="8A6A9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117EE1"/>
    <w:multiLevelType w:val="multilevel"/>
    <w:tmpl w:val="971ED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6151EF"/>
    <w:multiLevelType w:val="multilevel"/>
    <w:tmpl w:val="0ABC0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74292A"/>
    <w:multiLevelType w:val="multilevel"/>
    <w:tmpl w:val="F0EAC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BC7A27"/>
    <w:multiLevelType w:val="multilevel"/>
    <w:tmpl w:val="D8EEC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9C5BD7"/>
    <w:multiLevelType w:val="multilevel"/>
    <w:tmpl w:val="33EAD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21613B"/>
    <w:multiLevelType w:val="multilevel"/>
    <w:tmpl w:val="DADCA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8200EF"/>
    <w:multiLevelType w:val="multilevel"/>
    <w:tmpl w:val="D9925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8F3123F"/>
    <w:multiLevelType w:val="multilevel"/>
    <w:tmpl w:val="789ED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6001AC"/>
    <w:multiLevelType w:val="multilevel"/>
    <w:tmpl w:val="8C40E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5320776">
    <w:abstractNumId w:val="5"/>
  </w:num>
  <w:num w:numId="2" w16cid:durableId="454713057">
    <w:abstractNumId w:val="3"/>
  </w:num>
  <w:num w:numId="3" w16cid:durableId="42339266">
    <w:abstractNumId w:val="4"/>
  </w:num>
  <w:num w:numId="4" w16cid:durableId="1314682852">
    <w:abstractNumId w:val="7"/>
  </w:num>
  <w:num w:numId="5" w16cid:durableId="1564297493">
    <w:abstractNumId w:val="9"/>
  </w:num>
  <w:num w:numId="6" w16cid:durableId="1813213291">
    <w:abstractNumId w:val="14"/>
  </w:num>
  <w:num w:numId="7" w16cid:durableId="1873692873">
    <w:abstractNumId w:val="2"/>
  </w:num>
  <w:num w:numId="8" w16cid:durableId="966858264">
    <w:abstractNumId w:val="1"/>
  </w:num>
  <w:num w:numId="9" w16cid:durableId="971400526">
    <w:abstractNumId w:val="11"/>
  </w:num>
  <w:num w:numId="10" w16cid:durableId="1183477312">
    <w:abstractNumId w:val="6"/>
  </w:num>
  <w:num w:numId="11" w16cid:durableId="1738552257">
    <w:abstractNumId w:val="13"/>
  </w:num>
  <w:num w:numId="12" w16cid:durableId="788745894">
    <w:abstractNumId w:val="8"/>
  </w:num>
  <w:num w:numId="13" w16cid:durableId="1655600632">
    <w:abstractNumId w:val="15"/>
  </w:num>
  <w:num w:numId="14" w16cid:durableId="2103526650">
    <w:abstractNumId w:val="0"/>
  </w:num>
  <w:num w:numId="15" w16cid:durableId="1387291382">
    <w:abstractNumId w:val="12"/>
  </w:num>
  <w:num w:numId="16" w16cid:durableId="194885427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BF9"/>
    <w:rsid w:val="001A3341"/>
    <w:rsid w:val="00964BF9"/>
    <w:rsid w:val="00BF4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01E2B"/>
  <w15:chartTrackingRefBased/>
  <w15:docId w15:val="{5B870A7D-C54F-442A-A847-9BE2BA2D7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4B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4B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4B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4B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4B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4B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4B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4B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4B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B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4B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4B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4B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4B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4B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4B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4B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4B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4B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4B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4B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4B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4B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4B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4B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4B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4B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4B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4B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238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765</Words>
  <Characters>4361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Fitzgerald</dc:creator>
  <cp:keywords/>
  <dc:description/>
  <cp:lastModifiedBy>Edward Fitzgerald</cp:lastModifiedBy>
  <cp:revision>1</cp:revision>
  <dcterms:created xsi:type="dcterms:W3CDTF">2025-07-12T17:24:00Z</dcterms:created>
  <dcterms:modified xsi:type="dcterms:W3CDTF">2025-07-13T19:24:00Z</dcterms:modified>
</cp:coreProperties>
</file>