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Open Access Funds</w:t>
      </w:r>
    </w:p>
    <w:p w:rsidR="00000000" w:rsidDel="00000000" w:rsidP="00000000" w:rsidRDefault="00000000" w:rsidRPr="00000000">
      <w:pPr>
        <w:spacing w:line="240" w:lineRule="auto"/>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Adapted from the IUPUI Open Access Fund site: </w:t>
      </w:r>
      <w:hyperlink r:id="rId5">
        <w:r w:rsidDel="00000000" w:rsidR="00000000" w:rsidRPr="00000000">
          <w:rPr>
            <w:rFonts w:ascii="Open Sans" w:cs="Open Sans" w:eastAsia="Open Sans" w:hAnsi="Open Sans"/>
            <w:color w:val="1155cc"/>
            <w:sz w:val="24"/>
            <w:szCs w:val="24"/>
            <w:u w:val="single"/>
            <w:rtl w:val="0"/>
          </w:rPr>
          <w:t xml:space="preserve">http://www.ulib.iupui.edu/digitalscholarship/openaccess/oafund</w:t>
        </w:r>
      </w:hyperlink>
      <w:r w:rsidDel="00000000" w:rsidR="00000000" w:rsidRPr="00000000">
        <w:rPr>
          <w:rtl w:val="0"/>
        </w:rPr>
      </w:r>
    </w:p>
    <w:p w:rsidR="00000000" w:rsidDel="00000000" w:rsidP="00000000" w:rsidRDefault="00000000" w:rsidRPr="00000000">
      <w:pPr>
        <w:spacing w:line="240" w:lineRule="auto"/>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Many libraries have established Open Access funds in order to support faculty and sometimes graduate students who lack funds to publish in Open Access Journals that have Article Processing Charges. OA Funds underwrite reasonable publication charges for articles published in fee-based, peer-reviewed journals that are openly accessible. Some institutions require that the venue of publication must be an established open-access journal, that is, a journal that does not charge readers or their institutions for unfettered access to the peer-reviewed articles that it publishes. These journals must meet these requirements:</w:t>
      </w:r>
    </w:p>
    <w:p w:rsidR="00000000" w:rsidDel="00000000" w:rsidP="00000000" w:rsidRDefault="00000000" w:rsidRPr="00000000">
      <w:pPr>
        <w:numPr>
          <w:ilvl w:val="0"/>
          <w:numId w:val="2"/>
        </w:numP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 listed in the</w:t>
      </w:r>
      <w:hyperlink r:id="rId6">
        <w:r w:rsidDel="00000000" w:rsidR="00000000" w:rsidRPr="00000000">
          <w:rPr>
            <w:rFonts w:ascii="Open Sans" w:cs="Open Sans" w:eastAsia="Open Sans" w:hAnsi="Open Sans"/>
            <w:sz w:val="24"/>
            <w:szCs w:val="24"/>
            <w:rtl w:val="0"/>
          </w:rPr>
          <w:t xml:space="preserve"> </w:t>
        </w:r>
      </w:hyperlink>
      <w:hyperlink r:id="rId7">
        <w:r w:rsidDel="00000000" w:rsidR="00000000" w:rsidRPr="00000000">
          <w:rPr>
            <w:rFonts w:ascii="Open Sans" w:cs="Open Sans" w:eastAsia="Open Sans" w:hAnsi="Open Sans"/>
            <w:color w:val="1155cc"/>
            <w:sz w:val="24"/>
            <w:szCs w:val="24"/>
            <w:u w:val="single"/>
            <w:rtl w:val="0"/>
          </w:rPr>
          <w:t xml:space="preserve">Directory of Open Access Journals</w:t>
        </w:r>
      </w:hyperlink>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pPr>
        <w:numPr>
          <w:ilvl w:val="0"/>
          <w:numId w:val="2"/>
        </w:numP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 a member of the</w:t>
      </w:r>
      <w:hyperlink r:id="rId8">
        <w:r w:rsidDel="00000000" w:rsidR="00000000" w:rsidRPr="00000000">
          <w:rPr>
            <w:rFonts w:ascii="Open Sans" w:cs="Open Sans" w:eastAsia="Open Sans" w:hAnsi="Open Sans"/>
            <w:sz w:val="24"/>
            <w:szCs w:val="24"/>
            <w:rtl w:val="0"/>
          </w:rPr>
          <w:t xml:space="preserve"> </w:t>
        </w:r>
      </w:hyperlink>
      <w:hyperlink r:id="rId9">
        <w:r w:rsidDel="00000000" w:rsidR="00000000" w:rsidRPr="00000000">
          <w:rPr>
            <w:rFonts w:ascii="Open Sans" w:cs="Open Sans" w:eastAsia="Open Sans" w:hAnsi="Open Sans"/>
            <w:color w:val="1155cc"/>
            <w:sz w:val="24"/>
            <w:szCs w:val="24"/>
            <w:u w:val="single"/>
            <w:rtl w:val="0"/>
          </w:rPr>
          <w:t xml:space="preserve">Open Access Scholarly Publishers Association</w:t>
        </w:r>
      </w:hyperlink>
      <w:r w:rsidDel="00000000" w:rsidR="00000000" w:rsidRPr="00000000">
        <w:rPr>
          <w:rFonts w:ascii="Open Sans" w:cs="Open Sans" w:eastAsia="Open Sans" w:hAnsi="Open Sans"/>
          <w:sz w:val="24"/>
          <w:szCs w:val="24"/>
          <w:rtl w:val="0"/>
        </w:rPr>
        <w:t xml:space="preserve"> or adhere to its Code of Conduct,</w:t>
      </w:r>
    </w:p>
    <w:p w:rsidR="00000000" w:rsidDel="00000000" w:rsidP="00000000" w:rsidRDefault="00000000" w:rsidRPr="00000000">
      <w:pPr>
        <w:numPr>
          <w:ilvl w:val="0"/>
          <w:numId w:val="2"/>
        </w:numP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Have publicly available a standard article fee schedule.</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These requirements eliminate hybrid open-access or delayed open-access journals from OA Fund eligibility. </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Open Access Policies</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Adapted from the IUPUI Open Access Policy website: </w:t>
      </w:r>
      <w:hyperlink r:id="rId10">
        <w:r w:rsidDel="00000000" w:rsidR="00000000" w:rsidRPr="00000000">
          <w:rPr>
            <w:rFonts w:ascii="Open Sans" w:cs="Open Sans" w:eastAsia="Open Sans" w:hAnsi="Open Sans"/>
            <w:color w:val="1155cc"/>
            <w:sz w:val="24"/>
            <w:szCs w:val="24"/>
            <w:u w:val="single"/>
            <w:rtl w:val="0"/>
          </w:rPr>
          <w:t xml:space="preserve">http://openaccess.iupui.edu</w:t>
        </w:r>
      </w:hyperlink>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Open Access policies have been successfully implemented at Harvard, MIT, Duke, University of Kansas, University of California, and many other universities. Many have chosen the opt-out approach, so named because faculty are required to comply by default. The opt-out approach ensures the highest level of compliance possible, without restricting faculty choice about where they publish. More specific details about this type of policy are below: </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includes a no-questions-asked, opt-out provision (by article);</w:t>
      </w:r>
    </w:p>
    <w:p w:rsidR="00000000" w:rsidDel="00000000" w:rsidP="00000000" w:rsidRDefault="00000000" w:rsidRPr="00000000">
      <w:pPr>
        <w:numPr>
          <w:ilvl w:val="0"/>
          <w:numId w:val="1"/>
        </w:numP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provides free access to scholarly articles and conference proceedings (not book chapters, monographs, creative works, etc.);</w:t>
      </w:r>
    </w:p>
    <w:p w:rsidR="00000000" w:rsidDel="00000000" w:rsidP="00000000" w:rsidRDefault="00000000" w:rsidRPr="00000000">
      <w:pPr>
        <w:numPr>
          <w:ilvl w:val="0"/>
          <w:numId w:val="1"/>
        </w:numP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sharing the author’s accepted manuscript (sometimes called a “post-print”) increases citation rates in all disciplines (minimum citation bump: 25%);</w:t>
      </w:r>
    </w:p>
    <w:p w:rsidR="00000000" w:rsidDel="00000000" w:rsidP="00000000" w:rsidRDefault="00000000" w:rsidRPr="00000000">
      <w:pPr>
        <w:numPr>
          <w:ilvl w:val="0"/>
          <w:numId w:val="1"/>
        </w:numP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most journals (over 74%) permit faculty to upload accepted manuscripts (“post-prints”) to an institutional open access repository;</w:t>
      </w:r>
    </w:p>
    <w:p w:rsidR="00000000" w:rsidDel="00000000" w:rsidP="00000000" w:rsidRDefault="00000000" w:rsidRPr="00000000">
      <w:pPr>
        <w:numPr>
          <w:ilvl w:val="0"/>
          <w:numId w:val="1"/>
        </w:numP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author’s accepted manuscripts (“post-prints”) would include a note and a hyperlink pointing readers of the final published version at the publisher's website;</w:t>
      </w:r>
    </w:p>
    <w:p w:rsidR="00000000" w:rsidDel="00000000" w:rsidP="00000000" w:rsidRDefault="00000000" w:rsidRPr="00000000">
      <w:pPr>
        <w:numPr>
          <w:ilvl w:val="0"/>
          <w:numId w:val="1"/>
        </w:numP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faculty can submit via a simple web form;</w:t>
      </w:r>
    </w:p>
    <w:p w:rsidR="00000000" w:rsidDel="00000000" w:rsidP="00000000" w:rsidRDefault="00000000" w:rsidRPr="00000000">
      <w:pPr>
        <w:numPr>
          <w:ilvl w:val="0"/>
          <w:numId w:val="1"/>
        </w:numPr>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policy respects the intellectual property rights of authors and publishers. Any author who felt otherwise would be free to opt out.</w:t>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pP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more guidance on how to develop and implement an Open Access Policy at your institution, the Coalition of Open Access Policy Institutions (COAPI) has a Toolkit available at </w:t>
      </w:r>
      <w:hyperlink r:id="rId11">
        <w:r w:rsidDel="00000000" w:rsidR="00000000" w:rsidRPr="00000000">
          <w:rPr>
            <w:rFonts w:ascii="Open Sans" w:cs="Open Sans" w:eastAsia="Open Sans" w:hAnsi="Open Sans"/>
            <w:color w:val="1155cc"/>
            <w:sz w:val="24"/>
            <w:szCs w:val="24"/>
            <w:u w:val="single"/>
            <w:rtl w:val="0"/>
          </w:rPr>
          <w:t xml:space="preserve">https://osf.io/vhw6d/</w:t>
        </w:r>
      </w:hyperlink>
      <w:r w:rsidDel="00000000" w:rsidR="00000000" w:rsidRPr="00000000">
        <w:rPr>
          <w:rFonts w:ascii="Open Sans" w:cs="Open Sans" w:eastAsia="Open Sans" w:hAnsi="Open Sans"/>
          <w:sz w:val="24"/>
          <w:szCs w:val="24"/>
          <w:rtl w:val="0"/>
        </w:rPr>
        <w:t xml:space="preserve">.</w:t>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osf.io/vhw6d/" TargetMode="External"/><Relationship Id="rId10" Type="http://schemas.openxmlformats.org/officeDocument/2006/relationships/hyperlink" Target="http://openaccess.iupui.edu" TargetMode="External"/><Relationship Id="rId9" Type="http://schemas.openxmlformats.org/officeDocument/2006/relationships/hyperlink" Target="http://oaspa.org/" TargetMode="External"/><Relationship Id="rId5" Type="http://schemas.openxmlformats.org/officeDocument/2006/relationships/hyperlink" Target="http://www.ulib.iupui.edu/digitalscholarship/openaccess/oafund" TargetMode="External"/><Relationship Id="rId6" Type="http://schemas.openxmlformats.org/officeDocument/2006/relationships/hyperlink" Target="https://doaj.org/" TargetMode="External"/><Relationship Id="rId7" Type="http://schemas.openxmlformats.org/officeDocument/2006/relationships/hyperlink" Target="https://doaj.org/" TargetMode="External"/><Relationship Id="rId8" Type="http://schemas.openxmlformats.org/officeDocument/2006/relationships/hyperlink" Target="http://oaspa.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