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B371" w14:textId="77777777" w:rsidR="00831288" w:rsidRDefault="007D2692">
      <w:pPr>
        <w:spacing w:after="0" w:line="259" w:lineRule="auto"/>
        <w:ind w:left="0" w:right="112" w:firstLine="0"/>
        <w:jc w:val="center"/>
      </w:pPr>
      <w:r>
        <w:rPr>
          <w:sz w:val="41"/>
        </w:rPr>
        <w:t>Homework 2 Solutions:</w:t>
      </w:r>
    </w:p>
    <w:p w14:paraId="513EDEA6" w14:textId="77777777" w:rsidR="00831288" w:rsidRDefault="007D2692">
      <w:pPr>
        <w:spacing w:after="0" w:line="259" w:lineRule="auto"/>
        <w:ind w:left="0" w:right="112" w:firstLine="0"/>
        <w:jc w:val="center"/>
      </w:pPr>
      <w:r>
        <w:rPr>
          <w:i/>
          <w:sz w:val="29"/>
        </w:rPr>
        <w:t>Shake It Off (The Budget Concerns)</w:t>
      </w:r>
      <w:r>
        <w:rPr>
          <w:sz w:val="29"/>
        </w:rPr>
        <w:t>:</w:t>
      </w:r>
    </w:p>
    <w:p w14:paraId="73F07605" w14:textId="77777777" w:rsidR="00831288" w:rsidRDefault="007D2692">
      <w:pPr>
        <w:spacing w:after="344" w:line="259" w:lineRule="auto"/>
        <w:ind w:left="332" w:firstLine="0"/>
        <w:jc w:val="left"/>
      </w:pPr>
      <w:r>
        <w:rPr>
          <w:sz w:val="29"/>
        </w:rPr>
        <w:t>Assessing the Economic Impact of Hosting Taylor Swift’s Eras Tour</w:t>
      </w:r>
    </w:p>
    <w:p w14:paraId="6AEC9759" w14:textId="77777777" w:rsidR="00831288" w:rsidRDefault="007D2692">
      <w:pPr>
        <w:spacing w:after="185" w:line="265" w:lineRule="auto"/>
        <w:ind w:right="112"/>
        <w:jc w:val="center"/>
      </w:pPr>
      <w:r>
        <w:rPr>
          <w:sz w:val="29"/>
        </w:rPr>
        <w:t>Quantitative Methods II - Winter 2025</w:t>
      </w:r>
    </w:p>
    <w:p w14:paraId="11772327" w14:textId="44312ADB" w:rsidR="00831288" w:rsidRDefault="00AB5D7C">
      <w:pPr>
        <w:spacing w:after="685" w:line="265" w:lineRule="auto"/>
        <w:ind w:right="112"/>
        <w:jc w:val="center"/>
      </w:pPr>
      <w:r>
        <w:rPr>
          <w:sz w:val="29"/>
        </w:rPr>
        <w:t>February 17, 2025</w:t>
      </w:r>
    </w:p>
    <w:p w14:paraId="228C3F59" w14:textId="77777777" w:rsidR="00831288" w:rsidRDefault="007D2692">
      <w:pPr>
        <w:spacing w:after="83" w:line="261" w:lineRule="auto"/>
        <w:ind w:left="-5"/>
      </w:pPr>
      <w:r>
        <w:rPr>
          <w:b/>
          <w:sz w:val="34"/>
        </w:rPr>
        <w:t>Acknowledgments</w:t>
      </w:r>
    </w:p>
    <w:p w14:paraId="5B236550" w14:textId="2031B76C" w:rsidR="00AC05FF" w:rsidRDefault="00AC05FF">
      <w:pPr>
        <w:pStyle w:val="Heading1"/>
        <w:ind w:left="-5"/>
        <w:rPr>
          <w:b w:val="0"/>
          <w:sz w:val="24"/>
        </w:rPr>
      </w:pPr>
      <w:r w:rsidRPr="00AC05FF">
        <w:rPr>
          <w:b w:val="0"/>
          <w:sz w:val="24"/>
        </w:rPr>
        <w:t>For this work, in addition to R programming from QMII lectures, labs, and TA office hours, I, Edgar Agunias acknowledge having worked with classmates, Jason Fry, and Ambrose Feltcher. I also acknowledge having used ChatGPT and Claude to troubleshoot code. Specifically, ChatGPT 5.</w:t>
      </w:r>
      <w:r w:rsidR="006B167B">
        <w:rPr>
          <w:b w:val="0"/>
          <w:sz w:val="24"/>
        </w:rPr>
        <w:t>3 Max</w:t>
      </w:r>
      <w:r w:rsidRPr="00AC05FF">
        <w:rPr>
          <w:b w:val="0"/>
          <w:sz w:val="24"/>
        </w:rPr>
        <w:t xml:space="preserve"> and Claude Sonnet 4.</w:t>
      </w:r>
      <w:r w:rsidR="00D6482A">
        <w:rPr>
          <w:b w:val="0"/>
          <w:sz w:val="24"/>
        </w:rPr>
        <w:t>5</w:t>
      </w:r>
      <w:r w:rsidRPr="00AC05FF">
        <w:rPr>
          <w:b w:val="0"/>
          <w:sz w:val="24"/>
        </w:rPr>
        <w:t xml:space="preserve"> assisted in graph creation, table creation and fine tuning. Allowing me to better understand the syntax of </w:t>
      </w:r>
      <w:proofErr w:type="spellStart"/>
      <w:r w:rsidRPr="00AC05FF">
        <w:rPr>
          <w:b w:val="0"/>
          <w:sz w:val="24"/>
        </w:rPr>
        <w:t>ggplot</w:t>
      </w:r>
      <w:proofErr w:type="spellEnd"/>
      <w:r w:rsidRPr="00AC05FF">
        <w:rPr>
          <w:b w:val="0"/>
          <w:sz w:val="24"/>
        </w:rPr>
        <w:t xml:space="preserve"> and </w:t>
      </w:r>
      <w:proofErr w:type="spellStart"/>
      <w:r w:rsidRPr="00AC05FF">
        <w:rPr>
          <w:b w:val="0"/>
          <w:sz w:val="24"/>
        </w:rPr>
        <w:t>Rstudio</w:t>
      </w:r>
      <w:proofErr w:type="spellEnd"/>
      <w:r w:rsidRPr="00AC05FF">
        <w:rPr>
          <w:b w:val="0"/>
          <w:sz w:val="24"/>
        </w:rPr>
        <w:t>. Claude Opus 4.</w:t>
      </w:r>
      <w:r w:rsidR="00D6482A">
        <w:rPr>
          <w:b w:val="0"/>
          <w:sz w:val="24"/>
        </w:rPr>
        <w:t>6</w:t>
      </w:r>
      <w:r w:rsidRPr="00AC05FF">
        <w:rPr>
          <w:b w:val="0"/>
          <w:sz w:val="24"/>
        </w:rPr>
        <w:t xml:space="preserve"> helped me scaffold an outline for this assignment. I affirm that all AI-generated and co-created content underwent thorough review and validation. The final output accurately reflects my understanding, expertise, and intended meaning. While AI assistance was instrumental, I maintain full responsibility for the final content.</w:t>
      </w:r>
    </w:p>
    <w:p w14:paraId="01297E3D" w14:textId="18143AE0" w:rsidR="00831288" w:rsidRDefault="007D2692">
      <w:pPr>
        <w:pStyle w:val="Heading1"/>
        <w:ind w:left="-5"/>
      </w:pPr>
      <w:r>
        <w:t>3.1 Preliminaries</w:t>
      </w:r>
    </w:p>
    <w:p w14:paraId="2FDCA7FA" w14:textId="77777777" w:rsidR="00831288" w:rsidRDefault="007D2692">
      <w:pPr>
        <w:ind w:left="-5" w:right="97"/>
      </w:pPr>
      <w:r>
        <w:rPr>
          <w:b/>
        </w:rPr>
        <w:t xml:space="preserve">Q1: </w:t>
      </w:r>
      <w:r>
        <w:t>How many observations and variables are in the working dataset at this point?</w:t>
      </w:r>
    </w:p>
    <w:p w14:paraId="3F24F60B" w14:textId="524221EB" w:rsidR="00831288" w:rsidRDefault="007D2692">
      <w:pPr>
        <w:spacing w:after="298" w:line="265" w:lineRule="auto"/>
        <w:ind w:left="346"/>
        <w:jc w:val="left"/>
      </w:pPr>
      <w:r>
        <w:rPr>
          <w:b/>
        </w:rPr>
        <w:t>A1:</w:t>
      </w:r>
      <w:r w:rsidR="00571960">
        <w:rPr>
          <w:b/>
        </w:rPr>
        <w:t xml:space="preserve"> There are 14,416 observations and 42 variables </w:t>
      </w:r>
    </w:p>
    <w:p w14:paraId="07FFC945" w14:textId="77777777" w:rsidR="00831288" w:rsidRDefault="007D2692">
      <w:pPr>
        <w:ind w:left="-5" w:right="97"/>
      </w:pPr>
      <w:r>
        <w:rPr>
          <w:b/>
        </w:rPr>
        <w:t xml:space="preserve">Q2: </w:t>
      </w:r>
      <w:r>
        <w:t>According to the U.S. Department of Agriculture’s Economic Research Service, the Rural-Urban Continuum Codes (RUCC) classify U.S. counties into nine categories based on metropolitan status, population size, and degree of urbanization. Code 1 corresponds to counties in metropolitan areas with a population of 1 million or more. How many such counties are represented in the working dataset?</w:t>
      </w:r>
    </w:p>
    <w:p w14:paraId="7AD91FF3" w14:textId="1C7DF5D0" w:rsidR="00831288" w:rsidRDefault="007D2692">
      <w:pPr>
        <w:spacing w:after="298" w:line="265" w:lineRule="auto"/>
        <w:ind w:left="346"/>
        <w:jc w:val="left"/>
      </w:pPr>
      <w:r>
        <w:rPr>
          <w:b/>
        </w:rPr>
        <w:t>A2:</w:t>
      </w:r>
      <w:r w:rsidR="00571960">
        <w:rPr>
          <w:b/>
        </w:rPr>
        <w:t xml:space="preserve"> 424 distinct counties</w:t>
      </w:r>
    </w:p>
    <w:p w14:paraId="76AB9CD8" w14:textId="77777777" w:rsidR="00831288" w:rsidRDefault="007D2692">
      <w:pPr>
        <w:spacing w:after="301"/>
        <w:ind w:left="-5" w:right="97"/>
      </w:pPr>
      <w:r>
        <w:rPr>
          <w:b/>
        </w:rPr>
        <w:t xml:space="preserve">Q3: </w:t>
      </w:r>
      <w:r>
        <w:t xml:space="preserve">If each row in the working dataset represents a county-level observation, and there are only a few hundred counties in U.S. metropolitan areas with populations of 1 million or more, why does the </w:t>
      </w:r>
      <w:r>
        <w:rPr>
          <w:rFonts w:ascii="Calibri" w:eastAsia="Calibri" w:hAnsi="Calibri" w:cs="Calibri"/>
        </w:rPr>
        <w:t xml:space="preserve">working </w:t>
      </w:r>
      <w:r>
        <w:rPr>
          <w:rFonts w:ascii="Calibri" w:eastAsia="Calibri" w:hAnsi="Calibri" w:cs="Calibri"/>
          <w:noProof/>
          <w:sz w:val="22"/>
        </w:rPr>
        <mc:AlternateContent>
          <mc:Choice Requires="wpg">
            <w:drawing>
              <wp:inline distT="0" distB="0" distL="0" distR="0" wp14:anchorId="3D0E90E7" wp14:editId="72D9B433">
                <wp:extent cx="46876" cy="5055"/>
                <wp:effectExtent l="0" t="0" r="0" b="0"/>
                <wp:docPr id="1621" name="Group 1621"/>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30" name="Shape 30"/>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1" style="width:3.69099pt;height:0.398pt;mso-position-horizontal-relative:char;mso-position-vertical-relative:line" coordsize="468,50">
                <v:shape id="Shape 30"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 xml:space="preserve">data </w:t>
      </w:r>
      <w:r>
        <w:t>contain thousands of rows?</w:t>
      </w:r>
    </w:p>
    <w:p w14:paraId="30ACF624" w14:textId="2DB2F364" w:rsidR="00831288" w:rsidRDefault="007D2692">
      <w:pPr>
        <w:spacing w:after="298" w:line="265" w:lineRule="auto"/>
        <w:ind w:left="346"/>
        <w:jc w:val="left"/>
      </w:pPr>
      <w:r>
        <w:rPr>
          <w:b/>
        </w:rPr>
        <w:t>A3:</w:t>
      </w:r>
      <w:r w:rsidR="00571960">
        <w:rPr>
          <w:b/>
        </w:rPr>
        <w:t xml:space="preserve"> It contains thousands of rows for each year and per industry</w:t>
      </w:r>
    </w:p>
    <w:p w14:paraId="766B9DAA" w14:textId="77777777" w:rsidR="00831288" w:rsidRDefault="007D2692">
      <w:pPr>
        <w:ind w:left="-5" w:right="97"/>
      </w:pPr>
      <w:r>
        <w:rPr>
          <w:b/>
        </w:rPr>
        <w:t xml:space="preserve">Q4: </w:t>
      </w:r>
      <w:r>
        <w:t xml:space="preserve">What do the variables </w:t>
      </w:r>
      <w:r>
        <w:rPr>
          <w:rFonts w:ascii="Calibri" w:eastAsia="Calibri" w:hAnsi="Calibri" w:cs="Calibri"/>
        </w:rPr>
        <w:t>2001</w:t>
      </w:r>
      <w:r>
        <w:t xml:space="preserve">, </w:t>
      </w:r>
      <w:r>
        <w:rPr>
          <w:rFonts w:ascii="Calibri" w:eastAsia="Calibri" w:hAnsi="Calibri" w:cs="Calibri"/>
        </w:rPr>
        <w:t>2002</w:t>
      </w:r>
      <w:r>
        <w:t xml:space="preserve">, up to </w:t>
      </w:r>
      <w:r>
        <w:rPr>
          <w:rFonts w:ascii="Calibri" w:eastAsia="Calibri" w:hAnsi="Calibri" w:cs="Calibri"/>
        </w:rPr>
        <w:t xml:space="preserve">2023 </w:t>
      </w:r>
      <w:r>
        <w:t>represent in the dataset at this point?</w:t>
      </w:r>
    </w:p>
    <w:p w14:paraId="198C73C1" w14:textId="2E8A0FD3" w:rsidR="00831288" w:rsidRDefault="007D2692">
      <w:pPr>
        <w:spacing w:after="530" w:line="265" w:lineRule="auto"/>
        <w:ind w:left="346"/>
        <w:jc w:val="left"/>
      </w:pPr>
      <w:r>
        <w:rPr>
          <w:b/>
        </w:rPr>
        <w:t>A4:</w:t>
      </w:r>
      <w:r w:rsidR="003015E7">
        <w:rPr>
          <w:b/>
        </w:rPr>
        <w:t xml:space="preserve"> They represent the GDP in thousands of dollars for that counties industry for that year </w:t>
      </w:r>
    </w:p>
    <w:p w14:paraId="3C41634B" w14:textId="77777777" w:rsidR="00831288" w:rsidRDefault="007D2692">
      <w:pPr>
        <w:pStyle w:val="Heading2"/>
        <w:ind w:left="-5"/>
      </w:pPr>
      <w:r>
        <w:lastRenderedPageBreak/>
        <w:t>3.4.4 Transforming the Outcome Variables</w:t>
      </w:r>
    </w:p>
    <w:p w14:paraId="338B0638" w14:textId="2D45F0B2" w:rsidR="00831288" w:rsidRDefault="007D2692">
      <w:pPr>
        <w:spacing w:after="9"/>
        <w:ind w:left="-5" w:right="97"/>
      </w:pPr>
      <w:r>
        <w:rPr>
          <w:b/>
        </w:rPr>
        <w:t xml:space="preserve">Q5: </w:t>
      </w:r>
      <w:r>
        <w:t xml:space="preserve">In this section, we applied two transformations to the outcome variables: first, we converted GDP to per capita by dividing it by population, and second, we transformed the per capita values by taking their logarithm. </w:t>
      </w:r>
      <w:r>
        <w:rPr>
          <w:b/>
        </w:rPr>
        <w:t>Q5a:</w:t>
      </w:r>
      <w:r w:rsidR="00AB5D7C">
        <w:rPr>
          <w:b/>
        </w:rPr>
        <w:t xml:space="preserve"> </w:t>
      </w:r>
      <w:r>
        <w:t xml:space="preserve">Why was it important to adjust for population size when analyzing GDP? </w:t>
      </w:r>
      <w:r>
        <w:rPr>
          <w:b/>
        </w:rPr>
        <w:t xml:space="preserve">Q5b: </w:t>
      </w:r>
      <w:r>
        <w:t xml:space="preserve">Based on the histograms you generated, what issue in the data prompted the need for a log transformation? </w:t>
      </w:r>
      <w:r>
        <w:rPr>
          <w:b/>
        </w:rPr>
        <w:t xml:space="preserve">Q5c: </w:t>
      </w:r>
      <w:r>
        <w:t>Did the log transformation resolve the issue you observed in the initial histogram of GDP per capita?</w:t>
      </w:r>
    </w:p>
    <w:p w14:paraId="777A613D" w14:textId="77777777" w:rsidR="00831288" w:rsidRDefault="007D2692">
      <w:pPr>
        <w:ind w:left="-5" w:right="97"/>
      </w:pPr>
      <w:r>
        <w:t>Briefly explain your reasoning.</w:t>
      </w:r>
    </w:p>
    <w:p w14:paraId="2CF16BA1" w14:textId="7826FEAA" w:rsidR="00831288" w:rsidRDefault="007D2692">
      <w:pPr>
        <w:spacing w:after="267" w:line="265" w:lineRule="auto"/>
        <w:ind w:left="346"/>
        <w:jc w:val="left"/>
      </w:pPr>
      <w:r>
        <w:rPr>
          <w:b/>
        </w:rPr>
        <w:t>A5a:</w:t>
      </w:r>
      <w:r w:rsidR="003015E7">
        <w:rPr>
          <w:b/>
        </w:rPr>
        <w:t xml:space="preserve"> We adjust to per capita measures as counties or industries with larger </w:t>
      </w:r>
      <w:r w:rsidR="00595F7F">
        <w:rPr>
          <w:b/>
        </w:rPr>
        <w:t>populations</w:t>
      </w:r>
      <w:r w:rsidR="003015E7">
        <w:rPr>
          <w:b/>
        </w:rPr>
        <w:t xml:space="preserve"> naturally would be over representing their GDP</w:t>
      </w:r>
      <w:r w:rsidR="002C2402">
        <w:rPr>
          <w:b/>
        </w:rPr>
        <w:t xml:space="preserve">. Thereby allowing us to compare countries apple to apples. </w:t>
      </w:r>
    </w:p>
    <w:p w14:paraId="44BACCBD" w14:textId="56EA3572" w:rsidR="00831288" w:rsidRDefault="007D2692">
      <w:pPr>
        <w:spacing w:after="267" w:line="265" w:lineRule="auto"/>
        <w:ind w:left="346"/>
        <w:jc w:val="left"/>
      </w:pPr>
      <w:r>
        <w:rPr>
          <w:b/>
        </w:rPr>
        <w:t>A5b:</w:t>
      </w:r>
      <w:r w:rsidR="00067641">
        <w:rPr>
          <w:b/>
        </w:rPr>
        <w:t xml:space="preserve"> In the initial histogram there was a massive outlier which skews the histogram extremely right. Running a log transform allows us to curb the data set in a way that accounts for </w:t>
      </w:r>
      <w:r w:rsidR="008260D2">
        <w:rPr>
          <w:b/>
        </w:rPr>
        <w:t xml:space="preserve">outliers and shortens the tail. </w:t>
      </w:r>
    </w:p>
    <w:p w14:paraId="4D4D52EA" w14:textId="55BD1AD6" w:rsidR="00831288" w:rsidRDefault="007D2692">
      <w:pPr>
        <w:spacing w:after="530" w:line="265" w:lineRule="auto"/>
        <w:ind w:left="346"/>
        <w:jc w:val="left"/>
      </w:pPr>
      <w:r>
        <w:rPr>
          <w:b/>
        </w:rPr>
        <w:t>A5c:</w:t>
      </w:r>
      <w:r w:rsidR="008260D2">
        <w:rPr>
          <w:b/>
        </w:rPr>
        <w:t xml:space="preserve"> The log transformation does resolve the issue found in the initial histogram. The outliers have been curtailed.</w:t>
      </w:r>
      <w:r w:rsidR="00306D63">
        <w:rPr>
          <w:b/>
        </w:rPr>
        <w:t xml:space="preserve"> By converting GDP to log we can convert changes later in GDP to percentage changes, capturing effects more clearly.</w:t>
      </w:r>
    </w:p>
    <w:p w14:paraId="2A72B632" w14:textId="77777777" w:rsidR="00831288" w:rsidRDefault="007D2692">
      <w:pPr>
        <w:pStyle w:val="Heading1"/>
        <w:ind w:left="-5"/>
      </w:pPr>
      <w:r>
        <w:t>3.5 Analyzing Time Trends in Arts, Entertainment, and Recreation Industry (NAICS 71) Annual Log GDP per Capita</w:t>
      </w:r>
    </w:p>
    <w:p w14:paraId="0DC4782E" w14:textId="77777777" w:rsidR="00831288" w:rsidRDefault="007D2692">
      <w:pPr>
        <w:ind w:left="-5" w:right="97"/>
      </w:pPr>
      <w:r>
        <w:rPr>
          <w:b/>
        </w:rPr>
        <w:t xml:space="preserve">Q6: </w:t>
      </w:r>
      <w:r>
        <w:t xml:space="preserve">Examine the plot you generated. How does the trend in log GDP per capita for counties that hosted the Eras Tour </w:t>
      </w:r>
      <w:proofErr w:type="gramStart"/>
      <w:r>
        <w:t>compare</w:t>
      </w:r>
      <w:proofErr w:type="gramEnd"/>
      <w:r>
        <w:t xml:space="preserve"> to those that did not? Specifically, how do the slopes of these trends differ?</w:t>
      </w:r>
    </w:p>
    <w:p w14:paraId="45433249" w14:textId="4A76BCC9" w:rsidR="00831288" w:rsidRDefault="007D2692">
      <w:pPr>
        <w:spacing w:after="298" w:line="265" w:lineRule="auto"/>
        <w:ind w:left="346"/>
        <w:jc w:val="left"/>
      </w:pPr>
      <w:r>
        <w:rPr>
          <w:b/>
        </w:rPr>
        <w:t>A6:</w:t>
      </w:r>
      <w:r w:rsidR="00FE01CD">
        <w:rPr>
          <w:b/>
        </w:rPr>
        <w:t xml:space="preserve"> </w:t>
      </w:r>
      <w:r w:rsidR="00063702">
        <w:rPr>
          <w:b/>
        </w:rPr>
        <w:t xml:space="preserve">Both the hosted and not hosted groups trend upward. However, the hosted groups </w:t>
      </w:r>
      <w:r w:rsidR="00155149">
        <w:rPr>
          <w:b/>
        </w:rPr>
        <w:t xml:space="preserve">trend upwards more sharply overtime. </w:t>
      </w:r>
      <w:r w:rsidR="00063702">
        <w:rPr>
          <w:b/>
        </w:rPr>
        <w:t>With the hosted groups beginning at a higher log of GDP</w:t>
      </w:r>
      <w:r w:rsidR="00155149">
        <w:rPr>
          <w:b/>
        </w:rPr>
        <w:t xml:space="preserve"> than </w:t>
      </w:r>
      <w:proofErr w:type="spellStart"/>
      <w:r w:rsidR="00155149">
        <w:rPr>
          <w:b/>
        </w:rPr>
        <w:t>unhosted</w:t>
      </w:r>
      <w:proofErr w:type="spellEnd"/>
      <w:r w:rsidR="00155149">
        <w:rPr>
          <w:b/>
        </w:rPr>
        <w:t xml:space="preserve"> groups</w:t>
      </w:r>
      <w:r w:rsidR="002152B9">
        <w:rPr>
          <w:b/>
        </w:rPr>
        <w:t xml:space="preserve">. Hosted groups began at 0.43 log of GDP while </w:t>
      </w:r>
      <w:proofErr w:type="spellStart"/>
      <w:r w:rsidR="002152B9">
        <w:rPr>
          <w:b/>
        </w:rPr>
        <w:t>unhosted</w:t>
      </w:r>
      <w:proofErr w:type="spellEnd"/>
      <w:r w:rsidR="002152B9">
        <w:rPr>
          <w:b/>
        </w:rPr>
        <w:t xml:space="preserve"> began much lower at ~0.10 log of GDP.</w:t>
      </w:r>
    </w:p>
    <w:p w14:paraId="3DECEF7D" w14:textId="77777777" w:rsidR="00831288" w:rsidRDefault="007D2692">
      <w:pPr>
        <w:ind w:left="-5" w:right="97"/>
      </w:pPr>
      <w:r>
        <w:rPr>
          <w:b/>
        </w:rPr>
        <w:t xml:space="preserve">Q7: </w:t>
      </w:r>
      <w:r>
        <w:t>Why might this difference in pre-existing trends between the two groups create a problem when estimating the effect of hosting the Eras Tour on GDP?</w:t>
      </w:r>
    </w:p>
    <w:p w14:paraId="45AC6780" w14:textId="29443892" w:rsidR="00831288" w:rsidRDefault="007D2692">
      <w:pPr>
        <w:spacing w:after="298" w:line="265" w:lineRule="auto"/>
        <w:ind w:left="346"/>
        <w:jc w:val="left"/>
      </w:pPr>
      <w:r>
        <w:rPr>
          <w:b/>
        </w:rPr>
        <w:t>A7:</w:t>
      </w:r>
      <w:r w:rsidR="002152B9">
        <w:rPr>
          <w:b/>
        </w:rPr>
        <w:t xml:space="preserve"> There is a causal question that since counties which hosted the Eras Tour already had greater GDP, their growth could be contributed to the compounding effects prior to the Eras tour. Thereby </w:t>
      </w:r>
      <w:r w:rsidR="00C26B92">
        <w:rPr>
          <w:b/>
        </w:rPr>
        <w:t xml:space="preserve">posing </w:t>
      </w:r>
      <w:proofErr w:type="gramStart"/>
      <w:r w:rsidR="00C26B92">
        <w:rPr>
          <w:b/>
        </w:rPr>
        <w:t>a</w:t>
      </w:r>
      <w:proofErr w:type="gramEnd"/>
      <w:r w:rsidR="00C26B92">
        <w:rPr>
          <w:b/>
        </w:rPr>
        <w:t xml:space="preserve"> omitted variable bias and the assumption of endogeneity could be questioned. As growth of the county may not be able to be easily disentangled from the Eras Tour effect.</w:t>
      </w:r>
    </w:p>
    <w:p w14:paraId="020B7238" w14:textId="77777777" w:rsidR="00831288" w:rsidRDefault="007D2692">
      <w:pPr>
        <w:pStyle w:val="Heading1"/>
        <w:ind w:left="-5" w:right="98"/>
      </w:pPr>
      <w:r>
        <w:lastRenderedPageBreak/>
        <w:t>3.6 Visualizing Demographic Differences Across Counties that Hosted the Eras Tour and Those That Did Not</w:t>
      </w:r>
    </w:p>
    <w:p w14:paraId="0C298438" w14:textId="77777777" w:rsidR="00831288" w:rsidRDefault="007D2692">
      <w:pPr>
        <w:spacing w:after="0"/>
        <w:ind w:left="-5" w:right="97"/>
      </w:pPr>
      <w:r>
        <w:rPr>
          <w:b/>
        </w:rPr>
        <w:t xml:space="preserve">Q8: </w:t>
      </w:r>
      <w:r>
        <w:t xml:space="preserve">Examine the bar plots you generated. How do the demographic and socioeconomic characteristics of counties that hosted the Eras Tour </w:t>
      </w:r>
      <w:proofErr w:type="gramStart"/>
      <w:r>
        <w:t>compare</w:t>
      </w:r>
      <w:proofErr w:type="gramEnd"/>
      <w:r>
        <w:t xml:space="preserve"> to those that did not?</w:t>
      </w:r>
    </w:p>
    <w:p w14:paraId="2FC222D3" w14:textId="77777777" w:rsidR="00831288" w:rsidRDefault="007D2692">
      <w:pPr>
        <w:ind w:left="-5" w:right="97"/>
      </w:pPr>
      <w:r>
        <w:t>Specifically, which characteristics show notable differences between the two groups?</w:t>
      </w:r>
    </w:p>
    <w:p w14:paraId="45BED840" w14:textId="720553FF" w:rsidR="00831288" w:rsidRDefault="007D2692">
      <w:pPr>
        <w:spacing w:after="298" w:line="265" w:lineRule="auto"/>
        <w:ind w:left="346"/>
        <w:jc w:val="left"/>
      </w:pPr>
      <w:r>
        <w:rPr>
          <w:b/>
        </w:rPr>
        <w:t>A8:</w:t>
      </w:r>
      <w:r w:rsidR="00C26B92">
        <w:rPr>
          <w:b/>
        </w:rPr>
        <w:t xml:space="preserve"> The notable differences </w:t>
      </w:r>
      <w:r w:rsidR="009433E6">
        <w:rPr>
          <w:b/>
        </w:rPr>
        <w:t>are</w:t>
      </w:r>
      <w:r w:rsidR="00C26B92">
        <w:rPr>
          <w:b/>
        </w:rPr>
        <w:t xml:space="preserve"> level of education. Counties which hosted the Eras Tour, had a higher proportion of the population which had a </w:t>
      </w:r>
      <w:r w:rsidR="009433E6">
        <w:rPr>
          <w:b/>
        </w:rPr>
        <w:t>bachelor’s</w:t>
      </w:r>
      <w:r w:rsidR="00C26B92">
        <w:rPr>
          <w:b/>
        </w:rPr>
        <w:t xml:space="preserve"> degree or higher, 29% in hosted counties and 21% in nonhost counties. Counties that hosted the Eras Tour also experienced greater negative migration, with decreases of about 4000 residents in 2023, versus increases in nonhost counties </w:t>
      </w:r>
      <w:r w:rsidR="00097E2E">
        <w:rPr>
          <w:b/>
        </w:rPr>
        <w:t>of around 1000.</w:t>
      </w:r>
    </w:p>
    <w:p w14:paraId="457AF783" w14:textId="77777777" w:rsidR="00831288" w:rsidRDefault="007D2692">
      <w:pPr>
        <w:ind w:left="-5" w:right="97"/>
      </w:pPr>
      <w:r>
        <w:rPr>
          <w:b/>
        </w:rPr>
        <w:t xml:space="preserve">Q9: </w:t>
      </w:r>
      <w:r>
        <w:t>Why might these differences in demographic and socioeconomic characteristics create a problem when estimating the effect of hosting the Eras Tour on GDP?</w:t>
      </w:r>
    </w:p>
    <w:p w14:paraId="19764019" w14:textId="11C4F197" w:rsidR="00831288" w:rsidRDefault="007D2692">
      <w:pPr>
        <w:spacing w:after="298" w:line="265" w:lineRule="auto"/>
        <w:ind w:left="346"/>
        <w:jc w:val="left"/>
      </w:pPr>
      <w:r>
        <w:rPr>
          <w:b/>
        </w:rPr>
        <w:t>A9:</w:t>
      </w:r>
      <w:r w:rsidR="00097E2E">
        <w:rPr>
          <w:b/>
        </w:rPr>
        <w:t xml:space="preserve"> Due to stark differences in education level and previous economic literature showing the causal relationship between education level and GDP. These demographic differences pose a</w:t>
      </w:r>
      <w:r w:rsidR="0059738E">
        <w:rPr>
          <w:b/>
        </w:rPr>
        <w:t>n</w:t>
      </w:r>
      <w:r w:rsidR="00097E2E">
        <w:rPr>
          <w:b/>
        </w:rPr>
        <w:t xml:space="preserve"> omitted variable bias if not controlled for in the regression.  </w:t>
      </w:r>
      <w:r w:rsidR="006D5B5F">
        <w:rPr>
          <w:b/>
        </w:rPr>
        <w:t xml:space="preserve">As if it is unaccounted for the effect of a more highly educated population may be </w:t>
      </w:r>
      <w:r w:rsidR="00247192">
        <w:rPr>
          <w:b/>
        </w:rPr>
        <w:t xml:space="preserve">falsely </w:t>
      </w:r>
      <w:r w:rsidR="006D5B5F">
        <w:rPr>
          <w:b/>
        </w:rPr>
        <w:t xml:space="preserve">confounded </w:t>
      </w:r>
      <w:r w:rsidR="00247192">
        <w:rPr>
          <w:b/>
        </w:rPr>
        <w:t xml:space="preserve">with the Eras Tour. </w:t>
      </w:r>
      <w:r>
        <w:br w:type="page"/>
      </w:r>
    </w:p>
    <w:p w14:paraId="6885BAF3" w14:textId="77777777" w:rsidR="00831288" w:rsidRDefault="007D2692">
      <w:pPr>
        <w:pStyle w:val="Heading1"/>
        <w:ind w:left="-5"/>
      </w:pPr>
      <w:r>
        <w:lastRenderedPageBreak/>
        <w:t>3.7 Multiple Regression Analyses</w:t>
      </w:r>
    </w:p>
    <w:p w14:paraId="6D61DB22" w14:textId="77777777" w:rsidR="00831288" w:rsidRDefault="007D2692">
      <w:pPr>
        <w:ind w:left="-5" w:right="97"/>
      </w:pPr>
      <w:r>
        <w:rPr>
          <w:b/>
        </w:rPr>
        <w:t xml:space="preserve">Q10: </w:t>
      </w:r>
      <w:r>
        <w:t xml:space="preserve">Look at the coefficient for </w:t>
      </w:r>
      <w:r>
        <w:rPr>
          <w:rFonts w:ascii="Calibri" w:eastAsia="Calibri" w:hAnsi="Calibri" w:cs="Calibri"/>
        </w:rPr>
        <w:t xml:space="preserve">Eras Tour Host </w:t>
      </w:r>
      <w:r>
        <w:t xml:space="preserve">in Model 5 under NAICS 71. What does the estimate tell you about how hosting the </w:t>
      </w:r>
      <w:r w:rsidRPr="00417F11">
        <w:rPr>
          <w:b/>
          <w:bCs/>
        </w:rPr>
        <w:t>Eras Tour affects county-level GDP</w:t>
      </w:r>
      <w:r>
        <w:t xml:space="preserve"> per capita in the </w:t>
      </w:r>
      <w:r w:rsidRPr="00417F11">
        <w:rPr>
          <w:b/>
          <w:bCs/>
        </w:rPr>
        <w:t>Arts, Entertainment, and Recreation industry</w:t>
      </w:r>
      <w:r>
        <w:t>? Is the coefficient statistically significant?</w:t>
      </w:r>
    </w:p>
    <w:p w14:paraId="5E20A5E7" w14:textId="4C5EB627" w:rsidR="00831288" w:rsidRDefault="007D2692">
      <w:pPr>
        <w:spacing w:after="298" w:line="265" w:lineRule="auto"/>
        <w:ind w:left="346"/>
        <w:jc w:val="left"/>
      </w:pPr>
      <w:r>
        <w:rPr>
          <w:b/>
        </w:rPr>
        <w:t>A10:</w:t>
      </w:r>
      <w:r w:rsidR="00417F11">
        <w:rPr>
          <w:b/>
        </w:rPr>
        <w:t xml:space="preserve"> Looking at model 5, the correlation coefficient is 0.016 for the Eras Tour. The relationship is positive at the 95% confidence interval. Which demonstrates on average that in counties where the Eras Tour was hosted, it boosted GDP of the </w:t>
      </w:r>
      <w:r w:rsidR="00417F11" w:rsidRPr="00417F11">
        <w:rPr>
          <w:b/>
        </w:rPr>
        <w:t xml:space="preserve">Arts, Entertainment, and Recreation </w:t>
      </w:r>
      <w:r w:rsidR="00C82AAA">
        <w:rPr>
          <w:b/>
        </w:rPr>
        <w:t xml:space="preserve">(AER) </w:t>
      </w:r>
      <w:r w:rsidR="00417F11" w:rsidRPr="00417F11">
        <w:rPr>
          <w:b/>
        </w:rPr>
        <w:t xml:space="preserve">industry </w:t>
      </w:r>
      <w:r w:rsidR="00417F11">
        <w:rPr>
          <w:b/>
        </w:rPr>
        <w:t xml:space="preserve">by </w:t>
      </w:r>
      <w:r w:rsidR="00D26511">
        <w:rPr>
          <w:b/>
        </w:rPr>
        <w:t>1.67</w:t>
      </w:r>
      <w:r w:rsidR="00417F11">
        <w:rPr>
          <w:b/>
        </w:rPr>
        <w:t xml:space="preserve">%. This shows that while there is a positive correlational relationship with the Eras Tour, its magnitude is quite small. </w:t>
      </w:r>
    </w:p>
    <w:p w14:paraId="2589872E" w14:textId="77777777" w:rsidR="00831288" w:rsidRDefault="007D2692">
      <w:pPr>
        <w:ind w:left="-5" w:right="97"/>
      </w:pPr>
      <w:r>
        <w:rPr>
          <w:b/>
        </w:rPr>
        <w:t xml:space="preserve">Q11: </w:t>
      </w:r>
      <w:r>
        <w:t xml:space="preserve">How does controlling for GDP per capita in 2022 in Model 5 help address the issue raised in </w:t>
      </w:r>
      <w:r>
        <w:rPr>
          <w:b/>
        </w:rPr>
        <w:t xml:space="preserve">Q7 </w:t>
      </w:r>
      <w:r>
        <w:t>regarding pre-existing trends? Why is this step important in reducing omitted variable bias?</w:t>
      </w:r>
    </w:p>
    <w:p w14:paraId="2813B7A5" w14:textId="174A6C08" w:rsidR="00831288" w:rsidRDefault="007D2692">
      <w:pPr>
        <w:spacing w:after="298" w:line="265" w:lineRule="auto"/>
        <w:ind w:left="346"/>
        <w:jc w:val="left"/>
      </w:pPr>
      <w:r>
        <w:rPr>
          <w:b/>
        </w:rPr>
        <w:t>A11:</w:t>
      </w:r>
      <w:r w:rsidR="00C82AAA">
        <w:rPr>
          <w:b/>
        </w:rPr>
        <w:t xml:space="preserve"> By controlling for GDP per capita we </w:t>
      </w:r>
      <w:proofErr w:type="gramStart"/>
      <w:r w:rsidR="00A129FC">
        <w:rPr>
          <w:b/>
        </w:rPr>
        <w:t>are able to</w:t>
      </w:r>
      <w:proofErr w:type="gramEnd"/>
      <w:r w:rsidR="00C82AAA">
        <w:rPr>
          <w:b/>
        </w:rPr>
        <w:t xml:space="preserve"> isolate the Eras Tour effect, by placing it as a control variable in our final model. This reduces omitted variable bias of previous GDP as a contributing factor. Increasing our model fit, and more importantly isolating the positive effect of the Eras Tour on the AER industry.</w:t>
      </w:r>
      <w:r w:rsidR="00D56E8E">
        <w:rPr>
          <w:b/>
        </w:rPr>
        <w:t xml:space="preserve"> </w:t>
      </w:r>
    </w:p>
    <w:p w14:paraId="1778F6CE" w14:textId="77777777" w:rsidR="00831288" w:rsidRDefault="007D2692">
      <w:pPr>
        <w:ind w:left="-5" w:right="97"/>
      </w:pPr>
      <w:r>
        <w:rPr>
          <w:b/>
        </w:rPr>
        <w:t xml:space="preserve">Q12: </w:t>
      </w:r>
      <w:r>
        <w:t xml:space="preserve">How do the </w:t>
      </w:r>
      <w:proofErr w:type="gramStart"/>
      <w:r>
        <w:t>changes</w:t>
      </w:r>
      <w:proofErr w:type="gramEnd"/>
      <w:r>
        <w:t xml:space="preserve"> in the coefficient estimates for </w:t>
      </w:r>
      <w:r>
        <w:rPr>
          <w:rFonts w:ascii="Calibri" w:eastAsia="Calibri" w:hAnsi="Calibri" w:cs="Calibri"/>
        </w:rPr>
        <w:t xml:space="preserve">eras tour host </w:t>
      </w:r>
      <w:r>
        <w:t>across the models address the issue raised in Q9 regarding omitted variable bias from demographic and socioeconomic differences?</w:t>
      </w:r>
    </w:p>
    <w:p w14:paraId="16A109B7" w14:textId="5278611C" w:rsidR="00831288" w:rsidRDefault="007D2692">
      <w:pPr>
        <w:spacing w:after="298" w:line="265" w:lineRule="auto"/>
        <w:ind w:left="346"/>
        <w:jc w:val="left"/>
      </w:pPr>
      <w:r>
        <w:rPr>
          <w:b/>
        </w:rPr>
        <w:t>A12:</w:t>
      </w:r>
      <w:r w:rsidR="007730C5">
        <w:rPr>
          <w:b/>
        </w:rPr>
        <w:t xml:space="preserve"> </w:t>
      </w:r>
      <w:r w:rsidR="00D56E8E">
        <w:rPr>
          <w:b/>
        </w:rPr>
        <w:t>By controlling increasingly controlling for</w:t>
      </w:r>
      <w:r w:rsidR="00181FE1">
        <w:rPr>
          <w:b/>
        </w:rPr>
        <w:t xml:space="preserve"> demographic,</w:t>
      </w:r>
      <w:r w:rsidR="00D56E8E">
        <w:rPr>
          <w:b/>
        </w:rPr>
        <w:t xml:space="preserve"> socioeconomic factors, and GDP we are systematically rooting out the omitted variable bias from our regression. </w:t>
      </w:r>
      <w:r w:rsidR="00181FE1">
        <w:rPr>
          <w:b/>
        </w:rPr>
        <w:t xml:space="preserve">The Eras Tour goes from being statistically significant (at a 95% confidence interval) and its magnitude being 0.5% in the simple bivariate regression, to </w:t>
      </w:r>
      <w:r w:rsidR="00D26511">
        <w:rPr>
          <w:b/>
        </w:rPr>
        <w:t xml:space="preserve">1.67 </w:t>
      </w:r>
      <w:r w:rsidR="00181FE1">
        <w:rPr>
          <w:b/>
        </w:rPr>
        <w:t xml:space="preserve">%. </w:t>
      </w:r>
    </w:p>
    <w:p w14:paraId="345520C0" w14:textId="77777777" w:rsidR="00DF1B9B" w:rsidRDefault="00DF1B9B">
      <w:pPr>
        <w:spacing w:after="160" w:line="278" w:lineRule="auto"/>
        <w:ind w:left="0" w:firstLine="0"/>
        <w:jc w:val="left"/>
        <w:rPr>
          <w:b/>
        </w:rPr>
      </w:pPr>
      <w:r>
        <w:rPr>
          <w:b/>
        </w:rPr>
        <w:br w:type="page"/>
      </w:r>
    </w:p>
    <w:p w14:paraId="3AFE72E5" w14:textId="1DF0A776" w:rsidR="00831288" w:rsidRDefault="007D2692">
      <w:pPr>
        <w:ind w:left="-5" w:right="97"/>
      </w:pPr>
      <w:r>
        <w:rPr>
          <w:b/>
        </w:rPr>
        <w:lastRenderedPageBreak/>
        <w:t xml:space="preserve">Q13: </w:t>
      </w:r>
      <w:r>
        <w:t>Examine the regression results for the other industries (NAICS 72, NAICS 54, and NAICS 11). Are the results consistent with the hypothesis that the Eras Tour had a greater economic impact on industries most likely to benefit from large events? Provide evidence from the models to support your response.</w:t>
      </w:r>
    </w:p>
    <w:tbl>
      <w:tblPr>
        <w:tblStyle w:val="TableGrid"/>
        <w:tblW w:w="0" w:type="auto"/>
        <w:tblInd w:w="-5" w:type="dxa"/>
        <w:tblLook w:val="04A0" w:firstRow="1" w:lastRow="0" w:firstColumn="1" w:lastColumn="0" w:noHBand="0" w:noVBand="1"/>
      </w:tblPr>
      <w:tblGrid>
        <w:gridCol w:w="1881"/>
        <w:gridCol w:w="1875"/>
        <w:gridCol w:w="1682"/>
        <w:gridCol w:w="1709"/>
        <w:gridCol w:w="1986"/>
      </w:tblGrid>
      <w:tr w:rsidR="004E203A" w14:paraId="6FA8756B" w14:textId="77777777" w:rsidTr="004E203A">
        <w:tc>
          <w:tcPr>
            <w:tcW w:w="9133" w:type="dxa"/>
            <w:gridSpan w:val="5"/>
            <w:tcBorders>
              <w:top w:val="nil"/>
              <w:left w:val="nil"/>
              <w:bottom w:val="single" w:sz="4" w:space="0" w:color="auto"/>
              <w:right w:val="nil"/>
            </w:tcBorders>
          </w:tcPr>
          <w:p w14:paraId="0127D1CE" w14:textId="4614AFE9" w:rsidR="004E203A" w:rsidRPr="004E203A" w:rsidRDefault="004E203A" w:rsidP="004E203A">
            <w:pPr>
              <w:spacing w:line="240" w:lineRule="auto"/>
              <w:ind w:left="0" w:right="97" w:firstLine="0"/>
              <w:jc w:val="left"/>
              <w:rPr>
                <w:i/>
                <w:iCs/>
              </w:rPr>
            </w:pPr>
            <w:r>
              <w:rPr>
                <w:i/>
                <w:iCs/>
              </w:rPr>
              <w:t>Figure 1</w:t>
            </w:r>
          </w:p>
        </w:tc>
      </w:tr>
      <w:tr w:rsidR="00DF1B9B" w14:paraId="6695068D" w14:textId="77777777" w:rsidTr="004E203A">
        <w:tc>
          <w:tcPr>
            <w:tcW w:w="1881" w:type="dxa"/>
            <w:tcBorders>
              <w:top w:val="single" w:sz="4" w:space="0" w:color="auto"/>
              <w:left w:val="single" w:sz="4" w:space="0" w:color="auto"/>
              <w:bottom w:val="single" w:sz="4" w:space="0" w:color="auto"/>
              <w:right w:val="single" w:sz="4" w:space="0" w:color="auto"/>
            </w:tcBorders>
          </w:tcPr>
          <w:p w14:paraId="5246E08C" w14:textId="24342943" w:rsidR="00DF1B9B" w:rsidRPr="00DF1B9B" w:rsidRDefault="00DF1B9B" w:rsidP="00DF1B9B">
            <w:pPr>
              <w:ind w:left="0" w:right="97" w:firstLine="0"/>
              <w:jc w:val="left"/>
              <w:rPr>
                <w:b/>
                <w:bCs/>
              </w:rPr>
            </w:pPr>
            <w:r w:rsidRPr="00DF1B9B">
              <w:rPr>
                <w:b/>
                <w:bCs/>
              </w:rPr>
              <w:t>Industries</w:t>
            </w:r>
          </w:p>
        </w:tc>
        <w:tc>
          <w:tcPr>
            <w:tcW w:w="1875" w:type="dxa"/>
            <w:tcBorders>
              <w:top w:val="single" w:sz="4" w:space="0" w:color="auto"/>
              <w:left w:val="single" w:sz="4" w:space="0" w:color="auto"/>
              <w:bottom w:val="single" w:sz="4" w:space="0" w:color="auto"/>
              <w:right w:val="single" w:sz="4" w:space="0" w:color="auto"/>
            </w:tcBorders>
          </w:tcPr>
          <w:p w14:paraId="0421402B" w14:textId="5F470B75" w:rsidR="00DF1B9B" w:rsidRDefault="00DF1B9B" w:rsidP="00DF1B9B">
            <w:pPr>
              <w:ind w:left="0" w:right="97" w:firstLine="0"/>
              <w:jc w:val="left"/>
            </w:pPr>
            <w:r>
              <w:t>Arts, Entertainment, Recreation</w:t>
            </w:r>
          </w:p>
        </w:tc>
        <w:tc>
          <w:tcPr>
            <w:tcW w:w="1682" w:type="dxa"/>
            <w:tcBorders>
              <w:top w:val="single" w:sz="4" w:space="0" w:color="auto"/>
              <w:left w:val="single" w:sz="4" w:space="0" w:color="auto"/>
              <w:bottom w:val="single" w:sz="4" w:space="0" w:color="auto"/>
              <w:right w:val="single" w:sz="4" w:space="0" w:color="auto"/>
            </w:tcBorders>
          </w:tcPr>
          <w:p w14:paraId="2BD44A5B" w14:textId="493AD1FB" w:rsidR="00DF1B9B" w:rsidRDefault="00DF1B9B" w:rsidP="00DF1B9B">
            <w:pPr>
              <w:ind w:left="0" w:right="97" w:firstLine="0"/>
              <w:jc w:val="left"/>
            </w:pPr>
            <w:r w:rsidRPr="00DF1B9B">
              <w:t>Agriculture, Forestry</w:t>
            </w:r>
            <w:r>
              <w:t xml:space="preserve"> </w:t>
            </w:r>
            <w:r w:rsidRPr="00DF1B9B">
              <w:t>Fishing</w:t>
            </w:r>
            <w:r>
              <w:t>, &amp;</w:t>
            </w:r>
            <w:r w:rsidRPr="00DF1B9B">
              <w:t xml:space="preserve"> Hunting</w:t>
            </w:r>
          </w:p>
        </w:tc>
        <w:tc>
          <w:tcPr>
            <w:tcW w:w="1709" w:type="dxa"/>
            <w:tcBorders>
              <w:top w:val="single" w:sz="4" w:space="0" w:color="auto"/>
              <w:left w:val="single" w:sz="4" w:space="0" w:color="auto"/>
              <w:bottom w:val="single" w:sz="4" w:space="0" w:color="auto"/>
              <w:right w:val="single" w:sz="4" w:space="0" w:color="auto"/>
            </w:tcBorders>
          </w:tcPr>
          <w:p w14:paraId="0AA76BEB" w14:textId="06BAE395" w:rsidR="00DF1B9B" w:rsidRDefault="00DF1B9B" w:rsidP="00DF1B9B">
            <w:pPr>
              <w:ind w:left="0" w:right="97" w:firstLine="0"/>
              <w:jc w:val="left"/>
            </w:pPr>
            <w:r w:rsidRPr="00DF1B9B">
              <w:t xml:space="preserve">Professional, Scientific, </w:t>
            </w:r>
            <w:r>
              <w:t>&amp;</w:t>
            </w:r>
            <w:r w:rsidRPr="00DF1B9B">
              <w:t xml:space="preserve"> Technical Services</w:t>
            </w:r>
          </w:p>
        </w:tc>
        <w:tc>
          <w:tcPr>
            <w:tcW w:w="1986" w:type="dxa"/>
            <w:tcBorders>
              <w:top w:val="single" w:sz="4" w:space="0" w:color="auto"/>
              <w:left w:val="single" w:sz="4" w:space="0" w:color="auto"/>
              <w:bottom w:val="single" w:sz="4" w:space="0" w:color="auto"/>
              <w:right w:val="single" w:sz="4" w:space="0" w:color="auto"/>
            </w:tcBorders>
          </w:tcPr>
          <w:p w14:paraId="53E3D5FC" w14:textId="5AF80434" w:rsidR="00DF1B9B" w:rsidRDefault="00DF1B9B" w:rsidP="00DF1B9B">
            <w:pPr>
              <w:ind w:left="0" w:right="97" w:firstLine="0"/>
              <w:jc w:val="left"/>
            </w:pPr>
            <w:r w:rsidRPr="00DF1B9B">
              <w:t>Accommodation</w:t>
            </w:r>
            <w:r>
              <w:t xml:space="preserve"> &amp;</w:t>
            </w:r>
            <w:r w:rsidRPr="00DF1B9B">
              <w:t xml:space="preserve"> Food Services</w:t>
            </w:r>
          </w:p>
        </w:tc>
      </w:tr>
      <w:tr w:rsidR="00DF1B9B" w14:paraId="24336616" w14:textId="77777777" w:rsidTr="004E203A">
        <w:tc>
          <w:tcPr>
            <w:tcW w:w="1881" w:type="dxa"/>
            <w:tcBorders>
              <w:top w:val="single" w:sz="4" w:space="0" w:color="auto"/>
              <w:left w:val="single" w:sz="4" w:space="0" w:color="auto"/>
              <w:bottom w:val="single" w:sz="4" w:space="0" w:color="auto"/>
              <w:right w:val="single" w:sz="4" w:space="0" w:color="auto"/>
            </w:tcBorders>
          </w:tcPr>
          <w:p w14:paraId="471C4EE5" w14:textId="688F8B92" w:rsidR="00DF1B9B" w:rsidRDefault="00DF1B9B" w:rsidP="00DF1B9B">
            <w:pPr>
              <w:ind w:left="0" w:right="97" w:firstLine="0"/>
              <w:jc w:val="left"/>
            </w:pPr>
            <w:r>
              <w:t>Before controls</w:t>
            </w:r>
          </w:p>
        </w:tc>
        <w:tc>
          <w:tcPr>
            <w:tcW w:w="1875" w:type="dxa"/>
            <w:tcBorders>
              <w:top w:val="single" w:sz="4" w:space="0" w:color="auto"/>
              <w:left w:val="single" w:sz="4" w:space="0" w:color="auto"/>
              <w:bottom w:val="single" w:sz="4" w:space="0" w:color="auto"/>
              <w:right w:val="single" w:sz="4" w:space="0" w:color="auto"/>
            </w:tcBorders>
          </w:tcPr>
          <w:p w14:paraId="240B94BD" w14:textId="7160FEB0" w:rsidR="00DF1B9B" w:rsidRDefault="00DF1B9B" w:rsidP="00DF1B9B">
            <w:pPr>
              <w:ind w:left="0" w:right="97" w:firstLine="0"/>
              <w:jc w:val="left"/>
            </w:pPr>
            <w:r w:rsidRPr="00DF1B9B">
              <w:t>0.563***</w:t>
            </w:r>
          </w:p>
        </w:tc>
        <w:tc>
          <w:tcPr>
            <w:tcW w:w="1682" w:type="dxa"/>
            <w:tcBorders>
              <w:top w:val="single" w:sz="4" w:space="0" w:color="auto"/>
              <w:left w:val="single" w:sz="4" w:space="0" w:color="auto"/>
              <w:bottom w:val="single" w:sz="4" w:space="0" w:color="auto"/>
              <w:right w:val="single" w:sz="4" w:space="0" w:color="auto"/>
            </w:tcBorders>
          </w:tcPr>
          <w:p w14:paraId="3B167FC8" w14:textId="0CD23F54" w:rsidR="00DF1B9B" w:rsidRDefault="00DF1B9B" w:rsidP="00DF1B9B">
            <w:pPr>
              <w:ind w:left="0" w:right="97" w:firstLine="0"/>
              <w:jc w:val="left"/>
            </w:pPr>
            <w:r w:rsidRPr="00DF1B9B">
              <w:t>-0.282***</w:t>
            </w:r>
          </w:p>
        </w:tc>
        <w:tc>
          <w:tcPr>
            <w:tcW w:w="1709" w:type="dxa"/>
            <w:tcBorders>
              <w:top w:val="single" w:sz="4" w:space="0" w:color="auto"/>
              <w:left w:val="single" w:sz="4" w:space="0" w:color="auto"/>
              <w:bottom w:val="single" w:sz="4" w:space="0" w:color="auto"/>
              <w:right w:val="single" w:sz="4" w:space="0" w:color="auto"/>
            </w:tcBorders>
          </w:tcPr>
          <w:p w14:paraId="6B55DF90" w14:textId="50474D48" w:rsidR="00DF1B9B" w:rsidRDefault="00DF1B9B" w:rsidP="00DF1B9B">
            <w:pPr>
              <w:ind w:left="0" w:right="97" w:firstLine="0"/>
              <w:jc w:val="left"/>
            </w:pPr>
            <w:r w:rsidRPr="00DF1B9B">
              <w:t>1.101***</w:t>
            </w:r>
          </w:p>
        </w:tc>
        <w:tc>
          <w:tcPr>
            <w:tcW w:w="1986" w:type="dxa"/>
            <w:tcBorders>
              <w:top w:val="single" w:sz="4" w:space="0" w:color="auto"/>
              <w:left w:val="single" w:sz="4" w:space="0" w:color="auto"/>
              <w:bottom w:val="single" w:sz="4" w:space="0" w:color="auto"/>
              <w:right w:val="single" w:sz="4" w:space="0" w:color="auto"/>
            </w:tcBorders>
          </w:tcPr>
          <w:p w14:paraId="586E8D66" w14:textId="4A0D708C" w:rsidR="00DF1B9B" w:rsidRDefault="00DF1B9B" w:rsidP="00DF1B9B">
            <w:pPr>
              <w:ind w:left="0" w:right="97" w:firstLine="0"/>
              <w:jc w:val="left"/>
            </w:pPr>
            <w:r w:rsidRPr="00DF1B9B">
              <w:t>0.518***</w:t>
            </w:r>
          </w:p>
        </w:tc>
      </w:tr>
      <w:tr w:rsidR="00DF1B9B" w14:paraId="295DBF49" w14:textId="77777777" w:rsidTr="004E203A">
        <w:tc>
          <w:tcPr>
            <w:tcW w:w="1881" w:type="dxa"/>
            <w:tcBorders>
              <w:top w:val="single" w:sz="4" w:space="0" w:color="auto"/>
              <w:left w:val="single" w:sz="4" w:space="0" w:color="auto"/>
              <w:bottom w:val="single" w:sz="4" w:space="0" w:color="auto"/>
              <w:right w:val="single" w:sz="4" w:space="0" w:color="auto"/>
            </w:tcBorders>
          </w:tcPr>
          <w:p w14:paraId="62E02046" w14:textId="04BA9283" w:rsidR="00DF1B9B" w:rsidRDefault="00DF1B9B" w:rsidP="00DF1B9B">
            <w:pPr>
              <w:ind w:left="0" w:right="97" w:firstLine="0"/>
              <w:jc w:val="left"/>
            </w:pPr>
            <w:r>
              <w:t>After controls</w:t>
            </w:r>
          </w:p>
        </w:tc>
        <w:tc>
          <w:tcPr>
            <w:tcW w:w="1875" w:type="dxa"/>
            <w:tcBorders>
              <w:top w:val="single" w:sz="4" w:space="0" w:color="auto"/>
              <w:left w:val="single" w:sz="4" w:space="0" w:color="auto"/>
              <w:bottom w:val="single" w:sz="4" w:space="0" w:color="auto"/>
              <w:right w:val="single" w:sz="4" w:space="0" w:color="auto"/>
            </w:tcBorders>
          </w:tcPr>
          <w:p w14:paraId="4B4305CE" w14:textId="48C6D64B" w:rsidR="00DF1B9B" w:rsidRDefault="00DF1B9B" w:rsidP="00DF1B9B">
            <w:pPr>
              <w:ind w:left="0" w:right="97" w:firstLine="0"/>
              <w:jc w:val="left"/>
            </w:pPr>
            <w:r w:rsidRPr="00DF1B9B">
              <w:t>0.016**</w:t>
            </w:r>
          </w:p>
        </w:tc>
        <w:tc>
          <w:tcPr>
            <w:tcW w:w="1682" w:type="dxa"/>
            <w:tcBorders>
              <w:top w:val="single" w:sz="4" w:space="0" w:color="auto"/>
              <w:left w:val="single" w:sz="4" w:space="0" w:color="auto"/>
              <w:bottom w:val="single" w:sz="4" w:space="0" w:color="auto"/>
              <w:right w:val="single" w:sz="4" w:space="0" w:color="auto"/>
            </w:tcBorders>
          </w:tcPr>
          <w:p w14:paraId="14C5AC24" w14:textId="6F1BDA4C" w:rsidR="00DF1B9B" w:rsidRDefault="00DF1B9B" w:rsidP="00DF1B9B">
            <w:pPr>
              <w:ind w:left="0" w:right="97" w:firstLine="0"/>
              <w:jc w:val="left"/>
            </w:pPr>
            <w:r w:rsidRPr="00DF1B9B">
              <w:t>-0.016</w:t>
            </w:r>
          </w:p>
        </w:tc>
        <w:tc>
          <w:tcPr>
            <w:tcW w:w="1709" w:type="dxa"/>
            <w:tcBorders>
              <w:top w:val="single" w:sz="4" w:space="0" w:color="auto"/>
              <w:left w:val="single" w:sz="4" w:space="0" w:color="auto"/>
              <w:bottom w:val="single" w:sz="4" w:space="0" w:color="auto"/>
              <w:right w:val="single" w:sz="4" w:space="0" w:color="auto"/>
            </w:tcBorders>
          </w:tcPr>
          <w:p w14:paraId="65428AA6" w14:textId="5B0C481A" w:rsidR="00DF1B9B" w:rsidRDefault="00DF1B9B" w:rsidP="00DF1B9B">
            <w:pPr>
              <w:ind w:left="0" w:right="97" w:firstLine="0"/>
              <w:jc w:val="left"/>
            </w:pPr>
            <w:r w:rsidRPr="00DF1B9B">
              <w:t>-0.0002</w:t>
            </w:r>
          </w:p>
        </w:tc>
        <w:tc>
          <w:tcPr>
            <w:tcW w:w="1986" w:type="dxa"/>
            <w:tcBorders>
              <w:top w:val="single" w:sz="4" w:space="0" w:color="auto"/>
              <w:left w:val="single" w:sz="4" w:space="0" w:color="auto"/>
              <w:bottom w:val="single" w:sz="4" w:space="0" w:color="auto"/>
              <w:right w:val="single" w:sz="4" w:space="0" w:color="auto"/>
            </w:tcBorders>
          </w:tcPr>
          <w:p w14:paraId="44CDE1D7" w14:textId="1B2DDCD4" w:rsidR="00DF1B9B" w:rsidRDefault="00DF1B9B" w:rsidP="00DF1B9B">
            <w:pPr>
              <w:ind w:left="0" w:right="97" w:firstLine="0"/>
              <w:jc w:val="left"/>
            </w:pPr>
            <w:r w:rsidRPr="00DF1B9B">
              <w:t>0.006</w:t>
            </w:r>
          </w:p>
        </w:tc>
      </w:tr>
      <w:tr w:rsidR="00DF1B9B" w14:paraId="4D3240F0" w14:textId="77777777" w:rsidTr="004E203A">
        <w:tc>
          <w:tcPr>
            <w:tcW w:w="9133" w:type="dxa"/>
            <w:gridSpan w:val="5"/>
            <w:tcBorders>
              <w:top w:val="single" w:sz="4" w:space="0" w:color="auto"/>
              <w:left w:val="nil"/>
              <w:bottom w:val="nil"/>
              <w:right w:val="nil"/>
            </w:tcBorders>
          </w:tcPr>
          <w:p w14:paraId="49CAEC8B" w14:textId="77777777" w:rsidR="004148C5" w:rsidRDefault="00DF1B9B" w:rsidP="003108FF">
            <w:pPr>
              <w:spacing w:line="240" w:lineRule="auto"/>
              <w:ind w:left="0" w:right="97" w:firstLine="0"/>
              <w:jc w:val="left"/>
              <w:rPr>
                <w:i/>
                <w:iCs/>
              </w:rPr>
            </w:pPr>
            <w:r>
              <w:rPr>
                <w:i/>
                <w:iCs/>
              </w:rPr>
              <w:t>Figure 1: Shows the before and after controls correlation coefficient of the Eras Tour</w:t>
            </w:r>
            <w:r w:rsidR="004E203A">
              <w:rPr>
                <w:i/>
                <w:iCs/>
              </w:rPr>
              <w:t>. Showing the decreasing magnitude of the Eras Tour once controlled for Demographic, Socioeconomic, and GDP factors.</w:t>
            </w:r>
          </w:p>
          <w:p w14:paraId="6EF52250" w14:textId="7F10FD1B" w:rsidR="00DF1B9B" w:rsidRPr="00DF1B9B" w:rsidRDefault="004148C5" w:rsidP="003108FF">
            <w:pPr>
              <w:spacing w:line="240" w:lineRule="auto"/>
              <w:ind w:left="0" w:right="97" w:firstLine="0"/>
              <w:jc w:val="left"/>
              <w:rPr>
                <w:i/>
                <w:iCs/>
              </w:rPr>
            </w:pPr>
            <w:r>
              <w:rPr>
                <w:i/>
                <w:iCs/>
              </w:rPr>
              <w:t xml:space="preserve">Note: </w:t>
            </w:r>
            <w:r>
              <w:rPr>
                <w:vertAlign w:val="superscript"/>
              </w:rPr>
              <w:t>*</w:t>
            </w:r>
            <w:r>
              <w:t>p&lt;0.1;</w:t>
            </w:r>
            <w:r>
              <w:rPr>
                <w:rStyle w:val="apple-converted-space"/>
              </w:rPr>
              <w:t> </w:t>
            </w:r>
            <w:r>
              <w:rPr>
                <w:vertAlign w:val="superscript"/>
              </w:rPr>
              <w:t>**</w:t>
            </w:r>
            <w:r>
              <w:t>p&lt;0.05;</w:t>
            </w:r>
            <w:r>
              <w:rPr>
                <w:rStyle w:val="apple-converted-space"/>
              </w:rPr>
              <w:t> </w:t>
            </w:r>
            <w:r>
              <w:rPr>
                <w:vertAlign w:val="superscript"/>
              </w:rPr>
              <w:t>***</w:t>
            </w:r>
            <w:r>
              <w:t>p&lt;0.01</w:t>
            </w:r>
          </w:p>
        </w:tc>
      </w:tr>
    </w:tbl>
    <w:p w14:paraId="4E8A849F" w14:textId="6DBBA7BC" w:rsidR="00831288" w:rsidRDefault="007D2692" w:rsidP="004E203A">
      <w:pPr>
        <w:spacing w:after="298" w:line="265" w:lineRule="auto"/>
        <w:ind w:left="720" w:firstLine="0"/>
        <w:jc w:val="left"/>
      </w:pPr>
      <w:r>
        <w:rPr>
          <w:b/>
        </w:rPr>
        <w:t>A13:</w:t>
      </w:r>
      <w:r w:rsidR="00DF1B9B">
        <w:rPr>
          <w:b/>
        </w:rPr>
        <w:t xml:space="preserve"> This effect is even more pronounced when looking at the other industries. As more control variables are added, decreasing omitted variable bias, the effect goes from being statistically significant to be statistically insignificant. Showcasing no correlational relationship of the Eras Tour and GDP. </w:t>
      </w:r>
      <w:r w:rsidR="000C572A">
        <w:rPr>
          <w:b/>
        </w:rPr>
        <w:t xml:space="preserve">This lends credence to the idea that the Eras Tour does have a greater impact on Industries </w:t>
      </w:r>
      <w:r w:rsidR="008277F5">
        <w:rPr>
          <w:b/>
        </w:rPr>
        <w:t xml:space="preserve">traditionally thought to benefit from large events like, the AER industry. Albeit with a small magnitude of only increases of on average </w:t>
      </w:r>
      <w:r w:rsidR="00D26511">
        <w:rPr>
          <w:b/>
        </w:rPr>
        <w:t>1.67</w:t>
      </w:r>
      <w:r w:rsidR="008277F5">
        <w:rPr>
          <w:b/>
        </w:rPr>
        <w:t xml:space="preserve">% of GDP in counties which hosted the Eras Tour. </w:t>
      </w:r>
    </w:p>
    <w:p w14:paraId="330EA1E7" w14:textId="5FA3F420" w:rsidR="00831288" w:rsidRDefault="007D2692">
      <w:pPr>
        <w:ind w:left="-5" w:right="97"/>
      </w:pPr>
      <w:r>
        <w:rPr>
          <w:b/>
        </w:rPr>
        <w:t xml:space="preserve">Q14: </w:t>
      </w:r>
      <w:r>
        <w:t>Based on your regression analysis for the Arts, Entertainment, and Recreation industry (NAICS 71), calculate the implied increase in GDP for counties that hosted the Eras Tour. Use the provided hints and data to guide your calculations.</w:t>
      </w:r>
      <w:r w:rsidR="007B6083">
        <w:t xml:space="preserve"> </w:t>
      </w:r>
    </w:p>
    <w:p w14:paraId="5365E219" w14:textId="3E293F72" w:rsidR="00831288" w:rsidRPr="00A23498" w:rsidRDefault="007D2692">
      <w:pPr>
        <w:spacing w:after="7" w:line="265" w:lineRule="auto"/>
        <w:ind w:left="346"/>
        <w:jc w:val="left"/>
        <w:rPr>
          <w:b/>
        </w:rPr>
      </w:pPr>
      <w:r w:rsidRPr="00A23498">
        <w:rPr>
          <w:b/>
        </w:rPr>
        <w:t>A14:</w:t>
      </w:r>
      <w:r w:rsidR="007B6083" w:rsidRPr="00A23498">
        <w:rPr>
          <w:b/>
        </w:rPr>
        <w:t xml:space="preserve"> </w:t>
      </w:r>
      <w:r w:rsidR="00595A2B" w:rsidRPr="00A23498">
        <w:rPr>
          <w:b/>
        </w:rPr>
        <w:t xml:space="preserve"> </w:t>
      </w:r>
      <w:r w:rsidR="00D26511" w:rsidRPr="00A23498">
        <w:rPr>
          <w:b/>
        </w:rPr>
        <w:t xml:space="preserve">Given the average </w:t>
      </w:r>
      <w:r w:rsidR="00DA26EB" w:rsidRPr="00A23498">
        <w:rPr>
          <w:b/>
        </w:rPr>
        <w:t>effect of 1.67% on GDP, and the average GDP for NAICS 71 counties is 4.1 billion. A 1.67% increase in 4.1 billion is a $</w:t>
      </w:r>
      <w:r w:rsidR="00DA26EB" w:rsidRPr="00A23498">
        <w:rPr>
          <w:b/>
        </w:rPr>
        <w:t>66,128</w:t>
      </w:r>
      <w:r w:rsidR="00DA26EB" w:rsidRPr="00A23498">
        <w:rPr>
          <w:b/>
        </w:rPr>
        <w:t xml:space="preserve"> increase. Divided by the average population (2.3 million) to produce dollar earned per capita, we show that the average effect of the Eras Tour assuming average GDP of NAICS 71 counties, with a 95% confidence interval, is $28.75</w:t>
      </w:r>
      <w:r w:rsidR="00075B84" w:rsidRPr="00A23498">
        <w:rPr>
          <w:b/>
        </w:rPr>
        <w:t xml:space="preserve"> per person.</w:t>
      </w:r>
    </w:p>
    <w:p w14:paraId="13347327" w14:textId="77777777" w:rsidR="00AB5D7C" w:rsidRDefault="00AB5D7C">
      <w:pPr>
        <w:ind w:left="-5" w:right="97"/>
        <w:rPr>
          <w:b/>
        </w:rPr>
      </w:pPr>
    </w:p>
    <w:p w14:paraId="069FC85B" w14:textId="6F2FAE09" w:rsidR="00831288" w:rsidRDefault="007D2692">
      <w:pPr>
        <w:ind w:left="-5" w:right="97"/>
      </w:pPr>
      <w:r>
        <w:rPr>
          <w:b/>
        </w:rPr>
        <w:t xml:space="preserve">Q15: </w:t>
      </w:r>
      <w:r>
        <w:t xml:space="preserve">Now, based on your calculation in </w:t>
      </w:r>
      <w:r>
        <w:rPr>
          <w:b/>
        </w:rPr>
        <w:t>Q14</w:t>
      </w:r>
      <w:r>
        <w:t>, what would you report to the mayor regarding the potential economic impact of hosting a Taylor Swift concert in San Diego?</w:t>
      </w:r>
    </w:p>
    <w:p w14:paraId="3AD5F46B" w14:textId="42AA15B8" w:rsidR="00831288" w:rsidRDefault="007D2692">
      <w:pPr>
        <w:spacing w:after="298" w:line="265" w:lineRule="auto"/>
        <w:ind w:left="346"/>
        <w:jc w:val="left"/>
      </w:pPr>
      <w:r>
        <w:rPr>
          <w:b/>
        </w:rPr>
        <w:lastRenderedPageBreak/>
        <w:t>A15:</w:t>
      </w:r>
      <w:r w:rsidR="00075B84">
        <w:rPr>
          <w:b/>
        </w:rPr>
        <w:t xml:space="preserve"> The potential economic impact of hosting the Eras Tour, is positive. However, the effect is relatively small, only increasing GDP on average by 1.67%, or $28.75 per person in a county of 2.3 million people. </w:t>
      </w:r>
    </w:p>
    <w:sectPr w:rsidR="00831288">
      <w:footerReference w:type="even" r:id="rId7"/>
      <w:footerReference w:type="default" r:id="rId8"/>
      <w:footerReference w:type="first" r:id="rId9"/>
      <w:pgSz w:w="11906" w:h="16838"/>
      <w:pgMar w:top="1440" w:right="1328" w:bottom="1423" w:left="1440"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EA525" w14:textId="77777777" w:rsidR="0060783B" w:rsidRDefault="0060783B">
      <w:pPr>
        <w:spacing w:after="0" w:line="240" w:lineRule="auto"/>
      </w:pPr>
      <w:r>
        <w:separator/>
      </w:r>
    </w:p>
  </w:endnote>
  <w:endnote w:type="continuationSeparator" w:id="0">
    <w:p w14:paraId="30B162A0" w14:textId="77777777" w:rsidR="0060783B" w:rsidRDefault="00607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86C1" w14:textId="77777777" w:rsidR="00831288" w:rsidRDefault="007D2692">
    <w:pPr>
      <w:spacing w:after="0" w:line="259" w:lineRule="auto"/>
      <w:ind w:left="0" w:right="112"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F146" w14:textId="77777777" w:rsidR="00831288" w:rsidRDefault="007D2692">
    <w:pPr>
      <w:spacing w:after="0" w:line="259" w:lineRule="auto"/>
      <w:ind w:left="0" w:right="112"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50B7" w14:textId="77777777" w:rsidR="00831288" w:rsidRDefault="007D2692">
    <w:pPr>
      <w:spacing w:after="0" w:line="259" w:lineRule="auto"/>
      <w:ind w:left="0" w:right="112"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DFDF" w14:textId="77777777" w:rsidR="0060783B" w:rsidRDefault="0060783B">
      <w:pPr>
        <w:spacing w:after="0" w:line="240" w:lineRule="auto"/>
      </w:pPr>
      <w:r>
        <w:separator/>
      </w:r>
    </w:p>
  </w:footnote>
  <w:footnote w:type="continuationSeparator" w:id="0">
    <w:p w14:paraId="390C27CC" w14:textId="77777777" w:rsidR="0060783B" w:rsidRDefault="006078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288"/>
    <w:rsid w:val="00063702"/>
    <w:rsid w:val="00067641"/>
    <w:rsid w:val="00075B84"/>
    <w:rsid w:val="00097E2E"/>
    <w:rsid w:val="000C572A"/>
    <w:rsid w:val="000D245F"/>
    <w:rsid w:val="000E3FB1"/>
    <w:rsid w:val="00155149"/>
    <w:rsid w:val="00181FE1"/>
    <w:rsid w:val="002152B9"/>
    <w:rsid w:val="002232E8"/>
    <w:rsid w:val="00247192"/>
    <w:rsid w:val="00277D4E"/>
    <w:rsid w:val="002A3079"/>
    <w:rsid w:val="002C2402"/>
    <w:rsid w:val="003015E7"/>
    <w:rsid w:val="00306D63"/>
    <w:rsid w:val="003108FF"/>
    <w:rsid w:val="004148C5"/>
    <w:rsid w:val="00417F11"/>
    <w:rsid w:val="004E203A"/>
    <w:rsid w:val="00526BD6"/>
    <w:rsid w:val="00571960"/>
    <w:rsid w:val="00595A2B"/>
    <w:rsid w:val="00595F7F"/>
    <w:rsid w:val="0059738E"/>
    <w:rsid w:val="005C5741"/>
    <w:rsid w:val="0060783B"/>
    <w:rsid w:val="00613595"/>
    <w:rsid w:val="006B167B"/>
    <w:rsid w:val="006D5B5F"/>
    <w:rsid w:val="007730C5"/>
    <w:rsid w:val="007911FC"/>
    <w:rsid w:val="007B6083"/>
    <w:rsid w:val="007D2692"/>
    <w:rsid w:val="008260D2"/>
    <w:rsid w:val="008277F5"/>
    <w:rsid w:val="00831288"/>
    <w:rsid w:val="00837FA8"/>
    <w:rsid w:val="009433E6"/>
    <w:rsid w:val="0094727F"/>
    <w:rsid w:val="00A129FC"/>
    <w:rsid w:val="00A23498"/>
    <w:rsid w:val="00AB5D7C"/>
    <w:rsid w:val="00AC05FF"/>
    <w:rsid w:val="00AD7461"/>
    <w:rsid w:val="00C26B92"/>
    <w:rsid w:val="00C82AAA"/>
    <w:rsid w:val="00CB2CDF"/>
    <w:rsid w:val="00CE269D"/>
    <w:rsid w:val="00D26511"/>
    <w:rsid w:val="00D56E8E"/>
    <w:rsid w:val="00D6482A"/>
    <w:rsid w:val="00DA26EB"/>
    <w:rsid w:val="00DF1B9B"/>
    <w:rsid w:val="00E85170"/>
    <w:rsid w:val="00F4351C"/>
    <w:rsid w:val="00F67367"/>
    <w:rsid w:val="00F751A8"/>
    <w:rsid w:val="00FE0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9362"/>
  <w15:docId w15:val="{4FA6A892-73FC-4380-B9F6-F18E5CDD8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260"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131" w:line="261" w:lineRule="auto"/>
      <w:ind w:left="10" w:hanging="10"/>
      <w:jc w:val="both"/>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131" w:line="261" w:lineRule="auto"/>
      <w:ind w:left="10" w:hanging="10"/>
      <w:jc w:val="both"/>
      <w:outlineLvl w:val="1"/>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character" w:customStyle="1" w:styleId="Heading2Char">
    <w:name w:val="Heading 2 Char"/>
    <w:link w:val="Heading2"/>
    <w:rPr>
      <w:rFonts w:ascii="Cambria" w:eastAsia="Cambria" w:hAnsi="Cambria" w:cs="Cambria"/>
      <w:b/>
      <w:color w:val="000000"/>
      <w:sz w:val="34"/>
    </w:rPr>
  </w:style>
  <w:style w:type="table" w:styleId="TableGrid">
    <w:name w:val="Table Grid"/>
    <w:basedOn w:val="TableNormal"/>
    <w:uiPriority w:val="39"/>
    <w:rsid w:val="00DF1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14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3069D-749B-9E4B-AB84-A2E5FD6A3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Pages>
  <Words>1536</Words>
  <Characters>8374</Characters>
  <Application>Microsoft Office Word</Application>
  <DocSecurity>0</DocSecurity>
  <Lines>232</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Rosas</dc:creator>
  <cp:keywords/>
  <cp:lastModifiedBy>Agunias, Edgar</cp:lastModifiedBy>
  <cp:revision>53</cp:revision>
  <dcterms:created xsi:type="dcterms:W3CDTF">2025-02-03T19:54:00Z</dcterms:created>
  <dcterms:modified xsi:type="dcterms:W3CDTF">2026-02-13T04:10:00Z</dcterms:modified>
</cp:coreProperties>
</file>