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A4E0" w14:textId="77777777" w:rsidR="007867DB" w:rsidRDefault="007867DB" w:rsidP="00233132">
      <w:pPr>
        <w:spacing w:line="480" w:lineRule="auto"/>
        <w:jc w:val="center"/>
        <w:rPr>
          <w:b/>
          <w:bCs/>
          <w:sz w:val="32"/>
          <w:szCs w:val="32"/>
        </w:rPr>
      </w:pPr>
      <w:r w:rsidRPr="007867DB">
        <w:rPr>
          <w:b/>
          <w:bCs/>
          <w:sz w:val="32"/>
          <w:szCs w:val="32"/>
        </w:rPr>
        <w:t xml:space="preserve">Votes and Vetoes: Myanmar’s Failed Democratic </w:t>
      </w:r>
      <w:proofErr w:type="spellStart"/>
      <w:r w:rsidRPr="007867DB">
        <w:rPr>
          <w:b/>
          <w:bCs/>
          <w:sz w:val="32"/>
          <w:szCs w:val="32"/>
        </w:rPr>
        <w:t>Opening</w:t>
      </w:r>
    </w:p>
    <w:p w14:paraId="7F58BEE8" w14:textId="7B24327B" w:rsidR="001B0A97" w:rsidRDefault="001B0A97" w:rsidP="001B0A97">
      <w:pPr>
        <w:spacing w:line="480" w:lineRule="auto"/>
        <w:jc w:val="center"/>
        <w:rPr>
          <w:b/>
          <w:bCs/>
        </w:rPr>
      </w:pPr>
      <w:proofErr w:type="spellEnd"/>
      <w:r>
        <w:rPr>
          <w:b/>
          <w:bCs/>
        </w:rPr>
        <w:t>Edgar Agunias (A69046387)</w:t>
      </w:r>
    </w:p>
    <w:p w14:paraId="0AA0BE93" w14:textId="4EF0D8ED" w:rsidR="001B0A97" w:rsidRDefault="001B0A97" w:rsidP="001B0A97">
      <w:pPr>
        <w:spacing w:line="480" w:lineRule="auto"/>
        <w:jc w:val="center"/>
        <w:rPr>
          <w:b/>
          <w:bCs/>
        </w:rPr>
      </w:pPr>
      <w:r>
        <w:rPr>
          <w:b/>
          <w:bCs/>
        </w:rPr>
        <w:t xml:space="preserve">April </w:t>
      </w:r>
      <w:r>
        <w:rPr>
          <w:b/>
          <w:bCs/>
        </w:rPr>
        <w:t>28</w:t>
      </w:r>
      <w:r>
        <w:rPr>
          <w:b/>
          <w:bCs/>
        </w:rPr>
        <w:t>, 2026</w:t>
      </w:r>
    </w:p>
    <w:p w14:paraId="53BBBD48" w14:textId="77777777" w:rsidR="001B0A97" w:rsidRDefault="001B0A97" w:rsidP="001B0A97">
      <w:pPr>
        <w:spacing w:line="480" w:lineRule="auto"/>
        <w:jc w:val="center"/>
        <w:rPr>
          <w:b/>
          <w:bCs/>
        </w:rPr>
      </w:pPr>
      <w:r>
        <w:rPr>
          <w:b/>
          <w:bCs/>
        </w:rPr>
        <w:t>GPCO 410 International Politics &amp; Security</w:t>
      </w:r>
    </w:p>
    <w:p w14:paraId="64594F9E" w14:textId="77777777" w:rsidR="001B0A97" w:rsidRDefault="001B0A97" w:rsidP="001B0A97">
      <w:pPr>
        <w:spacing w:line="480" w:lineRule="auto"/>
        <w:jc w:val="center"/>
        <w:rPr>
          <w:b/>
          <w:bCs/>
        </w:rPr>
      </w:pPr>
      <w:r>
        <w:rPr>
          <w:b/>
          <w:bCs/>
        </w:rPr>
        <w:t xml:space="preserve">Professor </w:t>
      </w:r>
      <w:proofErr w:type="spellStart"/>
      <w:r>
        <w:rPr>
          <w:b/>
          <w:bCs/>
        </w:rPr>
        <w:t>Praether</w:t>
      </w:r>
      <w:proofErr w:type="spellEnd"/>
    </w:p>
    <w:p w14:paraId="51503FC8" w14:textId="77777777" w:rsidR="001B0A97" w:rsidRDefault="001B0A97" w:rsidP="001B0A97">
      <w:pPr>
        <w:spacing w:line="480" w:lineRule="auto"/>
        <w:jc w:val="center"/>
        <w:rPr>
          <w:b/>
          <w:bCs/>
        </w:rPr>
      </w:pPr>
      <w:r>
        <w:rPr>
          <w:noProof/>
        </w:rPr>
        <w:drawing>
          <wp:anchor distT="0" distB="0" distL="114300" distR="114300" simplePos="0" relativeHeight="251659264" behindDoc="0" locked="0" layoutInCell="1" allowOverlap="1" wp14:anchorId="0F6C028F" wp14:editId="3DAAD3A2">
            <wp:simplePos x="0" y="0"/>
            <wp:positionH relativeFrom="column">
              <wp:posOffset>2285365</wp:posOffset>
            </wp:positionH>
            <wp:positionV relativeFrom="paragraph">
              <wp:posOffset>229821</wp:posOffset>
            </wp:positionV>
            <wp:extent cx="1352550" cy="1359535"/>
            <wp:effectExtent l="0" t="0" r="6350" b="0"/>
            <wp:wrapSquare wrapText="bothSides"/>
            <wp:docPr id="777524779" name="Picture 1" descr="University of California, San Dieg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alifornia, San Diego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2550" cy="1359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ABBE44" w14:textId="77777777" w:rsidR="001B0A97" w:rsidRDefault="001B0A97" w:rsidP="001B0A97">
      <w:pPr>
        <w:spacing w:line="480" w:lineRule="auto"/>
        <w:jc w:val="center"/>
        <w:rPr>
          <w:b/>
          <w:bCs/>
        </w:rPr>
      </w:pPr>
      <w:r>
        <w:fldChar w:fldCharType="begin"/>
      </w:r>
      <w:r>
        <w:instrText xml:space="preserve"> INCLUDEPICTURE "/Users/edgar/Library/Group Containers/UBF8T346G9.ms/WebArchiveCopyPasteTempFiles/com.microsoft.Word/1280px-Seal_of_the_University_of_California%2C_San_Diego.svg.png" \* MERGEFORMATINET </w:instrText>
      </w:r>
      <w:r>
        <w:fldChar w:fldCharType="separate"/>
      </w:r>
      <w:r>
        <w:fldChar w:fldCharType="end"/>
      </w:r>
    </w:p>
    <w:p w14:paraId="6DAEEBAD" w14:textId="77777777" w:rsidR="001B0A97" w:rsidRDefault="001B0A97" w:rsidP="001B0A97">
      <w:pPr>
        <w:spacing w:line="480" w:lineRule="auto"/>
        <w:jc w:val="center"/>
        <w:rPr>
          <w:b/>
          <w:bCs/>
        </w:rPr>
      </w:pPr>
    </w:p>
    <w:p w14:paraId="6A9435CB" w14:textId="77777777" w:rsidR="001B0A97" w:rsidRDefault="001B0A97" w:rsidP="001B0A97">
      <w:pPr>
        <w:spacing w:line="480" w:lineRule="auto"/>
        <w:jc w:val="center"/>
        <w:rPr>
          <w:b/>
          <w:bCs/>
        </w:rPr>
      </w:pPr>
    </w:p>
    <w:p w14:paraId="52E0A6CE" w14:textId="77777777" w:rsidR="001B0A97" w:rsidRDefault="001B0A97" w:rsidP="001B0A97">
      <w:pPr>
        <w:spacing w:line="480" w:lineRule="auto"/>
        <w:jc w:val="center"/>
        <w:rPr>
          <w:b/>
          <w:bCs/>
        </w:rPr>
      </w:pPr>
      <w:r>
        <w:rPr>
          <w:b/>
          <w:bCs/>
        </w:rPr>
        <w:t>Word Count: 569</w:t>
      </w:r>
    </w:p>
    <w:p w14:paraId="498D82C1" w14:textId="77777777" w:rsidR="001B2FD3" w:rsidRDefault="001B2FD3" w:rsidP="002E3D6A">
      <w:pPr>
        <w:spacing w:line="480" w:lineRule="auto"/>
        <w:rPr>
          <w:b/>
        </w:rPr>
      </w:pPr>
      <w:r>
        <w:rPr>
          <w:b/>
        </w:rPr>
        <w:br w:type="page"/>
      </w:r>
    </w:p>
    <w:p w14:paraId="05D887FC" w14:textId="338E4E95" w:rsidR="00B10E21" w:rsidRDefault="00000000" w:rsidP="002E3D6A">
      <w:pPr>
        <w:spacing w:before="80" w:after="0" w:line="480" w:lineRule="auto"/>
      </w:pPr>
      <w:r>
        <w:rPr>
          <w:b/>
        </w:rPr>
        <w:lastRenderedPageBreak/>
        <w:t>Intro</w:t>
      </w:r>
      <w:r w:rsidR="005561BD">
        <w:rPr>
          <w:b/>
        </w:rPr>
        <w:t>duction</w:t>
      </w:r>
    </w:p>
    <w:p w14:paraId="5EE57429" w14:textId="3C923D1D" w:rsidR="00B10E21" w:rsidRDefault="00000000" w:rsidP="002E3D6A">
      <w:pPr>
        <w:spacing w:after="0" w:line="480" w:lineRule="auto"/>
        <w:ind w:firstLine="720"/>
      </w:pPr>
      <w:r>
        <w:t>Myanmar was at greater risk of civil war after the 2010 opening because democratization expanded the contest for control of the state without removing the military's veto over it. Cederman, Hug, and Krebs predict exactly this pattern: regime-change periods raise civil war risk when political competition for the center intensifies before institutions can absorb it.1 In Myanmar, Aung San Suu Kyi, leader of the National League for Democracy, tried to convert electoral legitimacy into civilian authority. Senior General Min Aung Hlaing, commander-in-chief of the Tatmadaw, protected the military's constitutional and coercive control. The 2021 coup realized the risk created by that failed opening.</w:t>
      </w:r>
      <w:r w:rsidR="002E3D6A"/>
      <w:r/>
      <w:r w:rsidR="002E3D6A"/>
      <w:r/>
      <w:r w:rsidR="00BC2900"/>
      <w:r/>
      <w:r w:rsidR="00FF2022"/>
      <w:r/>
      <w:r w:rsidR="00FF2022"/>
      <w:r/>
      <w:r>
        <w:rPr>
          <w:sz w:val="22"/>
          <w:vertAlign w:val="superscript"/>
        </w:rPr>
      </w:r>
      <w:r/>
      <w:r w:rsidR="00FF2022"/>
      <w:r/>
      <w:r>
        <w:rPr>
          <w:sz w:val="22"/>
          <w:vertAlign w:val="superscript"/>
        </w:rPr>
      </w:r>
      <w:r/>
      <w:r w:rsidR="00427212"/>
      <w:r/>
    </w:p>
    <w:p w14:paraId="23A629C7" w14:textId="265F5D62" w:rsidR="00B10E21" w:rsidRDefault="00000000" w:rsidP="002E3D6A">
      <w:pPr>
        <w:spacing w:before="80" w:after="0" w:line="480" w:lineRule="auto"/>
      </w:pPr>
      <w:r>
        <w:rPr>
          <w:b/>
        </w:rPr>
        <w:t>Context</w:t>
      </w:r>
    </w:p>
    <w:p w14:paraId="389D8BD0" w14:textId="2033F083" w:rsidR="00B10E21" w:rsidRDefault="00000000" w:rsidP="002E3D6A">
      <w:pPr>
        <w:spacing w:after="0" w:line="480" w:lineRule="auto"/>
        <w:ind w:firstLine="720"/>
      </w:pPr>
      <w:r>
        <w:t>The 2010 reforms lowered repression, released Aung San Suu Kyi, and opened space for electoral politics. But the transition was never a clean transfer to civilian supremacy. Min Aung Hlaing's military kept a reserved parliamentary bloc, command over core security ministries, and an amendment veto large enough to protect its institutional position.2 Aung San Suu Kyi's 2015 victory therefore changed who could claim popular legitimacy, not who controlled force. This is why the apparent calm of the reform decade is misleading. The bargain held only while military leaders believed electoral politics would leave their veto intact. The Rohingya crisis made the hierarchy visible: even during the reform period, the Tatmadaw could conduct mass coercion while Suu Kyi's civilian government lacked the capacity, and perhaps the leverage, to prevent it.3</w:t>
      </w:r>
      <w:r>
        <w:rPr>
          <w:sz w:val="22"/>
          <w:vertAlign w:val="superscript"/>
        </w:rPr>
      </w:r>
      <w:r/>
      <w:r w:rsidR="001B0A97"/>
      <w:r/>
      <w:r w:rsidR="001B0A97"/>
      <w:r/>
      <w:r w:rsidR="00B867A9"/>
      <w:r>
        <w:rPr>
          <w:sz w:val="22"/>
          <w:vertAlign w:val="superscript"/>
        </w:rPr>
      </w:r>
    </w:p>
    <w:p w14:paraId="75795A58" w14:textId="77777777" w:rsidR="001B2FD3" w:rsidRDefault="001B2FD3" w:rsidP="002E3D6A">
      <w:pPr>
        <w:spacing w:before="80" w:after="0" w:line="480" w:lineRule="auto"/>
        <w:rPr>
          <w:b/>
        </w:rPr>
      </w:pPr>
    </w:p>
    <w:p w14:paraId="6FA22DFE" w14:textId="77777777" w:rsidR="001B2FD3" w:rsidRDefault="001B2FD3" w:rsidP="002E3D6A">
      <w:pPr>
        <w:spacing w:line="480" w:lineRule="auto"/>
        <w:rPr>
          <w:b/>
        </w:rPr>
      </w:pPr>
      <w:r>
        <w:rPr>
          <w:b/>
        </w:rPr>
        <w:br w:type="page"/>
      </w:r>
    </w:p>
    <w:p w14:paraId="0F098035" w14:textId="3BCB5D1D" w:rsidR="00B10E21" w:rsidRDefault="00000000" w:rsidP="002E3D6A">
      <w:pPr>
        <w:spacing w:before="80" w:after="0" w:line="480" w:lineRule="auto"/>
      </w:pPr>
      <w:r>
        <w:rPr>
          <w:b/>
        </w:rPr>
        <w:lastRenderedPageBreak/>
        <w:t>Theory</w:t>
      </w:r>
      <w:r w:rsidR="001B2FD3">
        <w:rPr>
          <w:b/>
        </w:rPr>
        <w:t>:</w:t>
      </w:r>
    </w:p>
    <w:p w14:paraId="7A883C54" w14:textId="1817F265" w:rsidR="00B10E21" w:rsidRDefault="00000000" w:rsidP="002E3D6A">
      <w:pPr>
        <w:spacing w:after="0" w:line="480" w:lineRule="auto"/>
        <w:ind w:firstLine="720"/>
      </w:pPr>
      <w:proofErr w:type="spellStart"/>
      <w:r>
        <w:t>Cederman, Hug, and Krebs distinguish ordinary regime type from regime change. Their claim is not that democracies or autocracies are inherently violent. It is that transitions are dangerous because political entrepreneurs mobilize new publics around control of the state, especially in governmental conflicts over the center.4 Myanmar after 2010 was exactly such a center-seeking contest. Suu Kyi's electoral coalition treated the 2015 and 2020 landslides as mandates for civilian rule. Min Aung Hlaing treated those same elections as evidence that the military's reserved veto could eventually be overwhelmed by popular legitimacy.</w:t>
      </w:r>
      <w:proofErr w:type="spellEnd"/>
      <w:r/>
      <w:r w:rsidR="00145A5D"/>
      <w:r/>
      <w:r>
        <w:rPr>
          <w:sz w:val="22"/>
          <w:vertAlign w:val="superscript"/>
        </w:rPr>
      </w:r>
      <w:r/>
      <w:r w:rsidR="00145A5D"/>
      <w:r/>
      <w:r w:rsidR="00145A5D"/>
      <w:r/>
    </w:p>
    <w:p w14:paraId="577F62DE" w14:textId="77777777" w:rsidR="00B10E21" w:rsidRDefault="00000000" w:rsidP="002E3D6A">
      <w:pPr>
        <w:spacing w:after="0" w:line="480" w:lineRule="auto"/>
        <w:ind w:firstLine="720"/>
      </w:pPr>
      <w:r>
        <w:t>The main actors therefore had incompatible political projects. Suu Kyi's priority was to turn electoral victory into governing authority and constitutional reform. Min Aung Hlaing's priority was to preserve the Tatmadaw's autonomy, ministries, parliamentary bloc, and final say over the state. Once the 2020 election deepened Suu Kyi's mandate, the military's expected payoff from tolerating the opening fell. Fraud claims gave the coup a pretext, but the deeper mechanism was Cederman's: democratization had intensified the struggle for central power faster than Myanmar's institutions could contain it. The 2021 coup was therefore not a break from the democratization risk. It was the moment that risk became visible.</w:t>
      </w:r>
      <w:r>
        <w:rPr>
          <w:sz w:val="22"/>
          <w:vertAlign w:val="superscript"/>
        </w:rPr>
      </w:r>
    </w:p>
    <w:p w14:paraId="4D00BE55" w14:textId="77777777" w:rsidR="00B10E21" w:rsidRDefault="00000000" w:rsidP="002E3D6A">
      <w:pPr>
        <w:spacing w:before="80" w:after="0" w:line="480" w:lineRule="auto"/>
      </w:pPr>
      <w:r>
        <w:rPr>
          <w:b/>
        </w:rPr>
        <w:t>Conclusion</w:t>
      </w:r>
    </w:p>
    <w:p w14:paraId="30929AFF" w14:textId="77777777" w:rsidR="00B10E21" w:rsidRDefault="00000000" w:rsidP="002E3D6A">
      <w:pPr>
        <w:spacing w:after="0" w:line="480" w:lineRule="auto"/>
        <w:ind w:firstLine="720"/>
      </w:pPr>
      <w:r>
        <w:t>The post-coup war confirms the diagnosis. Resistance after 2021 was not only a return to Myanmar's older ethnic frontier wars. The National Unity Government and People's Defence Forces turned the conflict into a nationwide fight over who governs from the center, while ethnic armed organizations widened the military's battlefield pressures.5 That pattern matches Cederman, Hug, and Krebs's governmental-conflict logic. The stability counterargument therefore gets the timing wrong. Myanmar looked less violent from 2010 to 2020 because the military veto froze the contest, not because democratization had made the state safe. The policy lesson is blunt: elections without civilian control of coercion can intensify civil war risk by raising the stakes of state capture while leaving the strongest armed actor outside democratic constraint. Myanmar became violent because its democratization never removed the military's veto over power.</w:t>
      </w:r>
      <w:r>
        <w:rPr>
          <w:sz w:val="22"/>
          <w:vertAlign w:val="superscript"/>
        </w:rPr>
      </w:r>
      <w:r/>
      <w:r/>
    </w:p>
    <w:p w14:paraId="1696A22B" w14:textId="77777777" w:rsidR="005C793D" w:rsidRDefault="00000000" w:rsidP="005C793D">
      <w:pPr>
        <w:spacing w:before="80" w:after="0" w:line="480" w:lineRule="auto"/>
      </w:pPr>
      <w:r>
        <w:rPr>
          <w:b w:val="0"/>
          <w:sz w:val="20"/>
        </w:rPr>
        <w:t>Footnotes</w:t>
        <w:br/>
        <w:t>1. Lars-Erik Cederman, Simon Hug, and Lutz F. Krebs, "Democratization and Civil War: Empirical Evidence," Journal of Peace Research 47, no. 4 (2010): 377-394.</w:t>
      </w:r>
      <w:r w:rsidR="005C793D">
        <w:rPr>
          <w:b w:val="0"/>
          <w:sz w:val="20"/>
        </w:rPr>
      </w:r>
      <w:r w:rsidR="005C793D">
        <w:rPr>
          <w:b w:val="0"/>
        </w:rPr>
      </w:r>
    </w:p>
    <w:p w14:paraId="5399EDDB" w14:textId="2BD8180D" w:rsidR="00B10E21" w:rsidRDefault="005C793D" w:rsidP="005C793D">
      <w:pPr>
        <w:spacing w:before="80" w:after="0" w:line="480" w:lineRule="auto"/>
      </w:pPr>
      <w:r>
        <w:rPr>
          <w:b w:val="0"/>
        </w:rPr>
        <w:t>2. Constitution of the Republic of the Union of Myanmar (2008); International Crisis Group, Responding to the Myanmar Coup, Asia Briefing No. 166 (16 February 2021).</w:t>
      </w:r>
    </w:p>
    <w:p w14:paraId="4E911121" w14:textId="77777777" w:rsidR="005C793D" w:rsidRDefault="005C793D" w:rsidP="005C793D">
      <w:pPr>
        <w:spacing w:before="80" w:after="0" w:line="480" w:lineRule="auto"/>
      </w:pPr>
      <w:r>
        <w:rPr>
          <w:b w:val="0"/>
        </w:rPr>
        <w:t>3. Independent International Fact-Finding Mission on Myanmar, Report of the Detailed Findings, A/HRC/39/CRP.2 (17 September 2018); International Court of Justice, The Gambia v. Myanmar, verbatim record CR 2019/18 (11 December 2019).</w:t>
      </w:r>
      <w:proofErr w:type="gramStart"/>
      <w:r>
        <w:rPr>
          <w:b w:val="0"/>
        </w:rPr>
      </w:r>
      <w:proofErr w:type="gramEnd"/>
      <w:r>
        <w:rPr>
          <w:b w:val="0"/>
        </w:rPr>
      </w:r>
    </w:p>
    <w:p w14:paraId="7C000A17" w14:textId="2E4AED24" w:rsidR="005C793D" w:rsidRDefault="005C793D" w:rsidP="005C793D">
      <w:pPr>
        <w:spacing w:before="80" w:after="0" w:line="480" w:lineRule="auto"/>
      </w:pPr>
      <w:r>
        <w:rPr>
          <w:b w:val="0"/>
        </w:rPr>
        <w:t>4. Cederman, Hug, and Krebs, "Democratization and Civil War," 383-387.</w:t>
      </w:r>
    </w:p>
    <w:p w14:paraId="1E6F7585" w14:textId="77777777" w:rsidR="00B10E21" w:rsidRDefault="00000000" w:rsidP="002E3D6A">
      <w:pPr>
        <w:spacing w:after="0" w:line="480" w:lineRule="auto"/>
        <w:ind w:left="259" w:hanging="259"/>
      </w:pPr>
      <w:r>
        <w:rPr>
          <w:b w:val="0"/>
          <w:sz w:val="18"/>
        </w:rPr>
        <w:t>5. International Crisis Group, A Silent Revolution: Myanmar's Junta in Crisis, Asia Report No. 334 (November 2024); ACLED, Myanmar Conflict Dashboard; United Nations Office for the Coordination of Humanitarian Affairs, Myanmar Humanitarian Needs and Response Plan 2024.</w:t>
      </w:r>
    </w:p>
    <w:p w14:paraId="3055F30B" w14:textId="35EAC650" w:rsidR="00B10E21" w:rsidRDefault="00B10E21" w:rsidP="002E3D6A">
      <w:pPr>
        <w:spacing w:after="0" w:line="480" w:lineRule="auto"/>
      </w:pPr>
    </w:p>
    <w:sectPr w:rsidR="00B10E21"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6EB5" w14:textId="77777777" w:rsidR="00F97ED6" w:rsidRDefault="00F97ED6" w:rsidP="00783B09">
      <w:pPr>
        <w:spacing w:after="0" w:line="240" w:lineRule="auto"/>
      </w:pPr>
      <w:r>
        <w:separator/>
      </w:r>
    </w:p>
  </w:endnote>
  <w:endnote w:type="continuationSeparator" w:id="0">
    <w:p w14:paraId="6748C1E0" w14:textId="77777777" w:rsidR="00F97ED6" w:rsidRDefault="00F97ED6" w:rsidP="00783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C0E4" w14:textId="607DAB2C" w:rsidR="00783B09" w:rsidRDefault="00783B09" w:rsidP="002E3D6A">
    <w:pPr>
      <w:tabs>
        <w:tab w:val="left" w:pos="1884"/>
      </w:tabs>
      <w:spacing w:after="0" w:line="240" w:lineRule="auto"/>
    </w:pPr>
  </w:p>
  <w:p w14:paraId="2E63917A" w14:textId="4A319B4E" w:rsidR="00783B09" w:rsidRDefault="00783B09" w:rsidP="00783B09">
    <w:pPr>
      <w:pStyle w:val="Footer"/>
      <w:tabs>
        <w:tab w:val="clear" w:pos="4680"/>
        <w:tab w:val="clear" w:pos="9360"/>
        <w:tab w:val="left" w:pos="21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65B43" w14:textId="77777777" w:rsidR="00F97ED6" w:rsidRDefault="00F97ED6" w:rsidP="00783B09">
      <w:pPr>
        <w:spacing w:after="0" w:line="240" w:lineRule="auto"/>
      </w:pPr>
      <w:r>
        <w:separator/>
      </w:r>
    </w:p>
  </w:footnote>
  <w:footnote w:type="continuationSeparator" w:id="0">
    <w:p w14:paraId="1CE0CFC0" w14:textId="77777777" w:rsidR="00F97ED6" w:rsidRDefault="00F97ED6" w:rsidP="00783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321441">
    <w:abstractNumId w:val="8"/>
  </w:num>
  <w:num w:numId="2" w16cid:durableId="1539463234">
    <w:abstractNumId w:val="6"/>
  </w:num>
  <w:num w:numId="3" w16cid:durableId="1825854552">
    <w:abstractNumId w:val="5"/>
  </w:num>
  <w:num w:numId="4" w16cid:durableId="33431919">
    <w:abstractNumId w:val="4"/>
  </w:num>
  <w:num w:numId="5" w16cid:durableId="1745685013">
    <w:abstractNumId w:val="7"/>
  </w:num>
  <w:num w:numId="6" w16cid:durableId="815533666">
    <w:abstractNumId w:val="3"/>
  </w:num>
  <w:num w:numId="7" w16cid:durableId="1218516963">
    <w:abstractNumId w:val="2"/>
  </w:num>
  <w:num w:numId="8" w16cid:durableId="301348551">
    <w:abstractNumId w:val="1"/>
  </w:num>
  <w:num w:numId="9" w16cid:durableId="1728065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A5D"/>
    <w:rsid w:val="0015074B"/>
    <w:rsid w:val="001B0A97"/>
    <w:rsid w:val="001B2FD3"/>
    <w:rsid w:val="00233132"/>
    <w:rsid w:val="0029639D"/>
    <w:rsid w:val="002E3D6A"/>
    <w:rsid w:val="00326F90"/>
    <w:rsid w:val="00427212"/>
    <w:rsid w:val="005561BD"/>
    <w:rsid w:val="005C793D"/>
    <w:rsid w:val="00783B09"/>
    <w:rsid w:val="007867DB"/>
    <w:rsid w:val="00AA1D8D"/>
    <w:rsid w:val="00B10E21"/>
    <w:rsid w:val="00B447E2"/>
    <w:rsid w:val="00B47730"/>
    <w:rsid w:val="00B867A9"/>
    <w:rsid w:val="00BC2900"/>
    <w:rsid w:val="00BE2E8A"/>
    <w:rsid w:val="00CB0664"/>
    <w:rsid w:val="00DC2C2C"/>
    <w:rsid w:val="00F90196"/>
    <w:rsid w:val="00F97ED6"/>
    <w:rsid w:val="00FC693F"/>
    <w:rsid w:val="00FF20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C7E4B"/>
  <w14:defaultImageDpi w14:val="300"/>
  <w15:docId w15:val="{82E68194-96B5-3F4D-B8B1-C31425304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Agunias, Edgar</cp:lastModifiedBy>
  <cp:revision>20</cp:revision>
  <dcterms:created xsi:type="dcterms:W3CDTF">2013-12-23T23:15:00Z</dcterms:created>
  <dcterms:modified xsi:type="dcterms:W3CDTF">2026-04-29T01:48:00Z</dcterms:modified>
  <cp:category/>
</cp:coreProperties>
</file>