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B6295" w14:textId="363D7C07" w:rsidR="00E571CE" w:rsidRDefault="00CE7592" w:rsidP="006235AD">
      <w:pPr>
        <w:spacing w:line="480" w:lineRule="auto"/>
        <w:jc w:val="center"/>
        <w:rPr>
          <w:b/>
          <w:bCs/>
          <w:sz w:val="32"/>
          <w:szCs w:val="32"/>
        </w:rPr>
      </w:pPr>
      <w:r>
        <w:rPr>
          <w:b/>
          <w:bCs/>
          <w:sz w:val="32"/>
          <w:szCs w:val="32"/>
        </w:rPr>
        <w:t xml:space="preserve">The More the Merrier? </w:t>
      </w:r>
      <w:r>
        <w:rPr>
          <w:b/>
          <w:bCs/>
          <w:sz w:val="32"/>
          <w:szCs w:val="32"/>
        </w:rPr>
        <w:br/>
      </w:r>
      <w:r w:rsidR="00595DD9" w:rsidRPr="00595DD9">
        <w:rPr>
          <w:b/>
          <w:bCs/>
          <w:sz w:val="32"/>
          <w:szCs w:val="32"/>
        </w:rPr>
        <w:t>NATO Enlargement, Collective Security, and Organizational Commitments</w:t>
      </w:r>
    </w:p>
    <w:p w14:paraId="1CCE3F57" w14:textId="77777777" w:rsidR="00CE7592" w:rsidRDefault="00CE7592" w:rsidP="00595DD9">
      <w:pPr>
        <w:spacing w:line="480" w:lineRule="auto"/>
        <w:rPr>
          <w:b/>
          <w:bCs/>
        </w:rPr>
      </w:pPr>
    </w:p>
    <w:p w14:paraId="6F4C8340" w14:textId="350BB291" w:rsidR="00ED2974" w:rsidRDefault="00B1628C" w:rsidP="006235AD">
      <w:pPr>
        <w:spacing w:line="480" w:lineRule="auto"/>
        <w:jc w:val="center"/>
        <w:rPr>
          <w:b/>
          <w:bCs/>
        </w:rPr>
      </w:pPr>
      <w:r>
        <w:rPr>
          <w:b/>
          <w:bCs/>
        </w:rPr>
        <w:t>Edgar Agunias (A69046387)</w:t>
      </w:r>
    </w:p>
    <w:p w14:paraId="7970968C" w14:textId="50D344DC" w:rsidR="00ED2974" w:rsidRDefault="001A6B00" w:rsidP="006235AD">
      <w:pPr>
        <w:spacing w:line="480" w:lineRule="auto"/>
        <w:jc w:val="center"/>
        <w:rPr>
          <w:b/>
          <w:bCs/>
        </w:rPr>
      </w:pPr>
      <w:r>
        <w:rPr>
          <w:b/>
          <w:bCs/>
        </w:rPr>
        <w:t>May 20th</w:t>
      </w:r>
      <w:r w:rsidR="00ED2974">
        <w:rPr>
          <w:b/>
          <w:bCs/>
        </w:rPr>
        <w:t>, 2026</w:t>
      </w:r>
    </w:p>
    <w:p w14:paraId="4E0524BE" w14:textId="411B9CA1" w:rsidR="00B1628C" w:rsidRDefault="00B1628C" w:rsidP="006235AD">
      <w:pPr>
        <w:spacing w:line="480" w:lineRule="auto"/>
        <w:jc w:val="center"/>
        <w:rPr>
          <w:b/>
          <w:bCs/>
        </w:rPr>
      </w:pPr>
      <w:r>
        <w:rPr>
          <w:b/>
          <w:bCs/>
        </w:rPr>
        <w:t>GPCO 410 International Politics &amp; Security</w:t>
      </w:r>
    </w:p>
    <w:p w14:paraId="421A91C3" w14:textId="1C51A52E" w:rsidR="00CB5661" w:rsidRDefault="00B1628C" w:rsidP="006235AD">
      <w:pPr>
        <w:spacing w:line="480" w:lineRule="auto"/>
        <w:jc w:val="center"/>
        <w:rPr>
          <w:b/>
          <w:bCs/>
        </w:rPr>
      </w:pPr>
      <w:r>
        <w:rPr>
          <w:b/>
          <w:bCs/>
        </w:rPr>
        <w:t xml:space="preserve">Professor </w:t>
      </w:r>
      <w:proofErr w:type="spellStart"/>
      <w:r>
        <w:rPr>
          <w:b/>
          <w:bCs/>
        </w:rPr>
        <w:t>Praether</w:t>
      </w:r>
      <w:proofErr w:type="spellEnd"/>
    </w:p>
    <w:p w14:paraId="63816516" w14:textId="235FDC1F" w:rsidR="00FA0319" w:rsidRDefault="00FA0319" w:rsidP="00FA0319">
      <w:pPr>
        <w:spacing w:line="480" w:lineRule="auto"/>
        <w:jc w:val="center"/>
        <w:rPr>
          <w:b/>
          <w:bCs/>
        </w:rPr>
      </w:pPr>
      <w:r>
        <w:rPr>
          <w:b/>
          <w:bCs/>
        </w:rPr>
        <w:t>Word Count: 7</w:t>
      </w:r>
      <w:r w:rsidR="00A9563F">
        <w:rPr>
          <w:b/>
          <w:bCs/>
        </w:rPr>
        <w:t>86</w:t>
      </w:r>
    </w:p>
    <w:p w14:paraId="54615538" w14:textId="77777777" w:rsidR="00CE7592" w:rsidRDefault="00CE7592" w:rsidP="006235AD">
      <w:pPr>
        <w:spacing w:line="480" w:lineRule="auto"/>
        <w:jc w:val="center"/>
        <w:rPr>
          <w:b/>
          <w:bCs/>
        </w:rPr>
      </w:pPr>
    </w:p>
    <w:p w14:paraId="1F96A679" w14:textId="77777777" w:rsidR="00CE7592" w:rsidRDefault="00CE7592" w:rsidP="006235AD">
      <w:pPr>
        <w:spacing w:line="480" w:lineRule="auto"/>
        <w:jc w:val="center"/>
        <w:rPr>
          <w:b/>
          <w:bCs/>
        </w:rPr>
      </w:pPr>
    </w:p>
    <w:p w14:paraId="6C1244F9" w14:textId="2912B1B2" w:rsidR="00CE7592" w:rsidRDefault="00CE7592" w:rsidP="006235AD">
      <w:pPr>
        <w:spacing w:line="480" w:lineRule="auto"/>
        <w:jc w:val="center"/>
        <w:rPr>
          <w:b/>
          <w:bCs/>
        </w:rPr>
      </w:pPr>
    </w:p>
    <w:p w14:paraId="036EC076" w14:textId="3BCB817C" w:rsidR="00CE7592" w:rsidRDefault="00CE7592" w:rsidP="006235AD">
      <w:pPr>
        <w:spacing w:line="480" w:lineRule="auto"/>
        <w:jc w:val="center"/>
        <w:rPr>
          <w:b/>
          <w:bCs/>
        </w:rPr>
      </w:pPr>
    </w:p>
    <w:p w14:paraId="1056CCDF" w14:textId="51D0E3FA" w:rsidR="00CB5661" w:rsidRDefault="00FA0319" w:rsidP="006235AD">
      <w:pPr>
        <w:spacing w:line="480" w:lineRule="auto"/>
        <w:jc w:val="center"/>
        <w:rPr>
          <w:b/>
          <w:bCs/>
        </w:rPr>
      </w:pPr>
      <w:r>
        <w:rPr>
          <w:noProof/>
        </w:rPr>
        <w:drawing>
          <wp:anchor distT="0" distB="0" distL="114300" distR="114300" simplePos="0" relativeHeight="251658240" behindDoc="0" locked="0" layoutInCell="1" allowOverlap="1" wp14:anchorId="61E1B55A" wp14:editId="509BA7FA">
            <wp:simplePos x="0" y="0"/>
            <wp:positionH relativeFrom="column">
              <wp:posOffset>2285365</wp:posOffset>
            </wp:positionH>
            <wp:positionV relativeFrom="paragraph">
              <wp:posOffset>229821</wp:posOffset>
            </wp:positionV>
            <wp:extent cx="1352550" cy="1359535"/>
            <wp:effectExtent l="0" t="0" r="6350" b="0"/>
            <wp:wrapSquare wrapText="bothSides"/>
            <wp:docPr id="777524779" name="Picture 1" descr="University of California, San Dieg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California, San Diego - Wikiped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2550" cy="1359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5BC90" w14:textId="7A78413F" w:rsidR="00C37AB7" w:rsidRDefault="00C37AB7" w:rsidP="006235AD">
      <w:pPr>
        <w:spacing w:line="480" w:lineRule="auto"/>
        <w:jc w:val="center"/>
        <w:rPr>
          <w:b/>
          <w:bCs/>
        </w:rPr>
      </w:pPr>
      <w:r>
        <w:fldChar w:fldCharType="begin"/>
      </w:r>
      <w:r>
        <w:instrText xml:space="preserve"> INCLUDEPICTURE "/Users/edgar/Library/Group Containers/UBF8T346G9.ms/WebArchiveCopyPasteTempFiles/com.microsoft.Word/1280px-Seal_of_the_University_of_California%2C_San_Diego.svg.png" \* MERGEFORMATINET </w:instrText>
      </w:r>
      <w:r>
        <w:fldChar w:fldCharType="separate"/>
      </w:r>
      <w:r>
        <w:fldChar w:fldCharType="end"/>
      </w:r>
    </w:p>
    <w:p w14:paraId="637FAD77" w14:textId="77777777" w:rsidR="00ED2974" w:rsidRDefault="00ED2974" w:rsidP="006235AD">
      <w:pPr>
        <w:spacing w:line="480" w:lineRule="auto"/>
        <w:jc w:val="center"/>
        <w:rPr>
          <w:b/>
          <w:bCs/>
        </w:rPr>
      </w:pPr>
    </w:p>
    <w:p w14:paraId="7B37A8E7" w14:textId="77777777" w:rsidR="00ED2974" w:rsidRDefault="00ED2974" w:rsidP="006235AD">
      <w:pPr>
        <w:spacing w:line="480" w:lineRule="auto"/>
        <w:jc w:val="center"/>
        <w:rPr>
          <w:b/>
          <w:bCs/>
        </w:rPr>
      </w:pPr>
    </w:p>
    <w:p w14:paraId="422BBDD7" w14:textId="178D5C0E" w:rsidR="00E571CE" w:rsidRDefault="00E571CE" w:rsidP="006235AD">
      <w:pPr>
        <w:spacing w:line="480" w:lineRule="auto"/>
        <w:rPr>
          <w:b/>
          <w:bCs/>
        </w:rPr>
      </w:pPr>
      <w:r>
        <w:rPr>
          <w:b/>
          <w:bCs/>
        </w:rPr>
        <w:br w:type="page"/>
      </w:r>
    </w:p>
    <w:p w14:paraId="229503DB" w14:textId="19F448F8" w:rsidR="00E571CE" w:rsidRDefault="00E571CE" w:rsidP="006235AD">
      <w:pPr>
        <w:spacing w:line="480" w:lineRule="auto"/>
        <w:rPr>
          <w:b/>
          <w:bCs/>
        </w:rPr>
      </w:pPr>
      <w:r>
        <w:rPr>
          <w:b/>
          <w:bCs/>
        </w:rPr>
        <w:lastRenderedPageBreak/>
        <w:t>Introduction</w:t>
      </w:r>
    </w:p>
    <w:p w14:paraId="6E870AAC" w14:textId="77777777" w:rsidR="009C4D36" w:rsidRDefault="00CE7592" w:rsidP="00CE7592">
      <w:pPr>
        <w:spacing w:line="480" w:lineRule="auto"/>
        <w:ind w:firstLine="720"/>
      </w:pPr>
      <w:r>
        <w:t xml:space="preserve">Russia’s invasion of Ukraine in 2022 was a tipping point for two countries to begin the application process to join NATO after decades of strategic nonalignment. Preferences changed overnight for leaders of Finland under President </w:t>
      </w:r>
      <w:r w:rsidR="000B1202">
        <w:t>Niinistö</w:t>
      </w:r>
      <w:r>
        <w:t xml:space="preserve"> and Sweden under Prime Minister Andersson. With the benefits of strategic nonalignment waning, and the cost associated with a unilateral defense of the homefront, both leaders began the application process. </w:t>
      </w:r>
    </w:p>
    <w:p w14:paraId="58AE796C" w14:textId="5015C72E" w:rsidR="006235AD" w:rsidRPr="00CE7592" w:rsidRDefault="00CE7592" w:rsidP="00CE7592">
      <w:pPr>
        <w:spacing w:line="480" w:lineRule="auto"/>
        <w:ind w:firstLine="720"/>
      </w:pPr>
      <w:r>
        <w:t xml:space="preserve">However, their accession was stalled by Turkey under Erdogan utilized the joint decision-making regime to extract further concessions for its domestic security interests. </w:t>
      </w:r>
      <w:r w:rsidR="007F36B4">
        <w:t>Stein’s</w:t>
      </w:r>
      <w:r>
        <w:t xml:space="preserve"> theory of </w:t>
      </w:r>
      <w:r>
        <w:t>Coordination and collaboration:</w:t>
      </w:r>
      <w:r>
        <w:t xml:space="preserve"> </w:t>
      </w:r>
      <w:r>
        <w:t>regimes in an anarchic world</w:t>
      </w:r>
      <w:r>
        <w:t xml:space="preserve">, explains both why </w:t>
      </w:r>
      <w:r w:rsidR="000B1202">
        <w:t>Niinistö</w:t>
      </w:r>
      <w:r>
        <w:t xml:space="preserve"> and Andersson began the accession process, as well as why Erdogan stalled the process.</w:t>
      </w:r>
    </w:p>
    <w:p w14:paraId="20F83DFC" w14:textId="1FAF5A93" w:rsidR="00E571CE" w:rsidRDefault="00E571CE" w:rsidP="006235AD">
      <w:pPr>
        <w:spacing w:line="480" w:lineRule="auto"/>
        <w:rPr>
          <w:b/>
          <w:bCs/>
        </w:rPr>
      </w:pPr>
      <w:r>
        <w:rPr>
          <w:b/>
          <w:bCs/>
        </w:rPr>
        <w:t>Context</w:t>
      </w:r>
    </w:p>
    <w:p w14:paraId="341ADC96" w14:textId="6C95B4D9" w:rsidR="00D77587" w:rsidRDefault="007F36B4" w:rsidP="00D77587">
      <w:pPr>
        <w:spacing w:line="480" w:lineRule="auto"/>
        <w:ind w:firstLine="720"/>
      </w:pPr>
      <w:r>
        <w:t>Russia launched a full-scale invasion of Ukraine a country sharing a border with Russia on February 24</w:t>
      </w:r>
      <w:r w:rsidRPr="007F36B4">
        <w:rPr>
          <w:vertAlign w:val="superscript"/>
        </w:rPr>
        <w:t>th</w:t>
      </w:r>
      <w:r w:rsidR="006E34AF">
        <w:t>, 2022</w:t>
      </w:r>
      <w:r>
        <w:t xml:space="preserve">. In May of 2022 </w:t>
      </w:r>
      <w:r w:rsidR="000B1202">
        <w:t>Niinistö</w:t>
      </w:r>
      <w:r>
        <w:t xml:space="preserve"> and Andersson began the accession process to join NATO. NATO</w:t>
      </w:r>
      <w:r w:rsidR="00FC43D4">
        <w:t>,</w:t>
      </w:r>
      <w:r>
        <w:t xml:space="preserve"> a strategic military alliance/institution which conducts joint military exercises, burden sharing, and most importantly collective defense was at the time a </w:t>
      </w:r>
      <w:r w:rsidR="006E34AF">
        <w:t>30-member</w:t>
      </w:r>
      <w:r>
        <w:t xml:space="preserve"> strong organization. Erdogan seeing these applications raised objections over security concerns. Specifically pertaining to the need for further cost sharing and increasing the attack surface of the NATO alliance, where an attack on one, is an attack on all (Article 5). Erdogan’s objections were effective in stalling the accession process for both countries as a unanimous decision is required to join NATO. </w:t>
      </w:r>
    </w:p>
    <w:p w14:paraId="12771D6B" w14:textId="77777777" w:rsidR="005237FC" w:rsidRDefault="005237FC">
      <w:r>
        <w:br w:type="page"/>
      </w:r>
    </w:p>
    <w:p w14:paraId="7A77D9C1" w14:textId="760755E5" w:rsidR="006235AD" w:rsidRPr="007F36B4" w:rsidRDefault="007F36B4" w:rsidP="00D77587">
      <w:pPr>
        <w:spacing w:line="480" w:lineRule="auto"/>
        <w:ind w:firstLine="720"/>
      </w:pPr>
      <w:r>
        <w:lastRenderedPageBreak/>
        <w:t>It seemed more however, pertinent that Erdogan wanted concessions for domestic security interests dealing with Kurdish separatists, and arms restrictions. In any case Erdogan’s demands were met in June of 2022 after a trilateral memorandum was signed in Madrid.</w:t>
      </w:r>
      <w:r w:rsidR="00070EF6">
        <w:rPr>
          <w:rStyle w:val="FootnoteReference"/>
        </w:rPr>
        <w:footnoteReference w:id="1"/>
      </w:r>
      <w:r>
        <w:t xml:space="preserve"> </w:t>
      </w:r>
      <w:r w:rsidR="00D8392C" w:rsidRPr="00D8392C">
        <w:t>By August 2022, the United States had ratified; NATO-wide ratification continued, with Finland joining in 2023 and Sweden in 2024</w:t>
      </w:r>
    </w:p>
    <w:p w14:paraId="253DC9A3" w14:textId="5B64CDFC" w:rsidR="004772E3" w:rsidRPr="006235AD" w:rsidRDefault="009B11D9" w:rsidP="006235AD">
      <w:pPr>
        <w:spacing w:line="480" w:lineRule="auto"/>
      </w:pPr>
      <w:r>
        <w:rPr>
          <w:b/>
          <w:bCs/>
        </w:rPr>
        <w:t>Theory</w:t>
      </w:r>
    </w:p>
    <w:p w14:paraId="177C67F5" w14:textId="25A586E8" w:rsidR="00D77587" w:rsidRDefault="007F36B4" w:rsidP="00D77587">
      <w:pPr>
        <w:spacing w:line="480" w:lineRule="auto"/>
        <w:ind w:firstLine="720"/>
      </w:pPr>
      <w:r>
        <w:t>For St</w:t>
      </w:r>
      <w:r w:rsidR="00CA78C5">
        <w:t>ei</w:t>
      </w:r>
      <w:r>
        <w:t xml:space="preserve">n the </w:t>
      </w:r>
      <w:proofErr w:type="gramStart"/>
      <w:r>
        <w:t>manner in which</w:t>
      </w:r>
      <w:proofErr w:type="gramEnd"/>
      <w:r>
        <w:t xml:space="preserve"> </w:t>
      </w:r>
      <w:r w:rsidR="00D77587">
        <w:t>NATO was formed and is utilized is</w:t>
      </w:r>
      <w:r>
        <w:t xml:space="preserve"> a classic example of how independent </w:t>
      </w:r>
      <w:r w:rsidR="00D77587">
        <w:t>decision-making</w:t>
      </w:r>
      <w:r>
        <w:t xml:space="preserve"> changes to joint decision making. </w:t>
      </w:r>
      <w:r w:rsidR="00D77587">
        <w:t xml:space="preserve">When the independent costs of action are costly, states need rules and expectations, with credible commitments to create a stable regime. These are designed to solve two problems. Common Aversions/Coordination Problems where actors may not want the same ideal outcome but want to avoid a particularly bad outcome. In this example all actors wanted to avoid unchecked Russian aggression, and Alliance fracturing. Should the alliance push Erdogan to concede too much, the incorporation of Sweden and Finland would be at risk, and internal alignment in the alliance would be weakened. </w:t>
      </w:r>
      <w:r w:rsidR="00070EF6">
        <w:rPr>
          <w:rStyle w:val="FootnoteReference"/>
        </w:rPr>
        <w:footnoteReference w:id="2"/>
      </w:r>
    </w:p>
    <w:p w14:paraId="7025593B" w14:textId="511E51C7" w:rsidR="00D77587" w:rsidRPr="007F36B4" w:rsidRDefault="00D77587" w:rsidP="00F23B92">
      <w:pPr>
        <w:spacing w:line="480" w:lineRule="auto"/>
        <w:ind w:firstLine="720"/>
      </w:pPr>
      <w:r>
        <w:t xml:space="preserve">The other problem of Common Interest/Collaboration Problems where actors prefer cooperation, but actors differ in their preferences and ability to bear costs. All actors want a credible Article 5 guarantee, but the costs of burden sharing are contentious. Erdogan wanted concessions for his domestic security interests dealing with Kurdish separatists and the freeing of arms restrictions for Turkey. These costs were acceptable to other NATO members, making Erdogan’s objections effective and logical in furthering their own self interests. </w:t>
      </w:r>
      <w:r w:rsidR="00B6549E">
        <w:t xml:space="preserve">For </w:t>
      </w:r>
      <w:r w:rsidR="000B1202">
        <w:t>Niinistö</w:t>
      </w:r>
      <w:r w:rsidR="00B6549E">
        <w:t xml:space="preserve"> and </w:t>
      </w:r>
      <w:r w:rsidR="00B6549E">
        <w:lastRenderedPageBreak/>
        <w:t>Andersson specifically the benefits of NATO membership outweighed the costs of these concessions</w:t>
      </w:r>
      <w:r w:rsidR="00EE71A9">
        <w:t xml:space="preserve"> hence the signing of the Madrid Memorandum</w:t>
      </w:r>
      <w:r w:rsidR="00B6549E">
        <w:t>. Collaboration problems also become easier, when the costs of noncooperation are high</w:t>
      </w:r>
      <w:r w:rsidR="00EE71A9">
        <w:t>.</w:t>
      </w:r>
      <w:r w:rsidR="00B6549E">
        <w:t xml:space="preserve"> Putin’s invasion of Ukraine gave a stark reminder </w:t>
      </w:r>
      <w:r w:rsidR="00EE71A9">
        <w:t xml:space="preserve">that those </w:t>
      </w:r>
      <w:r w:rsidR="00B6549E">
        <w:t xml:space="preserve">near the border of Russia are possible targets, one that has not been as </w:t>
      </w:r>
      <w:r w:rsidR="00EE71A9">
        <w:t xml:space="preserve">salient </w:t>
      </w:r>
      <w:r w:rsidR="00B6549E">
        <w:t>since the Cold War.</w:t>
      </w:r>
    </w:p>
    <w:p w14:paraId="7588CED8" w14:textId="62E9B28E" w:rsidR="00561275" w:rsidRDefault="00E571CE" w:rsidP="006235AD">
      <w:pPr>
        <w:spacing w:line="480" w:lineRule="auto"/>
      </w:pPr>
      <w:r>
        <w:rPr>
          <w:b/>
          <w:bCs/>
        </w:rPr>
        <w:t>Conclusion</w:t>
      </w:r>
      <w:r w:rsidR="001863E2">
        <w:t xml:space="preserve"> </w:t>
      </w:r>
    </w:p>
    <w:p w14:paraId="3C645DBE" w14:textId="0C8BAFC6" w:rsidR="00E23844" w:rsidRDefault="00EE71A9" w:rsidP="00EE71A9">
      <w:pPr>
        <w:spacing w:line="480" w:lineRule="auto"/>
        <w:ind w:firstLine="720"/>
      </w:pPr>
      <w:r>
        <w:t xml:space="preserve">NATO’s regime adjustment is more than the </w:t>
      </w:r>
      <w:r w:rsidR="00194787">
        <w:t>addition</w:t>
      </w:r>
      <w:r>
        <w:t xml:space="preserve"> of two new members. With it comes the need to form consensus on Common Aversions and Common Interests. NATO which once had a clear and prominent goal during the Cold War began to wane. However, with the invasion of Ukraine, the members have once again found the same common aversion: preventing Russian dominance in Europe. Its common interests and incentives have more clearly been defined through </w:t>
      </w:r>
      <w:r w:rsidR="00E23844">
        <w:t xml:space="preserve">codified </w:t>
      </w:r>
      <w:r>
        <w:t>burden sharing and decrease of restrictions on intermember weapons trading.</w:t>
      </w:r>
      <w:r w:rsidR="00E23844">
        <w:t xml:space="preserve"> While the expansion of NATO may increase the attack surface of the organization it also consequently increases the costs of attacking any of its member</w:t>
      </w:r>
      <w:r w:rsidR="00CA2A16">
        <w:t>s</w:t>
      </w:r>
      <w:r w:rsidR="00E23844">
        <w:t xml:space="preserve">; Furthering its deterrence capabilities. </w:t>
      </w:r>
    </w:p>
    <w:p w14:paraId="6878CF6B" w14:textId="011BBA0A" w:rsidR="00281F22" w:rsidRDefault="00CA78C5" w:rsidP="00EE71A9">
      <w:pPr>
        <w:spacing w:line="480" w:lineRule="auto"/>
        <w:ind w:firstLine="720"/>
      </w:pPr>
      <w:r>
        <w:t>Stein</w:t>
      </w:r>
      <w:r w:rsidR="00E23844">
        <w:t xml:space="preserve"> suggests that NATO’s future strength depends on the ability to continue converting its shared aversion to Russian coercion. </w:t>
      </w:r>
      <w:r w:rsidR="00070EF6">
        <w:t>It may fal</w:t>
      </w:r>
      <w:r w:rsidR="00667A30">
        <w:t>ter s</w:t>
      </w:r>
      <w:r w:rsidR="00E23844">
        <w:t xml:space="preserve">hould bargaining commitments and side concessions become more costly and more prevalent credible joint commitments become in jeopardy. For the time being, ironically the invasion of Ukraine may be what has kept NATO together and forced it </w:t>
      </w:r>
      <w:r w:rsidR="000A5BD6">
        <w:t xml:space="preserve">to </w:t>
      </w:r>
      <w:r w:rsidR="000123C7">
        <w:t xml:space="preserve">clarify </w:t>
      </w:r>
      <w:r w:rsidR="00F646B0">
        <w:t xml:space="preserve">and codify </w:t>
      </w:r>
      <w:r w:rsidR="000123C7">
        <w:t>its collaboration and coordination</w:t>
      </w:r>
      <w:r w:rsidR="00070EF6">
        <w:t xml:space="preserve">. </w:t>
      </w:r>
      <w:r w:rsidR="00E23844">
        <w:t xml:space="preserve"> </w:t>
      </w:r>
    </w:p>
    <w:p w14:paraId="092B83D5" w14:textId="77777777" w:rsidR="00281F22" w:rsidRDefault="00281F22">
      <w:r>
        <w:br w:type="page"/>
      </w:r>
    </w:p>
    <w:p w14:paraId="3C9E6FFB" w14:textId="77777777" w:rsidR="00281F22" w:rsidRDefault="00281F22" w:rsidP="00281F22">
      <w:pPr>
        <w:spacing w:line="480" w:lineRule="auto"/>
        <w:ind w:left="720" w:hanging="720"/>
        <w:rPr>
          <w:b/>
          <w:bCs/>
        </w:rPr>
      </w:pPr>
      <w:r>
        <w:rPr>
          <w:b/>
          <w:bCs/>
        </w:rPr>
        <w:lastRenderedPageBreak/>
        <w:t>References</w:t>
      </w:r>
    </w:p>
    <w:p w14:paraId="57DFF60E" w14:textId="2E6A3C77" w:rsidR="00F23B92" w:rsidRDefault="00281F22" w:rsidP="00281F22">
      <w:pPr>
        <w:spacing w:line="480" w:lineRule="auto"/>
        <w:ind w:left="720" w:hanging="720"/>
      </w:pPr>
      <w:r w:rsidRPr="00281F22">
        <w:t>Arthur A. Stein, “Coordination and Collaboration: Regimes in an Anarchic World,” International Organization 36, no. 2 (1982): 299-324</w:t>
      </w:r>
    </w:p>
    <w:p w14:paraId="550E6E64" w14:textId="15D99560" w:rsidR="00281F22" w:rsidRPr="00281F22" w:rsidRDefault="00281F22" w:rsidP="00281F22">
      <w:pPr>
        <w:spacing w:line="480" w:lineRule="auto"/>
        <w:ind w:left="720" w:hanging="720"/>
      </w:pPr>
      <w:r w:rsidRPr="00281F22">
        <w:t>NATO, “</w:t>
      </w:r>
      <w:proofErr w:type="spellStart"/>
      <w:r w:rsidRPr="00281F22">
        <w:t>Turkiye</w:t>
      </w:r>
      <w:proofErr w:type="spellEnd"/>
      <w:r w:rsidRPr="00281F22">
        <w:t>, Finland, and Sweden Sign Agreement Paving the Way for Finnish and Swedish NATO Membership,” June 28, 2022; NATO, “NATO Allies Sign Accession Protocols for Finland and Sweden,” July 5, 2022.</w:t>
      </w:r>
    </w:p>
    <w:sectPr w:rsidR="00281F22" w:rsidRPr="00281F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34CCD" w14:textId="77777777" w:rsidR="006A1EC7" w:rsidRDefault="006A1EC7" w:rsidP="00B1628C">
      <w:pPr>
        <w:spacing w:after="0" w:line="240" w:lineRule="auto"/>
      </w:pPr>
      <w:r>
        <w:separator/>
      </w:r>
    </w:p>
  </w:endnote>
  <w:endnote w:type="continuationSeparator" w:id="0">
    <w:p w14:paraId="7C885A24" w14:textId="77777777" w:rsidR="006A1EC7" w:rsidRDefault="006A1EC7" w:rsidP="00B16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571E2" w14:textId="77777777" w:rsidR="006A1EC7" w:rsidRDefault="006A1EC7" w:rsidP="00B1628C">
      <w:pPr>
        <w:spacing w:after="0" w:line="240" w:lineRule="auto"/>
      </w:pPr>
      <w:r>
        <w:separator/>
      </w:r>
    </w:p>
  </w:footnote>
  <w:footnote w:type="continuationSeparator" w:id="0">
    <w:p w14:paraId="51A4A1DC" w14:textId="77777777" w:rsidR="006A1EC7" w:rsidRDefault="006A1EC7" w:rsidP="00B1628C">
      <w:pPr>
        <w:spacing w:after="0" w:line="240" w:lineRule="auto"/>
      </w:pPr>
      <w:r>
        <w:continuationSeparator/>
      </w:r>
    </w:p>
  </w:footnote>
  <w:footnote w:id="1">
    <w:p w14:paraId="4DEB6FAD" w14:textId="42723540" w:rsidR="00070EF6" w:rsidRDefault="00070EF6">
      <w:pPr>
        <w:pStyle w:val="FootnoteText"/>
      </w:pPr>
      <w:r>
        <w:rPr>
          <w:rStyle w:val="FootnoteReference"/>
        </w:rPr>
        <w:footnoteRef/>
      </w:r>
      <w:r>
        <w:t xml:space="preserve"> </w:t>
      </w:r>
      <w:r w:rsidRPr="00070EF6">
        <w:t>NATO, “</w:t>
      </w:r>
      <w:proofErr w:type="spellStart"/>
      <w:r w:rsidRPr="00070EF6">
        <w:t>Turkiye</w:t>
      </w:r>
      <w:proofErr w:type="spellEnd"/>
      <w:r w:rsidRPr="00070EF6">
        <w:t>, Finland, and Sweden Sign Agreement Paving the Way for Finnish and Swedish NATO Membership,” June 28, 2022; NATO, “NATO Allies Sign Accession Protocols for Finland and Sweden,” July 5, 2022</w:t>
      </w:r>
    </w:p>
  </w:footnote>
  <w:footnote w:id="2">
    <w:p w14:paraId="5BD6CB7F" w14:textId="4AB13FB7" w:rsidR="00070EF6" w:rsidRDefault="00070EF6">
      <w:pPr>
        <w:pStyle w:val="FootnoteText"/>
      </w:pPr>
      <w:r>
        <w:rPr>
          <w:rStyle w:val="FootnoteReference"/>
        </w:rPr>
        <w:footnoteRef/>
      </w:r>
      <w:r>
        <w:t xml:space="preserve"> </w:t>
      </w:r>
      <w:r w:rsidRPr="00070EF6">
        <w:t>Arthur A. Stein, “Coordination and Collaboration: Regimes in an Anarchic World,” International Organization 36, no. 2 (1982): 299-324</w:t>
      </w: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28C"/>
    <w:rsid w:val="000123C7"/>
    <w:rsid w:val="00042B3B"/>
    <w:rsid w:val="00046116"/>
    <w:rsid w:val="000566CB"/>
    <w:rsid w:val="00070EF6"/>
    <w:rsid w:val="000A5BD6"/>
    <w:rsid w:val="000B1202"/>
    <w:rsid w:val="000B43F0"/>
    <w:rsid w:val="000B6DE9"/>
    <w:rsid w:val="000D72E7"/>
    <w:rsid w:val="000F46D7"/>
    <w:rsid w:val="000F6506"/>
    <w:rsid w:val="00123564"/>
    <w:rsid w:val="00143429"/>
    <w:rsid w:val="001863E2"/>
    <w:rsid w:val="00194787"/>
    <w:rsid w:val="00194F24"/>
    <w:rsid w:val="001A6B00"/>
    <w:rsid w:val="0021172D"/>
    <w:rsid w:val="00232E44"/>
    <w:rsid w:val="00241344"/>
    <w:rsid w:val="0024572A"/>
    <w:rsid w:val="00265D63"/>
    <w:rsid w:val="00281F22"/>
    <w:rsid w:val="00297A9A"/>
    <w:rsid w:val="002A439C"/>
    <w:rsid w:val="002B4F13"/>
    <w:rsid w:val="002C6818"/>
    <w:rsid w:val="002D1F31"/>
    <w:rsid w:val="002F34E0"/>
    <w:rsid w:val="00301F69"/>
    <w:rsid w:val="00327194"/>
    <w:rsid w:val="0035526E"/>
    <w:rsid w:val="00374F6B"/>
    <w:rsid w:val="0040198F"/>
    <w:rsid w:val="004110F9"/>
    <w:rsid w:val="00412CC8"/>
    <w:rsid w:val="004321C8"/>
    <w:rsid w:val="00436221"/>
    <w:rsid w:val="00447DCD"/>
    <w:rsid w:val="00453BB1"/>
    <w:rsid w:val="004772E3"/>
    <w:rsid w:val="00490613"/>
    <w:rsid w:val="004F39E4"/>
    <w:rsid w:val="005237FC"/>
    <w:rsid w:val="00561275"/>
    <w:rsid w:val="00595DD9"/>
    <w:rsid w:val="005F3231"/>
    <w:rsid w:val="006235AD"/>
    <w:rsid w:val="00660575"/>
    <w:rsid w:val="00666557"/>
    <w:rsid w:val="00667A30"/>
    <w:rsid w:val="006A0FEF"/>
    <w:rsid w:val="006A1EC7"/>
    <w:rsid w:val="006A490F"/>
    <w:rsid w:val="006C6819"/>
    <w:rsid w:val="006E34AF"/>
    <w:rsid w:val="00755BA4"/>
    <w:rsid w:val="00757618"/>
    <w:rsid w:val="007857E9"/>
    <w:rsid w:val="007C6C08"/>
    <w:rsid w:val="007D4867"/>
    <w:rsid w:val="007E4C14"/>
    <w:rsid w:val="007E7686"/>
    <w:rsid w:val="007F36B4"/>
    <w:rsid w:val="0081528E"/>
    <w:rsid w:val="00833D0E"/>
    <w:rsid w:val="00843FAA"/>
    <w:rsid w:val="009026BC"/>
    <w:rsid w:val="00922B8A"/>
    <w:rsid w:val="00950DBF"/>
    <w:rsid w:val="0095187D"/>
    <w:rsid w:val="009B1048"/>
    <w:rsid w:val="009B11D9"/>
    <w:rsid w:val="009C09D6"/>
    <w:rsid w:val="009C4D36"/>
    <w:rsid w:val="009E489F"/>
    <w:rsid w:val="009E4F2F"/>
    <w:rsid w:val="00A26DD9"/>
    <w:rsid w:val="00A45C76"/>
    <w:rsid w:val="00A9563F"/>
    <w:rsid w:val="00B1628C"/>
    <w:rsid w:val="00B47865"/>
    <w:rsid w:val="00B6549E"/>
    <w:rsid w:val="00BA07D2"/>
    <w:rsid w:val="00C37AB7"/>
    <w:rsid w:val="00C42CDE"/>
    <w:rsid w:val="00C533FA"/>
    <w:rsid w:val="00C81AF7"/>
    <w:rsid w:val="00CA1793"/>
    <w:rsid w:val="00CA2A16"/>
    <w:rsid w:val="00CA4059"/>
    <w:rsid w:val="00CA78C5"/>
    <w:rsid w:val="00CB5661"/>
    <w:rsid w:val="00CB5B8F"/>
    <w:rsid w:val="00CD75C9"/>
    <w:rsid w:val="00CE7592"/>
    <w:rsid w:val="00D716D4"/>
    <w:rsid w:val="00D77587"/>
    <w:rsid w:val="00D8392C"/>
    <w:rsid w:val="00E23844"/>
    <w:rsid w:val="00E52E30"/>
    <w:rsid w:val="00E571CE"/>
    <w:rsid w:val="00E95A5E"/>
    <w:rsid w:val="00EA17F2"/>
    <w:rsid w:val="00EC00A9"/>
    <w:rsid w:val="00ED2974"/>
    <w:rsid w:val="00EE71A9"/>
    <w:rsid w:val="00F23B92"/>
    <w:rsid w:val="00F54FF5"/>
    <w:rsid w:val="00F633C8"/>
    <w:rsid w:val="00F646B0"/>
    <w:rsid w:val="00FA0319"/>
    <w:rsid w:val="00FB4796"/>
    <w:rsid w:val="00FC238D"/>
    <w:rsid w:val="00FC2551"/>
    <w:rsid w:val="00FC43D4"/>
    <w:rsid w:val="00FC732F"/>
    <w:rsid w:val="00FD267C"/>
    <w:rsid w:val="00FE0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DA7A6"/>
  <w15:chartTrackingRefBased/>
  <w15:docId w15:val="{624C6358-2AE5-524E-9E24-64A6C6960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28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28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628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628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628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628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628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2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2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28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28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628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628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628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628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628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6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28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28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628C"/>
    <w:pPr>
      <w:spacing w:before="160"/>
      <w:jc w:val="center"/>
    </w:pPr>
    <w:rPr>
      <w:i/>
      <w:iCs/>
      <w:color w:val="404040" w:themeColor="text1" w:themeTint="BF"/>
    </w:rPr>
  </w:style>
  <w:style w:type="character" w:customStyle="1" w:styleId="QuoteChar">
    <w:name w:val="Quote Char"/>
    <w:basedOn w:val="DefaultParagraphFont"/>
    <w:link w:val="Quote"/>
    <w:uiPriority w:val="29"/>
    <w:rsid w:val="00B1628C"/>
    <w:rPr>
      <w:i/>
      <w:iCs/>
      <w:color w:val="404040" w:themeColor="text1" w:themeTint="BF"/>
    </w:rPr>
  </w:style>
  <w:style w:type="paragraph" w:styleId="ListParagraph">
    <w:name w:val="List Paragraph"/>
    <w:basedOn w:val="Normal"/>
    <w:uiPriority w:val="34"/>
    <w:qFormat/>
    <w:rsid w:val="00B1628C"/>
    <w:pPr>
      <w:ind w:left="720"/>
      <w:contextualSpacing/>
    </w:pPr>
  </w:style>
  <w:style w:type="character" w:styleId="IntenseEmphasis">
    <w:name w:val="Intense Emphasis"/>
    <w:basedOn w:val="DefaultParagraphFont"/>
    <w:uiPriority w:val="21"/>
    <w:qFormat/>
    <w:rsid w:val="00B1628C"/>
    <w:rPr>
      <w:i/>
      <w:iCs/>
      <w:color w:val="0F4761" w:themeColor="accent1" w:themeShade="BF"/>
    </w:rPr>
  </w:style>
  <w:style w:type="paragraph" w:styleId="IntenseQuote">
    <w:name w:val="Intense Quote"/>
    <w:basedOn w:val="Normal"/>
    <w:next w:val="Normal"/>
    <w:link w:val="IntenseQuoteChar"/>
    <w:uiPriority w:val="30"/>
    <w:qFormat/>
    <w:rsid w:val="00B16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28C"/>
    <w:rPr>
      <w:i/>
      <w:iCs/>
      <w:color w:val="0F4761" w:themeColor="accent1" w:themeShade="BF"/>
    </w:rPr>
  </w:style>
  <w:style w:type="character" w:styleId="IntenseReference">
    <w:name w:val="Intense Reference"/>
    <w:basedOn w:val="DefaultParagraphFont"/>
    <w:uiPriority w:val="32"/>
    <w:qFormat/>
    <w:rsid w:val="00B1628C"/>
    <w:rPr>
      <w:b/>
      <w:bCs/>
      <w:smallCaps/>
      <w:color w:val="0F4761" w:themeColor="accent1" w:themeShade="BF"/>
      <w:spacing w:val="5"/>
    </w:rPr>
  </w:style>
  <w:style w:type="paragraph" w:styleId="Header">
    <w:name w:val="header"/>
    <w:basedOn w:val="Normal"/>
    <w:link w:val="HeaderChar"/>
    <w:uiPriority w:val="99"/>
    <w:unhideWhenUsed/>
    <w:rsid w:val="00B162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28C"/>
  </w:style>
  <w:style w:type="paragraph" w:styleId="Footer">
    <w:name w:val="footer"/>
    <w:basedOn w:val="Normal"/>
    <w:link w:val="FooterChar"/>
    <w:uiPriority w:val="99"/>
    <w:unhideWhenUsed/>
    <w:rsid w:val="00B162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28C"/>
  </w:style>
  <w:style w:type="character" w:styleId="Strong">
    <w:name w:val="Strong"/>
    <w:basedOn w:val="DefaultParagraphFont"/>
    <w:uiPriority w:val="22"/>
    <w:qFormat/>
    <w:rsid w:val="007C6C08"/>
    <w:rPr>
      <w:b/>
      <w:bCs/>
    </w:rPr>
  </w:style>
  <w:style w:type="character" w:styleId="Hyperlink">
    <w:name w:val="Hyperlink"/>
    <w:basedOn w:val="DefaultParagraphFont"/>
    <w:uiPriority w:val="99"/>
    <w:unhideWhenUsed/>
    <w:rsid w:val="00E571CE"/>
    <w:rPr>
      <w:color w:val="467886" w:themeColor="hyperlink"/>
      <w:u w:val="single"/>
    </w:rPr>
  </w:style>
  <w:style w:type="character" w:styleId="UnresolvedMention">
    <w:name w:val="Unresolved Mention"/>
    <w:basedOn w:val="DefaultParagraphFont"/>
    <w:uiPriority w:val="99"/>
    <w:semiHidden/>
    <w:unhideWhenUsed/>
    <w:rsid w:val="00E571CE"/>
    <w:rPr>
      <w:color w:val="605E5C"/>
      <w:shd w:val="clear" w:color="auto" w:fill="E1DFDD"/>
    </w:rPr>
  </w:style>
  <w:style w:type="paragraph" w:styleId="FootnoteText">
    <w:name w:val="footnote text"/>
    <w:basedOn w:val="Normal"/>
    <w:link w:val="FootnoteTextChar"/>
    <w:uiPriority w:val="99"/>
    <w:semiHidden/>
    <w:unhideWhenUsed/>
    <w:rsid w:val="002413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1344"/>
    <w:rPr>
      <w:sz w:val="20"/>
      <w:szCs w:val="20"/>
    </w:rPr>
  </w:style>
  <w:style w:type="character" w:styleId="FootnoteReference">
    <w:name w:val="footnote reference"/>
    <w:basedOn w:val="DefaultParagraphFont"/>
    <w:uiPriority w:val="99"/>
    <w:semiHidden/>
    <w:unhideWhenUsed/>
    <w:rsid w:val="00241344"/>
    <w:rPr>
      <w:vertAlign w:val="superscript"/>
    </w:rPr>
  </w:style>
  <w:style w:type="character" w:styleId="Emphasis">
    <w:name w:val="Emphasis"/>
    <w:basedOn w:val="DefaultParagraphFont"/>
    <w:uiPriority w:val="20"/>
    <w:qFormat/>
    <w:rsid w:val="002413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Agunias, Edgar</dc:creator>
  <cp:keywords/>
  <dc:description/>
  <cp:lastModifiedBy>Agunias, Edgar</cp:lastModifiedBy>
  <cp:revision>47</cp:revision>
  <cp:lastPrinted>2026-05-20T17:32:00Z</cp:lastPrinted>
  <dcterms:created xsi:type="dcterms:W3CDTF">2026-04-29T16:38:00Z</dcterms:created>
  <dcterms:modified xsi:type="dcterms:W3CDTF">2026-05-20T17:33:00Z</dcterms:modified>
</cp:coreProperties>
</file>