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C382E1" w14:textId="77777777" w:rsidR="00DF7A8D" w:rsidRDefault="00000000">
      <w:pPr>
        <w:spacing w:before="1600" w:after="240"/>
        <w:jc w:val="center"/>
      </w:pPr>
      <w:r>
        <w:rPr>
          <w:b/>
          <w:bCs/>
          <w:color w:val="1A3A5C"/>
          <w:sz w:val="44"/>
          <w:szCs w:val="44"/>
        </w:rPr>
        <w:t>TECHNISCHE ANALYSE</w:t>
      </w:r>
    </w:p>
    <w:p w14:paraId="3B80D23F" w14:textId="77777777" w:rsidR="00DF7A8D" w:rsidRDefault="00000000">
      <w:pPr>
        <w:spacing w:before="80" w:after="120"/>
        <w:jc w:val="center"/>
      </w:pPr>
      <w:r>
        <w:rPr>
          <w:b/>
          <w:bCs/>
          <w:color w:val="2E75B6"/>
          <w:sz w:val="30"/>
          <w:szCs w:val="30"/>
        </w:rPr>
        <w:t>EDI@Energy MaLo-Ident V2 API</w:t>
      </w:r>
    </w:p>
    <w:p w14:paraId="580E92ED" w14:textId="77777777" w:rsidR="00DF7A8D" w:rsidRDefault="00000000">
      <w:pPr>
        <w:spacing w:before="80" w:after="80"/>
        <w:jc w:val="center"/>
      </w:pPr>
      <w:r>
        <w:rPr>
          <w:i/>
          <w:iCs/>
          <w:color w:val="2E75B6"/>
        </w:rPr>
        <w:t>Kritische Bewertung auf Basis der API-Guideline v1.0c (Konsultationsfassung, BDEW, 01.08.2026)</w:t>
      </w:r>
    </w:p>
    <w:p w14:paraId="42277859" w14:textId="77777777" w:rsidR="00DF7A8D" w:rsidRDefault="00000000">
      <w:pPr>
        <w:spacing w:before="80" w:after="100"/>
        <w:jc w:val="center"/>
      </w:pPr>
      <w:r>
        <w:rPr>
          <w:i/>
          <w:iCs/>
          <w:color w:val="555555"/>
          <w:sz w:val="19"/>
          <w:szCs w:val="19"/>
        </w:rPr>
        <w:t>Versionsmanagement · Idempotenz · Rückgabewerte · Marktrisiken</w:t>
      </w:r>
    </w:p>
    <w:p w14:paraId="7F40B789" w14:textId="77777777" w:rsidR="00DF7A8D" w:rsidRDefault="00DF7A8D">
      <w:pPr>
        <w:spacing w:before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DF7A8D" w14:paraId="1EE9F78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CDEE5D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Stand der Analyse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3E5FB2" w14:textId="77777777" w:rsidR="00DF7A8D" w:rsidRDefault="00000000">
            <w:pPr>
              <w:spacing w:before="80" w:after="100"/>
              <w:jc w:val="both"/>
            </w:pPr>
            <w:r>
              <w:t>01. Juni 2026</w:t>
            </w:r>
          </w:p>
        </w:tc>
      </w:tr>
      <w:tr w:rsidR="00DF7A8D" w14:paraId="11F4027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C98A94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Analysierte Dokumente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D5FA67" w14:textId="77777777" w:rsidR="00DF7A8D" w:rsidRDefault="00000000">
            <w:pPr>
              <w:spacing w:before="80" w:after="100"/>
              <w:jc w:val="both"/>
            </w:pPr>
            <w:r>
              <w:t>EDI@Energy API-Guideline v1.0c (Konsultationsfassung, BDEW, 01.08.2026)</w:t>
            </w:r>
            <w:r>
              <w:br/>
              <w:t>maloIdentV1 / maloIdentV2 OpenAPI-Spezifikation (GitHub: EDI-Energy/api-electricity)</w:t>
            </w:r>
          </w:p>
        </w:tc>
      </w:tr>
      <w:tr w:rsidR="00DF7A8D" w14:paraId="30F7A0C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0F0F74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Klassifikation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D0C3E3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</w:rPr>
              <w:t>KRITIS — Kritische Infrastruktur Energieversorgung Deutschland</w:t>
            </w:r>
          </w:p>
        </w:tc>
      </w:tr>
      <w:tr w:rsidR="00DF7A8D" w14:paraId="6044DE9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DFA672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Betroffene Marktteilnehmer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012712" w14:textId="77777777" w:rsidR="00DF7A8D" w:rsidRDefault="00000000">
            <w:pPr>
              <w:spacing w:before="80" w:after="100"/>
              <w:jc w:val="both"/>
            </w:pPr>
            <w:r>
              <w:t>Über 900 Netzbetreiber und Lieferanten im deutschen Energiemarkt</w:t>
            </w:r>
          </w:p>
        </w:tc>
      </w:tr>
    </w:tbl>
    <w:p w14:paraId="4D1B326C" w14:textId="77777777" w:rsidR="00DF7A8D" w:rsidRDefault="00DF7A8D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F7A8D" w14:paraId="3130465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0" w:space="0" w:color="C0392B"/>
              <w:left w:val="single" w:sz="10" w:space="0" w:color="C0392B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276A3998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</w:rPr>
              <w:t xml:space="preserve">Kernerkenntnis: </w:t>
            </w:r>
            <w:r>
              <w:t>Diese Analyse identifiziert drei fundamentale Design-Fehler in der MaLo-Ident V2 API und der zugrundeliegenden API-Guideline v1.0c. Die Fehler sind nicht akademisch — sie haben bereits heute nachweislich zu Interoperabilitätskrisen und erheblichem Mehraufwand bei hunderten Marktteilnehmern geführt. Mit dem Rollout des MaBiS-Hub und 60+ weiteren APIs multipliziert sich jedes dieser Probleme.</w:t>
            </w:r>
          </w:p>
        </w:tc>
      </w:tr>
    </w:tbl>
    <w:p w14:paraId="2406AA48" w14:textId="77777777" w:rsidR="00DF7A8D" w:rsidRDefault="00000000">
      <w:r>
        <w:br w:type="page"/>
      </w:r>
    </w:p>
    <w:p w14:paraId="2EBF549D" w14:textId="77777777" w:rsidR="00DF7A8D" w:rsidRDefault="00000000">
      <w:pPr>
        <w:pStyle w:val="berschrift1"/>
      </w:pPr>
      <w:r>
        <w:lastRenderedPageBreak/>
        <w:t>1. Management Summary</w:t>
      </w:r>
    </w:p>
    <w:p w14:paraId="7D1DD74F" w14:textId="77777777" w:rsidR="00DF7A8D" w:rsidRDefault="00DF7A8D">
      <w:pPr>
        <w:pBdr>
          <w:bottom w:val="single" w:sz="6" w:space="1" w:color="2E75B6"/>
        </w:pBdr>
        <w:spacing w:before="140" w:after="140"/>
      </w:pPr>
    </w:p>
    <w:p w14:paraId="7CD9EE74" w14:textId="77777777" w:rsidR="00DF7A8D" w:rsidRDefault="00000000">
      <w:pPr>
        <w:spacing w:before="80" w:after="100"/>
        <w:jc w:val="both"/>
      </w:pPr>
      <w:r>
        <w:t>Diese Analyse zeigt drei fundamentale Design-Fehler in einer KRITIS-Schnittstelle auf, die für die Energieversorgung Deutschlands kritisch ist. Die Befunde beziehen sich auf die MaLo-Ident V2 API-Spezifikation sowie die API-Guideline v1.0c (Konsultationsfassung, 01.08.2026).</w:t>
      </w:r>
    </w:p>
    <w:p w14:paraId="4F9DC29D" w14:textId="77777777" w:rsidR="00DF7A8D" w:rsidRDefault="00DF7A8D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3"/>
        <w:gridCol w:w="2464"/>
        <w:gridCol w:w="3492"/>
        <w:gridCol w:w="1245"/>
        <w:gridCol w:w="2648"/>
      </w:tblGrid>
      <w:tr w:rsidR="00DF7A8D" w14:paraId="12A13E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3FDF38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634D8C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Problem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A2C468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Befund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55ADBD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Risiko</w:t>
            </w:r>
          </w:p>
        </w:tc>
        <w:tc>
          <w:tcPr>
            <w:tcW w:w="23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F6EAF9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Empfehlung</w:t>
            </w:r>
          </w:p>
        </w:tc>
      </w:tr>
      <w:tr w:rsidR="00DF7A8D" w14:paraId="3C390234" w14:textId="77777777">
        <w:tblPrEx>
          <w:tblCellMar>
            <w:top w:w="0" w:type="dxa"/>
            <w:bottom w:w="0" w:type="dxa"/>
          </w:tblCellMar>
        </w:tblPrEx>
        <w:tc>
          <w:tcPr>
            <w:tcW w:w="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F8F114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1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456F52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Version in URI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CC7B92" w14:textId="77777777" w:rsidR="00DF7A8D" w:rsidRDefault="00000000">
            <w:pPr>
              <w:spacing w:before="80" w:after="100"/>
              <w:jc w:val="both"/>
            </w:pPr>
            <w:r>
              <w:t>/maloId/request/v2 verstößt gegen RFC 3986 und IETF-Standards. Erzeugt dauerhaften, synchronen Migrationsaufwand bei allen 900+ Marktteilnehmern bei jedem Versionssprung.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AD879F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E67E22"/>
                <w:sz w:val="20"/>
                <w:szCs w:val="20"/>
              </w:rPr>
              <w:t>HOCH</w:t>
            </w:r>
          </w:p>
        </w:tc>
        <w:tc>
          <w:tcPr>
            <w:tcW w:w="23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38DB11" w14:textId="77777777" w:rsidR="00DF7A8D" w:rsidRDefault="00000000">
            <w:pPr>
              <w:spacing w:before="80" w:after="100"/>
              <w:jc w:val="both"/>
            </w:pPr>
            <w:r>
              <w:t>Content Negotiation via Accept-Header (RFC 9110 §12.5). URI bleibt dauerhaft stabil.</w:t>
            </w:r>
          </w:p>
        </w:tc>
      </w:tr>
      <w:tr w:rsidR="00DF7A8D" w14:paraId="711AA105" w14:textId="77777777">
        <w:tblPrEx>
          <w:tblCellMar>
            <w:top w:w="0" w:type="dxa"/>
            <w:bottom w:w="0" w:type="dxa"/>
          </w:tblCellMar>
        </w:tblPrEx>
        <w:tc>
          <w:tcPr>
            <w:tcW w:w="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16555C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2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D5ADC5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Falsch bezeichnete Idempotenz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784870" w14:textId="77777777" w:rsidR="00DF7A8D" w:rsidRDefault="00000000">
            <w:pPr>
              <w:spacing w:before="80" w:after="100"/>
              <w:jc w:val="both"/>
            </w:pPr>
            <w:r>
              <w:t>transactionId/initialTransactionId ist keine Idempotenz — es ist Anfrage-Korrelation. Der Begriff ist sachlich falsch und hat bereits zu nachweislich inkompatiblen Implementierungen im Markt geführt.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7FE3C7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t>KRITISCH</w:t>
            </w:r>
          </w:p>
        </w:tc>
        <w:tc>
          <w:tcPr>
            <w:tcW w:w="23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522322" w14:textId="77777777" w:rsidR="00DF7A8D" w:rsidRDefault="00000000">
            <w:pPr>
              <w:spacing w:before="80" w:after="100"/>
              <w:jc w:val="both"/>
            </w:pPr>
            <w:r>
              <w:t>W3C Trace Context (traceparent/tracestate). Kein proprietäres Konstrukt.</w:t>
            </w:r>
          </w:p>
        </w:tc>
      </w:tr>
      <w:tr w:rsidR="00DF7A8D" w14:paraId="72256490" w14:textId="77777777">
        <w:tblPrEx>
          <w:tblCellMar>
            <w:top w:w="0" w:type="dxa"/>
            <w:bottom w:w="0" w:type="dxa"/>
          </w:tblCellMar>
        </w:tblPrEx>
        <w:tc>
          <w:tcPr>
            <w:tcW w:w="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A03C92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3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407B58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Nicht-standardisierte Rückgabeendpunkte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C88B54" w14:textId="77777777" w:rsidR="00DF7A8D" w:rsidRDefault="00000000">
            <w:pPr>
              <w:spacing w:before="80" w:after="100"/>
              <w:jc w:val="both"/>
            </w:pPr>
            <w:r>
              <w:t>/dataForMarketLocationPositive und /dataForMarketLocationNegative verletzen RFC 9110. Zwei separate Callback-Endpunkte statt HTTP-Statuscodes verdoppeln den Implementierungsaufwand ohne Mehrwert.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95DD60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E67E22"/>
                <w:sz w:val="20"/>
                <w:szCs w:val="20"/>
              </w:rPr>
              <w:t>HOCH</w:t>
            </w:r>
          </w:p>
        </w:tc>
        <w:tc>
          <w:tcPr>
            <w:tcW w:w="23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5A66C5" w14:textId="77777777" w:rsidR="00DF7A8D" w:rsidRDefault="00000000">
            <w:pPr>
              <w:spacing w:before="80" w:after="100"/>
              <w:jc w:val="both"/>
            </w:pPr>
            <w:r>
              <w:t>HTTP-Statuscodes (RFC 9110 §15) + RFC 9457 Problem Details + OpenAPI 3.x Callbacks.</w:t>
            </w:r>
          </w:p>
        </w:tc>
      </w:tr>
    </w:tbl>
    <w:p w14:paraId="1F8FCFB7" w14:textId="77777777" w:rsidR="00DF7A8D" w:rsidRDefault="00DF7A8D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F7A8D" w14:paraId="6BED871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0" w:space="0" w:color="E67E22"/>
              <w:left w:val="single" w:sz="10" w:space="0" w:color="E67E22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6B206C6E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E67E22"/>
              </w:rPr>
              <w:t xml:space="preserve">Gesamtbewertung: </w:t>
            </w:r>
            <w:r>
              <w:t>Die API-Guideline v1.0c und die MaLo-Ident V2 API zeigen handwerkliche Mängel, die für eine KRITIS-Schnittstelle nicht akzeptabel sind. Falsche RFC-Referenzen, ein konzeptioneller Fehler bei Idempotenz und ein nicht-standardisiertes Rückgabemuster erzeugen im Markt Interoperabilitätsprobleme, die zu Implementierungsfehlern bei hunderten Marktteilnehmern führen.</w:t>
            </w:r>
          </w:p>
          <w:p w14:paraId="55ECA6B4" w14:textId="77777777" w:rsidR="00DF7A8D" w:rsidRDefault="00DF7A8D">
            <w:pPr>
              <w:spacing w:before="80"/>
            </w:pPr>
          </w:p>
          <w:p w14:paraId="72C43336" w14:textId="77777777" w:rsidR="00DF7A8D" w:rsidRDefault="00000000">
            <w:pPr>
              <w:spacing w:before="80" w:after="100"/>
              <w:jc w:val="both"/>
            </w:pPr>
            <w:r>
              <w:rPr>
                <w:i/>
                <w:iCs/>
              </w:rPr>
              <w:t>Die von einzelnen Herstellern geäußerte Einschätzung, Implementierer seien 'zu dumm für die korrekte Implementierung', ist sachlich nicht haltbar. Schlechte Spezifikationen erzwingen schlechte Implementierungen — das ist ein Grundgesetz der Softwareentwicklung, das seit Jahrzehnten empirisch belegt ist. Die Verantwortung liegt bei der Qualität der Spezifikation.</w:t>
            </w:r>
          </w:p>
        </w:tc>
      </w:tr>
    </w:tbl>
    <w:p w14:paraId="1263791C" w14:textId="77777777" w:rsidR="00DF7A8D" w:rsidRDefault="00DF7A8D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F7A8D" w14:paraId="1C0BC91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0" w:space="0" w:color="2E75B6"/>
              <w:left w:val="single" w:sz="10" w:space="0" w:color="2E75B6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0D29EA3C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1A3A5C"/>
              </w:rPr>
              <w:lastRenderedPageBreak/>
              <w:t xml:space="preserve">Empfehlung: </w:t>
            </w:r>
            <w:r>
              <w:t>Die konzeptionelle Grundlage von API-Webdiensten im deutschen Energiemarkt sollte durch unabhängige, spezialisierte Institutionen (</w:t>
            </w:r>
            <w:hyperlink r:id="rId7" w:history="1">
              <w:r>
                <w:rPr>
                  <w:color w:val="2E75B6"/>
                  <w:u w:val="single"/>
                </w:rPr>
                <w:t>Fraunhofer FOKUS Berlin</w:t>
              </w:r>
            </w:hyperlink>
            <w:r>
              <w:t>, IETF-Experten) validiert und überarbeitet werden. Dies ist keine Kritik an Einzelpersonen, sondern eine systemische Notwendigkeit für eine Infrastruktur nationaler Relevanz.</w:t>
            </w:r>
          </w:p>
        </w:tc>
      </w:tr>
    </w:tbl>
    <w:p w14:paraId="0B2DD079" w14:textId="77777777" w:rsidR="00DF7A8D" w:rsidRDefault="00000000">
      <w:r>
        <w:br w:type="page"/>
      </w:r>
    </w:p>
    <w:p w14:paraId="77A35B04" w14:textId="77777777" w:rsidR="00DF7A8D" w:rsidRDefault="00000000">
      <w:pPr>
        <w:pStyle w:val="berschrift1"/>
      </w:pPr>
      <w:r>
        <w:lastRenderedPageBreak/>
        <w:t>2. Marktfolgen und Risiken bei Nicht-Behebung</w:t>
      </w:r>
    </w:p>
    <w:p w14:paraId="50E796F9" w14:textId="77777777" w:rsidR="00DF7A8D" w:rsidRDefault="00DF7A8D">
      <w:pPr>
        <w:pBdr>
          <w:bottom w:val="single" w:sz="6" w:space="1" w:color="2E75B6"/>
        </w:pBdr>
        <w:spacing w:before="140" w:after="140"/>
      </w:pPr>
    </w:p>
    <w:p w14:paraId="5F97A54C" w14:textId="77777777" w:rsidR="00DF7A8D" w:rsidRDefault="00000000">
      <w:pPr>
        <w:spacing w:before="80" w:after="100"/>
        <w:jc w:val="both"/>
      </w:pPr>
      <w:r>
        <w:t>Die drei nachfolgend beschriebenen Probleme sind nicht gleichwertig — sie unterscheiden sich in Schwere, Eintrittswahrscheinlichkeit und Marktauswirkung. Dieser Abschnitt quantifiziert, was auf dem Spiel steht.</w:t>
      </w:r>
    </w:p>
    <w:p w14:paraId="57AD4274" w14:textId="77777777" w:rsidR="00DF7A8D" w:rsidRDefault="00DF7A8D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F7A8D" w14:paraId="1C081F2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0" w:space="0" w:color="6C3483"/>
              <w:left w:val="single" w:sz="10" w:space="0" w:color="6C3483"/>
              <w:bottom w:val="single" w:sz="4" w:space="0" w:color="CCCCCC"/>
              <w:right w:val="single" w:sz="4" w:space="0" w:color="CCCCCC"/>
            </w:tcBorders>
            <w:shd w:val="clear" w:color="auto" w:fill="F4ECF7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2CDB40EC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6C3483"/>
              </w:rPr>
              <w:t>Problem 1 — URI-Versionierung: Daueraufwand</w:t>
            </w:r>
          </w:p>
          <w:p w14:paraId="72565CF9" w14:textId="77777777" w:rsidR="00DF7A8D" w:rsidRDefault="00DF7A8D">
            <w:pPr>
              <w:spacing w:before="80"/>
            </w:pPr>
          </w:p>
          <w:p w14:paraId="7639A1FB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 xml:space="preserve">60 MaBiS-Hub-APIs × 900 Marktteilnehmer × 2 Major-Versionen/Jahr = </w:t>
            </w:r>
            <w:r>
              <w:rPr>
                <w:b/>
                <w:bCs/>
                <w:color w:val="C0392B"/>
              </w:rPr>
              <w:t xml:space="preserve">bis zu 108.000 koordinierte Systemänderungen pro Jahr im Markt, </w:t>
            </w:r>
            <w:r>
              <w:t>allein ausgelöst durch das fehlerhafte Versionierungsmuster. Jede Änderung erfordert synchrone Anpassung von API-Gateways, Firewall-Freischaltungen, DNS-Konfigurationen und TLS-Einstellungen bei jedem einzelnen Marktteilnehmer. Netzbetreiber mit veralteten ERP-Systemen werden Versionssprünge nicht rechtzeitig umsetzen — mit der Folge von Kommunikationsausfällen.</w:t>
            </w:r>
          </w:p>
        </w:tc>
      </w:tr>
    </w:tbl>
    <w:p w14:paraId="7EA1116E" w14:textId="77777777" w:rsidR="00DF7A8D" w:rsidRDefault="00DF7A8D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F7A8D" w14:paraId="2AB883B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0" w:space="0" w:color="6C3483"/>
              <w:left w:val="single" w:sz="10" w:space="0" w:color="6C3483"/>
              <w:bottom w:val="single" w:sz="4" w:space="0" w:color="CCCCCC"/>
              <w:right w:val="single" w:sz="4" w:space="0" w:color="CCCCCC"/>
            </w:tcBorders>
            <w:shd w:val="clear" w:color="auto" w:fill="F4ECF7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0426B47B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6C3483"/>
              </w:rPr>
              <w:t>Problem 2 — Idempotenz: Nachweisbarer Marktschaden heute</w:t>
            </w:r>
          </w:p>
          <w:p w14:paraId="5BE68E8D" w14:textId="77777777" w:rsidR="00DF7A8D" w:rsidRDefault="00DF7A8D">
            <w:pPr>
              <w:spacing w:before="80"/>
            </w:pPr>
          </w:p>
          <w:p w14:paraId="36F79615" w14:textId="77777777" w:rsidR="00DF7A8D" w:rsidRDefault="00000000">
            <w:pPr>
              <w:spacing w:before="80" w:after="100"/>
              <w:jc w:val="both"/>
            </w:pPr>
            <w:r>
              <w:t>Mindestens zwei vollständig inkompatible Implementierungsvarianten der referenceId-Regel existieren bereits im Markt — beide guideline-konform, aber gegenseitig nicht kommunikationsfähig. Dokumentiert im Änderungsantrag 08/12/2025 als 'dramatische Missverständnisse'. Die Behebung dieser bilateralen Inkompatibilitäten hat marktbreit bereits Aufwände im siebenstelligen Euro-Bereich verursacht.</w:t>
            </w:r>
          </w:p>
          <w:p w14:paraId="53457BD2" w14:textId="77777777" w:rsidR="00DF7A8D" w:rsidRDefault="00DF7A8D">
            <w:pPr>
              <w:spacing w:before="80"/>
            </w:pPr>
          </w:p>
          <w:p w14:paraId="2BABF91D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 xml:space="preserve">Folge für BDEW: </w:t>
            </w:r>
            <w:r>
              <w:t>Der BDEW hat öffentlich dokumentiert, dass seine Guideline zu 'dramatischen Missverständnissen' führt. Ohne konzeptionelle Korrektur (Begriff 'Anfrage-Korrelation' statt 'Idempotenz') wird jede folgende API-Version dasselbe Problem vererben.</w:t>
            </w:r>
          </w:p>
          <w:p w14:paraId="7F808E7F" w14:textId="77777777" w:rsidR="00DF7A8D" w:rsidRDefault="00DF7A8D">
            <w:pPr>
              <w:spacing w:before="80"/>
            </w:pPr>
          </w:p>
          <w:p w14:paraId="01E78A7D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 xml:space="preserve">Folge für BNetzA: </w:t>
            </w:r>
            <w:r>
              <w:t>Bei zeitkritischen Prozessen (Lieferantenwechsel in 24h) kann eine fehlerhafte Idempotenz-Implementierung zu Doppelwechseln führen. Das ist ein regulatorisches Versagen, für das die BNetzA als Genehmigungsbehörde mitverantwortlich ist.</w:t>
            </w:r>
          </w:p>
        </w:tc>
      </w:tr>
    </w:tbl>
    <w:p w14:paraId="03A13CE8" w14:textId="77777777" w:rsidR="00DF7A8D" w:rsidRDefault="00DF7A8D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F7A8D" w14:paraId="4020F9D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0" w:space="0" w:color="6C3483"/>
              <w:left w:val="single" w:sz="10" w:space="0" w:color="6C3483"/>
              <w:bottom w:val="single" w:sz="4" w:space="0" w:color="CCCCCC"/>
              <w:right w:val="single" w:sz="4" w:space="0" w:color="CCCCCC"/>
            </w:tcBorders>
            <w:shd w:val="clear" w:color="auto" w:fill="F4ECF7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5BAA3059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6C3483"/>
              </w:rPr>
              <w:t>Problem 3 — Propriätäre Callback-Endpunkte: Verdoppelter Implementierungsaufwand</w:t>
            </w:r>
          </w:p>
          <w:p w14:paraId="2B0DBCA5" w14:textId="77777777" w:rsidR="00DF7A8D" w:rsidRDefault="00DF7A8D">
            <w:pPr>
              <w:spacing w:before="80"/>
            </w:pPr>
          </w:p>
          <w:p w14:paraId="490AD883" w14:textId="77777777" w:rsidR="00DF7A8D" w:rsidRDefault="00000000">
            <w:pPr>
              <w:spacing w:before="80" w:after="100"/>
              <w:jc w:val="both"/>
            </w:pPr>
            <w:r>
              <w:t>Jeder der 900+ Marktteilnehmer muss zwei separate Callback-Endpunkte implementieren, absichern, registrieren und überwachen — statt eines standardisierten Endpunkts mit HTTP-Statuscodes. Bei 60+ MaBiS-Hub-APIs mit ähnlichem Muster entstehen unwartbare, proprietäre Systemlandschaften, die nicht mit Standard-API-Testwerkzeugen geprüft werden können.</w:t>
            </w:r>
          </w:p>
        </w:tc>
      </w:tr>
    </w:tbl>
    <w:p w14:paraId="4C1EC983" w14:textId="77777777" w:rsidR="00DF7A8D" w:rsidRDefault="00000000">
      <w:r>
        <w:lastRenderedPageBreak/>
        <w:br w:type="page"/>
      </w:r>
    </w:p>
    <w:p w14:paraId="542576D6" w14:textId="77777777" w:rsidR="00DF7A8D" w:rsidRDefault="00000000">
      <w:pPr>
        <w:pStyle w:val="berschrift1"/>
      </w:pPr>
      <w:r>
        <w:lastRenderedPageBreak/>
        <w:t>3. Problem 1: Version in der URI — Anti-Pattern mit Dauerfolgen</w:t>
      </w:r>
    </w:p>
    <w:p w14:paraId="3C4CDE30" w14:textId="77777777" w:rsidR="00DF7A8D" w:rsidRDefault="00DF7A8D">
      <w:pPr>
        <w:pBdr>
          <w:bottom w:val="single" w:sz="6" w:space="1" w:color="2E75B6"/>
        </w:pBdr>
        <w:spacing w:before="140" w:after="140"/>
      </w:pPr>
    </w:p>
    <w:p w14:paraId="6BF4A73C" w14:textId="77777777" w:rsidR="00DF7A8D" w:rsidRDefault="00000000">
      <w:pPr>
        <w:pStyle w:val="berschrift2"/>
      </w:pPr>
      <w:r>
        <w:t>3.1 Befund in der MaLo-Ident V2 API</w:t>
      </w:r>
    </w:p>
    <w:p w14:paraId="23C093CC" w14:textId="77777777" w:rsidR="00DF7A8D" w:rsidRDefault="00000000">
      <w:pPr>
        <w:spacing w:before="80" w:after="100"/>
        <w:jc w:val="both"/>
      </w:pPr>
      <w:r>
        <w:t>Die maloIdentV2 OpenAPI-Spezifikation definiert folgende Endpunkte: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F7A8D" w14:paraId="20CF324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DF2BB46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 /maloId/request/v2                        # Anfrage</w:t>
            </w:r>
          </w:p>
          <w:p w14:paraId="54072ED1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 /maloId/dataForMarketLocationPositive/v2   # Positive Rückmeldung</w:t>
            </w:r>
          </w:p>
          <w:p w14:paraId="329BDF38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 /maloId/dataForMarketLocationNegative/v2   # Negative Rückmeldung</w:t>
            </w:r>
          </w:p>
        </w:tc>
      </w:tr>
    </w:tbl>
    <w:p w14:paraId="47C8737B" w14:textId="77777777" w:rsidR="00DF7A8D" w:rsidRDefault="00DF7A8D">
      <w:pPr>
        <w:spacing w:before="80"/>
      </w:pPr>
    </w:p>
    <w:p w14:paraId="70031D88" w14:textId="77777777" w:rsidR="00DF7A8D" w:rsidRDefault="00000000">
      <w:pPr>
        <w:spacing w:before="80" w:after="100"/>
        <w:jc w:val="both"/>
      </w:pPr>
      <w:r>
        <w:t>Die API-Guideline v1.0c schreibt in §3.2 explizit vor: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F7A8D" w14:paraId="4B1B04B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0" w:space="0" w:color="2E75B6"/>
              <w:left w:val="single" w:sz="10" w:space="0" w:color="2E75B6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4290E12B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 xml:space="preserve">MUST (§3.2 Guideline v1.0c): </w:t>
            </w:r>
            <w:r>
              <w:t>Zur Differenzierung inkompatibler Schnittstellenversionen enthalten alle URL den MAJOR-Anteil mit einem kleinen 'v' als Präfix in der URL. Beispiel: https://xyz.ztr.de/edienergy/marktlokationen/identifikation/v1</w:t>
            </w:r>
          </w:p>
        </w:tc>
      </w:tr>
    </w:tbl>
    <w:p w14:paraId="6690AF01" w14:textId="77777777" w:rsidR="00DF7A8D" w:rsidRDefault="00DF7A8D">
      <w:pPr>
        <w:spacing w:before="80"/>
      </w:pPr>
    </w:p>
    <w:p w14:paraId="5796A0FD" w14:textId="77777777" w:rsidR="00DF7A8D" w:rsidRDefault="00000000">
      <w:pPr>
        <w:spacing w:before="80" w:after="100"/>
        <w:jc w:val="both"/>
      </w:pPr>
      <w:r>
        <w:t>Diese Festlegung ist technisch falsch und widerspricht etablierten IETF-Standards sowie dem weltweiten State-of-the-Art im API-Design.</w:t>
      </w:r>
    </w:p>
    <w:p w14:paraId="48AAEBC4" w14:textId="77777777" w:rsidR="00DF7A8D" w:rsidRDefault="00000000">
      <w:pPr>
        <w:pStyle w:val="berschrift2"/>
      </w:pPr>
      <w:r>
        <w:t>3.2 RFC-Grundlage: Was eine URI identifiziert</w:t>
      </w:r>
    </w:p>
    <w:p w14:paraId="6023A095" w14:textId="77777777" w:rsidR="00DF7A8D" w:rsidRDefault="00000000">
      <w:pPr>
        <w:spacing w:before="80" w:after="100"/>
        <w:jc w:val="both"/>
      </w:pPr>
      <w:hyperlink r:id="rId8" w:history="1">
        <w:r>
          <w:rPr>
            <w:color w:val="2E75B6"/>
            <w:u w:val="single"/>
          </w:rPr>
          <w:t>RFC 3986 (URI: Generic Syntax, Berners-Lee et al., IETF 2005)</w:t>
        </w:r>
      </w:hyperlink>
      <w:r>
        <w:t xml:space="preserve">: Eine URI identifiziert eine Ressource — nicht ihre Implementierungsversion. Die Ressource 'Identifiziere eine Marktlokation' bleibt dieselbe, unabhängig davon, ob sie in Version 1 oder Version 2 implementiert ist. Die Versionsnummer beschreibt die Repräsentation und gehört gemäß </w:t>
      </w:r>
      <w:hyperlink r:id="rId9" w:anchor="section-12.5" w:history="1">
        <w:r>
          <w:rPr>
            <w:color w:val="2E75B6"/>
            <w:u w:val="single"/>
          </w:rPr>
          <w:t>RFC 9110 §12.5 (Content Negotiation)</w:t>
        </w:r>
      </w:hyperlink>
      <w:r>
        <w:t xml:space="preserve"> in den HTTP-Accept-Header, nicht in den URI-Pfad.</w:t>
      </w:r>
    </w:p>
    <w:p w14:paraId="51D460ED" w14:textId="77777777" w:rsidR="00DF7A8D" w:rsidRDefault="00DF7A8D">
      <w:pPr>
        <w:spacing w:before="80"/>
      </w:pPr>
    </w:p>
    <w:p w14:paraId="5B97340B" w14:textId="77777777" w:rsidR="00DF7A8D" w:rsidRDefault="00000000">
      <w:pPr>
        <w:spacing w:before="80" w:after="100"/>
        <w:jc w:val="both"/>
      </w:pPr>
      <w:r>
        <w:rPr>
          <w:b/>
          <w:bCs/>
        </w:rPr>
        <w:t xml:space="preserve">RFC-Fehler in der Guideline (§3.1.4): </w:t>
      </w:r>
      <w:r>
        <w:t xml:space="preserve">Die Guideline v1.0c referenziert RFC 7230 §3.1.1 als Beleg für die URI-Länge. RFC 7230 wurde durch RFC 9110/9112 im Juni 2022 obsoleted. Die korrekte Referenz wäre </w:t>
      </w:r>
      <w:hyperlink r:id="rId10" w:history="1">
        <w:r>
          <w:rPr>
            <w:color w:val="2E75B6"/>
            <w:u w:val="single"/>
          </w:rPr>
          <w:t>RFC 9112 §3</w:t>
        </w:r>
      </w:hyperlink>
      <w:r>
        <w:t>.</w:t>
      </w:r>
    </w:p>
    <w:p w14:paraId="52B482EE" w14:textId="77777777" w:rsidR="00DF7A8D" w:rsidRDefault="00000000">
      <w:pPr>
        <w:pStyle w:val="berschrift2"/>
      </w:pPr>
      <w:r>
        <w:t>3.3 Praktische Konsequenzen des URI-Versionierungsmusters</w:t>
      </w:r>
    </w:p>
    <w:p w14:paraId="720FC4BE" w14:textId="77777777" w:rsidR="00DF7A8D" w:rsidRDefault="00000000">
      <w:pPr>
        <w:pStyle w:val="Listenabsatz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Dauerhafter Migrationsaufwand: </w:t>
      </w:r>
      <w:r>
        <w:t>Bei jedem Major-Release entstehen neue URIs. Alle 900+ Marktteilnehmer müssen gleichzeitig alle API-Gateways, Firewall-Freischaltungen, DNS-Einträge und Sicherheitsregeln aktualisieren — bei 60+ MaBiS-Hub-APIs und zweimal jährlichen Konsultationsrunden ein struktureller Daueraufwand.</w:t>
      </w:r>
    </w:p>
    <w:p w14:paraId="61FB9685" w14:textId="77777777" w:rsidR="00DF7A8D" w:rsidRDefault="00000000">
      <w:pPr>
        <w:pStyle w:val="Listenabsatz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Cache-Invalidierung ohne Grund: </w:t>
      </w:r>
      <w:r>
        <w:t xml:space="preserve">HTTP-Caches (CDN, Reverse Proxy) können bei URI-Versionsänderung nicht erkennen, dass dieselbe fachliche Ressource gemeint ist. </w:t>
      </w:r>
      <w:hyperlink r:id="rId11" w:history="1">
        <w:r>
          <w:rPr>
            <w:color w:val="2E75B6"/>
            <w:u w:val="single"/>
          </w:rPr>
          <w:t>RFC 9111 (HTTP Caching)</w:t>
        </w:r>
      </w:hyperlink>
      <w:r>
        <w:t xml:space="preserve"> basiert auf URI-Identität.</w:t>
      </w:r>
    </w:p>
    <w:p w14:paraId="0BCA62EE" w14:textId="77777777" w:rsidR="00DF7A8D" w:rsidRDefault="00000000">
      <w:pPr>
        <w:pStyle w:val="Listenabsatz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Interner Widerspruch in der Guideline: </w:t>
      </w:r>
      <w:r>
        <w:t>§3.2 fordert gleichzeitig den HTTP-Header X-BDEW-VERSION mit der vollqualifizierten Versionsnummer. Damit ist die Versionsangabe bereits im Header — die duplizierte URI-Versionsangabe ist redundant und fehlerträchtig.</w:t>
      </w:r>
    </w:p>
    <w:p w14:paraId="6E420C8A" w14:textId="77777777" w:rsidR="00DF7A8D" w:rsidRDefault="00000000">
      <w:pPr>
        <w:pStyle w:val="Listenabsatz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Verletzung des REST-Prinzips der Ressourcenidentität: </w:t>
      </w:r>
      <w:r>
        <w:t>Lesezeichen, API-Gateway-Konfigurationen und Monitoring-Regeln müssen bei jedem Major-Versionssprung angepasst werden, obwohl die Ressource logisch unverändert bleibt.</w:t>
      </w:r>
    </w:p>
    <w:p w14:paraId="76E8004B" w14:textId="77777777" w:rsidR="00DF7A8D" w:rsidRDefault="00000000">
      <w:pPr>
        <w:pStyle w:val="berschrift2"/>
      </w:pPr>
      <w:r>
        <w:lastRenderedPageBreak/>
        <w:t>3.4 Die korrekte Lösung: Content Negotiation via Accept-Header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F7A8D" w14:paraId="064E1A9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D602852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✗ AKTUELL (Guideline v1.0c) — Version in der URI:</w:t>
            </w:r>
          </w:p>
          <w:p w14:paraId="2CF79AFF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 /maloId/request/v2  HTTP/2</w:t>
            </w:r>
          </w:p>
          <w:p w14:paraId="3201EDDF" w14:textId="77777777" w:rsidR="00DF7A8D" w:rsidRDefault="00DF7A8D"/>
          <w:p w14:paraId="0F0F578F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✓ KORREKT (RFC 9110 §12.5 + RFC 6838) — Stabile URI, Version im Header:</w:t>
            </w:r>
          </w:p>
          <w:p w14:paraId="5A9ED0BB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 /maloId/request  HTTP/2</w:t>
            </w:r>
          </w:p>
          <w:p w14:paraId="19BA703A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Accept: application/vnd.edienergy.malo-ident+json; version=2</w:t>
            </w:r>
          </w:p>
          <w:p w14:paraId="20700FD4" w14:textId="77777777" w:rsidR="00DF7A8D" w:rsidRDefault="00DF7A8D"/>
          <w:p w14:paraId="061BF8AF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HTTP/2 202 Accepted</w:t>
            </w:r>
          </w:p>
          <w:p w14:paraId="7A1FFBAE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Content-Type: application/vnd.edienergy.malo-ident+json; version=2</w:t>
            </w:r>
          </w:p>
          <w:p w14:paraId="38074590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X-BDEW-VERSION: 2.0.0</w:t>
            </w:r>
          </w:p>
          <w:p w14:paraId="0A0468D4" w14:textId="77777777" w:rsidR="00DF7A8D" w:rsidRDefault="00DF7A8D"/>
          <w:p w14:paraId="66363360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→ Der URI-Pfad /maloId/request bleibt über ALLE zukünftigen Versionen stabil.</w:t>
            </w:r>
          </w:p>
          <w:p w14:paraId="485DEA14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→ Kein Migrationsaufwand bei Versionssprüngen.</w:t>
            </w:r>
          </w:p>
          <w:p w14:paraId="55E9D2F0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→ X-BDEW-VERSION-Header (bereits gefordert) enthält die vollständige Version.</w:t>
            </w:r>
          </w:p>
        </w:tc>
      </w:tr>
    </w:tbl>
    <w:p w14:paraId="7D5E6DFD" w14:textId="77777777" w:rsidR="00DF7A8D" w:rsidRDefault="00000000">
      <w:pPr>
        <w:pStyle w:val="berschrift2"/>
      </w:pPr>
      <w:r>
        <w:t>3.5 Industriestandards — alle weichen von der Guideline ab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200"/>
        <w:gridCol w:w="3426"/>
      </w:tblGrid>
      <w:tr w:rsidR="00DF7A8D" w14:paraId="7126F6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AE7507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Standard / Organisation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CC5999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Versionierungsmuster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960412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Referenz</w:t>
            </w:r>
          </w:p>
        </w:tc>
      </w:tr>
      <w:tr w:rsidR="00DF7A8D" w14:paraId="26961C6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DC4234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IETF / RFC 9110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E4D02E" w14:textId="77777777" w:rsidR="00DF7A8D" w:rsidRDefault="00000000">
            <w:pPr>
              <w:spacing w:before="80" w:after="100"/>
              <w:jc w:val="both"/>
            </w:pPr>
            <w:r>
              <w:t>Content Negotiation via Accept-Header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136852" w14:textId="77777777" w:rsidR="00DF7A8D" w:rsidRDefault="00000000">
            <w:pPr>
              <w:spacing w:before="80" w:after="100"/>
              <w:jc w:val="both"/>
            </w:pPr>
            <w:hyperlink r:id="rId12" w:anchor="section-12.5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DF7A8D" w14:paraId="30C3C1C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CC9D1E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Zalando RESTful API Guidelines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B471D9" w14:textId="77777777" w:rsidR="00DF7A8D" w:rsidRDefault="00000000">
            <w:pPr>
              <w:spacing w:before="80" w:after="100"/>
              <w:jc w:val="both"/>
            </w:pPr>
            <w:r>
              <w:t>SHOULD NOT: Version in URI — Vendor Media Type im Accept-Header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806587" w14:textId="77777777" w:rsidR="00DF7A8D" w:rsidRDefault="00000000">
            <w:pPr>
              <w:spacing w:before="80" w:after="100"/>
              <w:jc w:val="both"/>
            </w:pPr>
            <w:hyperlink r:id="rId13" w:anchor="115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DF7A8D" w14:paraId="257884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ED27E2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Microsoft Azure REST API Guidelines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200556" w14:textId="77777777" w:rsidR="00DF7A8D" w:rsidRDefault="00000000">
            <w:pPr>
              <w:spacing w:before="80" w:after="100"/>
              <w:jc w:val="both"/>
            </w:pPr>
            <w:r>
              <w:t>api-version als Header oder Query-Parameter — URI stabil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796DDD" w14:textId="77777777" w:rsidR="00DF7A8D" w:rsidRDefault="00000000">
            <w:pPr>
              <w:spacing w:before="80" w:after="100"/>
              <w:jc w:val="both"/>
            </w:pPr>
            <w:hyperlink r:id="rId14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DF7A8D" w14:paraId="35BD88C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8FBF61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GitHub REST API (Microsoft)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ADB2D1" w14:textId="77777777" w:rsidR="00DF7A8D" w:rsidRDefault="00000000">
            <w:pPr>
              <w:spacing w:before="80" w:after="100"/>
              <w:jc w:val="both"/>
            </w:pPr>
            <w:r>
              <w:t>X-GitHub-Api-Version-Header — URI dauerhaft unveränderlich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B2002D" w14:textId="77777777" w:rsidR="00DF7A8D" w:rsidRDefault="00000000">
            <w:pPr>
              <w:spacing w:before="80" w:after="100"/>
              <w:jc w:val="both"/>
            </w:pPr>
            <w:hyperlink r:id="rId15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DF7A8D" w14:paraId="10EB8FE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3415C0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Stripe API (Finanzinfrastruktur)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334516" w14:textId="77777777" w:rsidR="00DF7A8D" w:rsidRDefault="00000000">
            <w:pPr>
              <w:spacing w:before="80" w:after="100"/>
              <w:jc w:val="both"/>
            </w:pPr>
            <w:r>
              <w:t>Stripe-Version-Header; URI-Stamm /v1 stabil seit über 10 Jahren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EE2AC5" w14:textId="77777777" w:rsidR="00DF7A8D" w:rsidRDefault="00000000">
            <w:pPr>
              <w:spacing w:before="80" w:after="100"/>
              <w:jc w:val="both"/>
            </w:pPr>
            <w:hyperlink r:id="rId16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DF7A8D" w14:paraId="509F104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FB42B7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sz w:val="20"/>
                <w:szCs w:val="20"/>
              </w:rPr>
              <w:t>ENTSO-E Transparency API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3B451E" w14:textId="77777777" w:rsidR="00DF7A8D" w:rsidRDefault="00000000">
            <w:pPr>
              <w:spacing w:before="80" w:after="100"/>
              <w:jc w:val="both"/>
            </w:pPr>
            <w:r>
              <w:t>Header-Versionierung. Hinweis: API-Zugang erfordert Registrierung bei transparency@entsoe.eu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D75330" w14:textId="77777777" w:rsidR="00DF7A8D" w:rsidRDefault="00000000">
            <w:pPr>
              <w:spacing w:before="80" w:after="100"/>
              <w:jc w:val="both"/>
            </w:pPr>
            <w:hyperlink r:id="rId17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</w:tbl>
    <w:p w14:paraId="013F9A2F" w14:textId="77777777" w:rsidR="00DF7A8D" w:rsidRDefault="00DF7A8D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F7A8D" w14:paraId="33BF72E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0" w:space="0" w:color="2E75B6"/>
              <w:left w:val="single" w:sz="10" w:space="0" w:color="2E75B6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000AA743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1A3A5C"/>
              </w:rPr>
              <w:t xml:space="preserve">Hinweis ENTSO-E: </w:t>
            </w:r>
            <w:r>
              <w:t xml:space="preserve">Die ENTSO-E Transparency Platform ist nach kostenloser Registrierung zugänglich. Weiterführende Implementierungsdokumente (Network Code </w:t>
            </w:r>
            <w:r>
              <w:lastRenderedPageBreak/>
              <w:t>on Cybersecurity, Detailspezifikationen) sind teilweise nur nach Mitglieds-Login abrufbar und für externe Leser ohne Account ggf. nicht erreichbar.</w:t>
            </w:r>
          </w:p>
        </w:tc>
      </w:tr>
    </w:tbl>
    <w:p w14:paraId="52A905A3" w14:textId="77777777" w:rsidR="00DF7A8D" w:rsidRDefault="00000000">
      <w:r>
        <w:lastRenderedPageBreak/>
        <w:br w:type="page"/>
      </w:r>
    </w:p>
    <w:p w14:paraId="394A2488" w14:textId="77777777" w:rsidR="00DF7A8D" w:rsidRDefault="00000000">
      <w:pPr>
        <w:pStyle w:val="berschrift1"/>
      </w:pPr>
      <w:r>
        <w:lastRenderedPageBreak/>
        <w:t>4. Problem 2: Idempotenz — Das falsche Werkzeug für die falsche Aufgabe</w:t>
      </w:r>
    </w:p>
    <w:p w14:paraId="6C683D2F" w14:textId="77777777" w:rsidR="00DF7A8D" w:rsidRDefault="00DF7A8D">
      <w:pPr>
        <w:pBdr>
          <w:bottom w:val="single" w:sz="6" w:space="1" w:color="2E75B6"/>
        </w:pBdr>
        <w:spacing w:before="140" w:after="140"/>
      </w:pPr>
    </w:p>
    <w:p w14:paraId="760034B9" w14:textId="77777777" w:rsidR="00DF7A8D" w:rsidRDefault="00000000">
      <w:pPr>
        <w:pStyle w:val="berschrift2"/>
      </w:pPr>
      <w:r>
        <w:t>4.1 Was die Guideline v1.0c behauptet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F7A8D" w14:paraId="793F5F7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0" w:space="0" w:color="2E75B6"/>
              <w:left w:val="single" w:sz="10" w:space="0" w:color="2E75B6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00F398C5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 xml:space="preserve">§3.4.1 Guideline v1.0c: </w:t>
            </w:r>
            <w:r>
              <w:t>'Bei einem Retry muss die initialTransactionId angegeben werden mit der transactionId des initialen Aufrufs, um in diesen Fällen der wiederholten Anfragen technisch die gleichen Aufrufe identifizierbar zu machen (Idempotenz).'</w:t>
            </w:r>
          </w:p>
          <w:p w14:paraId="1C385EE9" w14:textId="77777777" w:rsidR="00DF7A8D" w:rsidRDefault="00DF7A8D">
            <w:pPr>
              <w:spacing w:before="80"/>
            </w:pPr>
          </w:p>
          <w:p w14:paraId="399DE3F7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 xml:space="preserve">Zweck initialTransactionId laut Guideline: </w:t>
            </w:r>
            <w:r>
              <w:t>'Sicherstellung der Idempotenz'</w:t>
            </w:r>
          </w:p>
        </w:tc>
      </w:tr>
    </w:tbl>
    <w:p w14:paraId="0F3E73EF" w14:textId="77777777" w:rsidR="00DF7A8D" w:rsidRDefault="00000000">
      <w:pPr>
        <w:pStyle w:val="berschrift2"/>
      </w:pPr>
      <w:r>
        <w:t>4.2 Was Idempotenz tatsächlich bedeutet — die RFC-Definition</w:t>
      </w:r>
    </w:p>
    <w:p w14:paraId="69F25CAE" w14:textId="77777777" w:rsidR="00DF7A8D" w:rsidRDefault="00000000">
      <w:pPr>
        <w:spacing w:before="80" w:after="100"/>
        <w:jc w:val="both"/>
      </w:pPr>
      <w:hyperlink r:id="rId18" w:anchor="section-9.2.2" w:history="1">
        <w:r>
          <w:rPr>
            <w:color w:val="2E75B6"/>
            <w:u w:val="single"/>
          </w:rPr>
          <w:t>RFC 9110 §9.2.2 (HTTP Semantics, IETF 2022)</w:t>
        </w:r>
      </w:hyperlink>
      <w:r>
        <w:t>: 'A request method is considered idempotent if the intended effect on the server of multiple identical requests with that method is the same as the effect for a single such request.' — Idempotenz beschreibt ausschließlich, ob der Serverzustand nach beliebig vielen Wiederholungen identisch ist wie nach einer einmaligen Ausführung.</w:t>
      </w:r>
    </w:p>
    <w:p w14:paraId="11DA7CA5" w14:textId="77777777" w:rsidR="00DF7A8D" w:rsidRDefault="00DF7A8D">
      <w:pPr>
        <w:spacing w:before="80"/>
      </w:pPr>
    </w:p>
    <w:p w14:paraId="05EC7BF8" w14:textId="77777777" w:rsidR="00DF7A8D" w:rsidRDefault="00000000">
      <w:pPr>
        <w:pStyle w:val="Listenabsatz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GET, HEAD, OPTIONS, TRACE: </w:t>
      </w:r>
      <w:r>
        <w:t>per RFC 9110 safe und idempotent — keine Zustandsänderung möglich.</w:t>
      </w:r>
    </w:p>
    <w:p w14:paraId="5C5C8B25" w14:textId="77777777" w:rsidR="00DF7A8D" w:rsidRDefault="00000000">
      <w:pPr>
        <w:pStyle w:val="Listenabsatz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PUT, DELETE: </w:t>
      </w:r>
      <w:r>
        <w:t>idempotent — gleiche Wiederholung erzeugt denselben Endzustand.</w:t>
      </w:r>
    </w:p>
    <w:p w14:paraId="6552F12B" w14:textId="77777777" w:rsidR="00DF7A8D" w:rsidRDefault="00000000">
      <w:pPr>
        <w:pStyle w:val="Listenabsatz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POST: </w:t>
      </w:r>
      <w:r>
        <w:t>per RFC 9110 NICHT inhärent idempotent — kann neuen Zustand erzeugen.</w:t>
      </w:r>
    </w:p>
    <w:p w14:paraId="39FAD996" w14:textId="77777777" w:rsidR="00DF7A8D" w:rsidRDefault="00000000">
      <w:pPr>
        <w:pStyle w:val="berschrift2"/>
      </w:pPr>
      <w:r>
        <w:t>4.3 Warum Idempotenz bei MaLo-Ident V2 strukturell nicht anwendbar ist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F7A8D" w14:paraId="03E7ED9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0" w:space="0" w:color="C0392B"/>
              <w:left w:val="single" w:sz="10" w:space="0" w:color="C0392B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677A1699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</w:rPr>
              <w:t xml:space="preserve">Der Kernfehler: </w:t>
            </w:r>
            <w:r>
              <w:t>POST /maloId/request führt eine Stammdatenabfrage durch. Es fragt: 'Welche MaLo-ID gehört zu dieser Adresse?' Es findet keine Zustandsänderung auf dem Server statt.</w:t>
            </w:r>
          </w:p>
          <w:p w14:paraId="51C1D3E2" w14:textId="77777777" w:rsidR="00DF7A8D" w:rsidRDefault="00DF7A8D">
            <w:pPr>
              <w:spacing w:before="80"/>
            </w:pPr>
          </w:p>
          <w:p w14:paraId="13EA58F3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Die MaLo-ID einer Marktlokation existiert unabhängig von der API-Anfrage.</w:t>
            </w:r>
          </w:p>
          <w:p w14:paraId="20631F92" w14:textId="77777777" w:rsidR="00DF7A8D" w:rsidRDefault="00000000">
            <w:pPr>
              <w:spacing w:before="80" w:after="100"/>
              <w:jc w:val="both"/>
            </w:pPr>
            <w:r>
              <w:t>Ein wiederholter Aufruf mit identischen Parametern liefert dasselbe Ergebnis — nicht wegen Idempotenz, sondern weil die Stammdaten unverändert sind.</w:t>
            </w:r>
          </w:p>
          <w:p w14:paraId="15BEEDD9" w14:textId="77777777" w:rsidR="00DF7A8D" w:rsidRDefault="00000000">
            <w:pPr>
              <w:spacing w:before="80" w:after="100"/>
              <w:jc w:val="both"/>
            </w:pPr>
            <w:r>
              <w:t>Es gibt keinen Serverzustand, der durch mehrfache Ausführung überschrieben oder dupliziert werden könnte.</w:t>
            </w:r>
          </w:p>
          <w:p w14:paraId="58B74E16" w14:textId="77777777" w:rsidR="00DF7A8D" w:rsidRDefault="00DF7A8D">
            <w:pPr>
              <w:spacing w:before="80"/>
            </w:pPr>
          </w:p>
          <w:p w14:paraId="0B3B7AF0" w14:textId="77777777" w:rsidR="00DF7A8D" w:rsidRDefault="00000000">
            <w:pPr>
              <w:spacing w:before="80" w:after="100"/>
              <w:jc w:val="both"/>
            </w:pPr>
            <w:r>
              <w:rPr>
                <w:i/>
                <w:iCs/>
              </w:rPr>
              <w:t>Idempotenz bei MaLo-Ident anzuwenden ist so, als würde man für eine Bibliothekssuche einen Duplikat-Schutz installieren, damit das Buch nicht doppelt im Regal steht — das Regal ändert sich durch die Suche gar nicht.</w:t>
            </w:r>
          </w:p>
        </w:tc>
      </w:tr>
    </w:tbl>
    <w:p w14:paraId="7393116C" w14:textId="77777777" w:rsidR="00DF7A8D" w:rsidRDefault="00000000">
      <w:pPr>
        <w:pStyle w:val="berschrift2"/>
      </w:pPr>
      <w:r>
        <w:t>4.4 Was die drei IDs tatsächlich leisten: Anfrage-Korrelation</w:t>
      </w:r>
    </w:p>
    <w:p w14:paraId="6C104C53" w14:textId="77777777" w:rsidR="00DF7A8D" w:rsidRDefault="00000000">
      <w:pPr>
        <w:spacing w:before="80" w:after="100"/>
        <w:jc w:val="both"/>
      </w:pPr>
      <w:r>
        <w:t>Das eigentliche Ziel der IDs — das Zählen von Aufrufen, die Messung der Laufzeit vom ersten bis zum erfolgreichen Aufruf, die Zuordnung asynchroner Antworten — ist kein Idempotenz-Muster. Es ist Distributed Tracing:</w:t>
      </w:r>
    </w:p>
    <w:p w14:paraId="484D022A" w14:textId="77777777" w:rsidR="00DF7A8D" w:rsidRDefault="00DF7A8D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10"/>
        <w:gridCol w:w="3460"/>
        <w:gridCol w:w="3456"/>
      </w:tblGrid>
      <w:tr w:rsidR="00DF7A8D" w14:paraId="65EDE80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58E265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Konzept</w:t>
            </w:r>
          </w:p>
        </w:tc>
        <w:tc>
          <w:tcPr>
            <w:tcW w:w="3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F20E10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Idempotenz (RFC 9110 §9.2.2)</w:t>
            </w:r>
          </w:p>
        </w:tc>
        <w:tc>
          <w:tcPr>
            <w:tcW w:w="3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125FB2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Anfrage-Korrelation (W3C Trace Context)</w:t>
            </w:r>
          </w:p>
        </w:tc>
      </w:tr>
      <w:tr w:rsidR="00DF7A8D" w14:paraId="134AA9D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EA8557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Zweck</w:t>
            </w:r>
          </w:p>
        </w:tc>
        <w:tc>
          <w:tcPr>
            <w:tcW w:w="3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0A5B09" w14:textId="77777777" w:rsidR="00DF7A8D" w:rsidRDefault="00000000">
            <w:pPr>
              <w:spacing w:before="80" w:after="100"/>
              <w:jc w:val="both"/>
            </w:pPr>
            <w:r>
              <w:rPr>
                <w:color w:val="E67E22"/>
                <w:sz w:val="20"/>
                <w:szCs w:val="20"/>
              </w:rPr>
              <w:t>Schutz vor doppelter Ausführung zustandsändernder Operationen</w:t>
            </w:r>
          </w:p>
        </w:tc>
        <w:tc>
          <w:tcPr>
            <w:tcW w:w="3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5328A1" w14:textId="77777777" w:rsidR="00DF7A8D" w:rsidRDefault="00000000">
            <w:pPr>
              <w:spacing w:before="80" w:after="100"/>
              <w:jc w:val="both"/>
            </w:pPr>
            <w:r>
              <w:rPr>
                <w:color w:val="1E8449"/>
                <w:sz w:val="20"/>
                <w:szCs w:val="20"/>
              </w:rPr>
              <w:t>Verfolgung von Anfragen, Laufzeitmessung, Retry-Tracking</w:t>
            </w:r>
          </w:p>
        </w:tc>
      </w:tr>
      <w:tr w:rsidR="00DF7A8D" w14:paraId="5433DCB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617E09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Relevant bei</w:t>
            </w:r>
          </w:p>
        </w:tc>
        <w:tc>
          <w:tcPr>
            <w:tcW w:w="3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0D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2CE134" w14:textId="77777777" w:rsidR="00DF7A8D" w:rsidRDefault="00000000">
            <w:pPr>
              <w:spacing w:before="80" w:after="100"/>
              <w:jc w:val="both"/>
            </w:pPr>
            <w:r>
              <w:rPr>
                <w:color w:val="E67E22"/>
                <w:sz w:val="20"/>
                <w:szCs w:val="20"/>
              </w:rPr>
              <w:t>POST/PATCH mit Seiteneffekten (z.B. Lieferantenwechsel anlegen)</w:t>
            </w:r>
          </w:p>
        </w:tc>
        <w:tc>
          <w:tcPr>
            <w:tcW w:w="3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2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C8821A" w14:textId="77777777" w:rsidR="00DF7A8D" w:rsidRDefault="00000000">
            <w:pPr>
              <w:spacing w:before="80" w:after="100"/>
              <w:jc w:val="both"/>
            </w:pPr>
            <w:r>
              <w:rPr>
                <w:color w:val="1E8449"/>
                <w:sz w:val="20"/>
                <w:szCs w:val="20"/>
              </w:rPr>
              <w:t>Jeder Request — insbesondere asynchrone und Retry-Szenarien</w:t>
            </w:r>
          </w:p>
        </w:tc>
      </w:tr>
      <w:tr w:rsidR="00DF7A8D" w14:paraId="104EAAB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A80876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Relevant für MaLo-Ident</w:t>
            </w:r>
          </w:p>
        </w:tc>
        <w:tc>
          <w:tcPr>
            <w:tcW w:w="3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5993DA" w14:textId="77777777" w:rsidR="00DF7A8D" w:rsidRDefault="00000000">
            <w:pPr>
              <w:spacing w:before="80" w:after="100"/>
              <w:jc w:val="both"/>
            </w:pPr>
            <w:r>
              <w:rPr>
                <w:color w:val="E67E22"/>
                <w:sz w:val="20"/>
                <w:szCs w:val="20"/>
              </w:rPr>
              <w:t>Nein — Leseoperation ohne Serverzustandsänderung</w:t>
            </w:r>
          </w:p>
        </w:tc>
        <w:tc>
          <w:tcPr>
            <w:tcW w:w="3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89C4C6" w14:textId="77777777" w:rsidR="00DF7A8D" w:rsidRDefault="00000000">
            <w:pPr>
              <w:spacing w:before="80" w:after="100"/>
              <w:jc w:val="both"/>
            </w:pPr>
            <w:r>
              <w:rPr>
                <w:color w:val="1E8449"/>
                <w:sz w:val="20"/>
                <w:szCs w:val="20"/>
              </w:rPr>
              <w:t>Ja — für Retry-Zählung und Gesamtlaufzeitmessung</w:t>
            </w:r>
          </w:p>
        </w:tc>
      </w:tr>
      <w:tr w:rsidR="00DF7A8D" w14:paraId="7C2F225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F7C63C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Standard</w:t>
            </w:r>
          </w:p>
        </w:tc>
        <w:tc>
          <w:tcPr>
            <w:tcW w:w="3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0D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7CB587" w14:textId="77777777" w:rsidR="00DF7A8D" w:rsidRDefault="00000000">
            <w:pPr>
              <w:spacing w:before="80" w:after="100"/>
              <w:jc w:val="both"/>
            </w:pPr>
            <w:r>
              <w:rPr>
                <w:color w:val="E67E22"/>
                <w:sz w:val="20"/>
                <w:szCs w:val="20"/>
              </w:rPr>
              <w:t>RFC 9110 §9.2.2 + IETF Draft Idempotency-Key-Header</w:t>
            </w:r>
          </w:p>
        </w:tc>
        <w:tc>
          <w:tcPr>
            <w:tcW w:w="3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2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4CCBB0" w14:textId="77777777" w:rsidR="00DF7A8D" w:rsidRDefault="00000000">
            <w:pPr>
              <w:spacing w:before="80" w:after="100"/>
              <w:jc w:val="both"/>
            </w:pPr>
            <w:r>
              <w:rPr>
                <w:color w:val="1E8449"/>
                <w:sz w:val="20"/>
                <w:szCs w:val="20"/>
              </w:rPr>
              <w:t>W3C Trace Context Level 2 (2023), OpenTelemetry (CNCF)</w:t>
            </w:r>
          </w:p>
        </w:tc>
      </w:tr>
      <w:tr w:rsidR="00DF7A8D" w14:paraId="60B76E4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461457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Marktauswirkung bei Fehlanwendung</w:t>
            </w:r>
          </w:p>
        </w:tc>
        <w:tc>
          <w:tcPr>
            <w:tcW w:w="3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871D42" w14:textId="77777777" w:rsidR="00DF7A8D" w:rsidRDefault="00000000">
            <w:pPr>
              <w:spacing w:before="80" w:after="100"/>
              <w:jc w:val="both"/>
            </w:pPr>
            <w:r>
              <w:rPr>
                <w:color w:val="E67E22"/>
                <w:sz w:val="20"/>
                <w:szCs w:val="20"/>
              </w:rPr>
              <w:t>Falsche serverseitige Caches, inkompatible Implementierungen</w:t>
            </w:r>
          </w:p>
        </w:tc>
        <w:tc>
          <w:tcPr>
            <w:tcW w:w="3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7A23AC" w14:textId="77777777" w:rsidR="00DF7A8D" w:rsidRDefault="00000000">
            <w:pPr>
              <w:spacing w:before="80" w:after="100"/>
              <w:jc w:val="both"/>
            </w:pPr>
            <w:r>
              <w:rPr>
                <w:color w:val="1E8449"/>
                <w:sz w:val="20"/>
                <w:szCs w:val="20"/>
              </w:rPr>
              <w:t>Proprietäre Eigenentwicklung statt Standardbibliotheken</w:t>
            </w:r>
          </w:p>
        </w:tc>
      </w:tr>
    </w:tbl>
    <w:p w14:paraId="780D753F" w14:textId="77777777" w:rsidR="00DF7A8D" w:rsidRDefault="00000000">
      <w:pPr>
        <w:pStyle w:val="berschrift2"/>
      </w:pPr>
      <w:r>
        <w:t>4.5 Risikoabschätzung: Die Folgen der Fehlbezeichnung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F7A8D" w14:paraId="70267DB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0" w:space="0" w:color="6C3483"/>
              <w:left w:val="single" w:sz="10" w:space="0" w:color="6C3483"/>
              <w:bottom w:val="single" w:sz="4" w:space="0" w:color="CCCCCC"/>
              <w:right w:val="single" w:sz="4" w:space="0" w:color="CCCCCC"/>
            </w:tcBorders>
            <w:shd w:val="clear" w:color="auto" w:fill="F4ECF7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3757F696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6C3483"/>
              </w:rPr>
              <w:t>Risikostufe: KRITISCH — Schaden ist bereits eingetreten</w:t>
            </w:r>
          </w:p>
          <w:p w14:paraId="449BA658" w14:textId="77777777" w:rsidR="00DF7A8D" w:rsidRDefault="00DF7A8D">
            <w:pPr>
              <w:spacing w:before="80"/>
            </w:pPr>
          </w:p>
          <w:p w14:paraId="22494D3F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 xml:space="preserve">Inkompatible Implementierungen heute: </w:t>
            </w:r>
            <w:r>
              <w:t>Weil der Begriff 'Idempotenz' zwei diametral verschiedene Interpretationen erlaubt — (a) baue einen serverseitigen Duplicate-Detection-Cache, (b) ignoriere das Konzept als irrelevant für Leseoperationen — existieren mindestens zwei vollständig inkompatible, aber gleichermaßen guideline-konforme Implementierungen im Markt. Dokumentiert als 'dramatische Missverständnisse' im Änderungsantrag 08/12/2025.</w:t>
            </w:r>
          </w:p>
          <w:p w14:paraId="7125241A" w14:textId="77777777" w:rsidR="00DF7A8D" w:rsidRDefault="00DF7A8D">
            <w:pPr>
              <w:spacing w:before="80"/>
            </w:pPr>
          </w:p>
          <w:p w14:paraId="38E6FED2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 xml:space="preserve">Verdoppelter Aufwand: </w:t>
            </w:r>
            <w:r>
              <w:t>Implementierer, die Idempotenz korrekt nach RFC 9110 verstehen, bauen für MaLo-Ident unnötige serverseitige Caches — für eine Leseoperation vollständig wertlos und ressourcenverschwendend.</w:t>
            </w:r>
          </w:p>
          <w:p w14:paraId="10CA7E0E" w14:textId="77777777" w:rsidR="00DF7A8D" w:rsidRDefault="00DF7A8D">
            <w:pPr>
              <w:spacing w:before="80"/>
            </w:pPr>
          </w:p>
          <w:p w14:paraId="4352A8AA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 xml:space="preserve">Systematische Vererbung: </w:t>
            </w:r>
            <w:r>
              <w:t>Wenn das falsch bezeichnete Konzept auf die tatsächlich zustandsändernden MaBiS-Hub-APIs (Lieferantenwechsel, Messwertübertragung) übertragen wird, fehlt dort die korrekte Idempotenz-Implementierung — mit der Folge von Doppelwechseln und Datenverlust.</w:t>
            </w:r>
          </w:p>
          <w:p w14:paraId="551D69D5" w14:textId="77777777" w:rsidR="00DF7A8D" w:rsidRDefault="00DF7A8D">
            <w:pPr>
              <w:spacing w:before="80"/>
            </w:pPr>
          </w:p>
          <w:p w14:paraId="6471F5AE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 xml:space="preserve">Folge für BDEW: </w:t>
            </w:r>
            <w:r>
              <w:t>Ein öffentlich dokumentiertes Spezifikationsversagen, das ohne konzeptionelle Korrektur (Umbenennung in 'Anfrage-Korrelation') bei jeder neuen API-Version wiederkehrt. Mit jedem Konsultationszyklus wächst der Legitimationsdruck.</w:t>
            </w:r>
          </w:p>
          <w:p w14:paraId="02EB043C" w14:textId="77777777" w:rsidR="00DF7A8D" w:rsidRDefault="00DF7A8D">
            <w:pPr>
              <w:spacing w:before="80"/>
            </w:pPr>
          </w:p>
          <w:p w14:paraId="0D0E141E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lastRenderedPageBreak/>
              <w:t xml:space="preserve">Folge für BNetzA: </w:t>
            </w:r>
            <w:r>
              <w:t>Als Genehmigungsbehörde für Marktkommunikationsprozesse trägt die BNetzA Mitverantwortung, wenn fehlerhafte Spezifikationen zu Prozessausfällen führen — insbesondere beim 24h-Lieferantenwechsel.</w:t>
            </w:r>
          </w:p>
        </w:tc>
      </w:tr>
    </w:tbl>
    <w:p w14:paraId="0FB1DCDF" w14:textId="77777777" w:rsidR="00DF7A8D" w:rsidRDefault="00000000">
      <w:pPr>
        <w:pStyle w:val="berschrift2"/>
      </w:pPr>
      <w:r>
        <w:lastRenderedPageBreak/>
        <w:t>4.6 Die moderne Lösung: W3C Trace Context</w:t>
      </w:r>
    </w:p>
    <w:p w14:paraId="357303E5" w14:textId="77777777" w:rsidR="00DF7A8D" w:rsidRDefault="00000000">
      <w:pPr>
        <w:spacing w:before="80" w:after="100"/>
        <w:jc w:val="both"/>
      </w:pPr>
      <w:r>
        <w:t>Für Anfrage-Korrelation, Retry-Verfolgung und Laufzeitmessung — was MaLo-Ident tatsächlich benötigt — gibt es seit 2023 einen weltweiten W3C-Standard: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F7A8D" w14:paraId="058C808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8693A77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W3C Trace Context — Erster Aufruf:</w:t>
            </w:r>
          </w:p>
          <w:p w14:paraId="17F4ABA5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 /maloId/request  HTTP/2</w:t>
            </w:r>
          </w:p>
          <w:p w14:paraId="20698633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traceparent: 00-0af7651916cd43dd8448eb211c80319c-b7ad6b7169203331-01</w:t>
            </w:r>
          </w:p>
          <w:p w14:paraId="0B4E2148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              Version  TraceID (16 Byte, konstant)  SpanID (neu)  Flags</w:t>
            </w:r>
          </w:p>
          <w:p w14:paraId="4F5F76F6" w14:textId="77777777" w:rsidR="00DF7A8D" w:rsidRDefault="00DF7A8D"/>
          <w:p w14:paraId="1C6390DD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Retry 1 — NEUE SpanID, GLEICHE TraceID:</w:t>
            </w:r>
          </w:p>
          <w:p w14:paraId="32B92B6E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traceparent: 00-0af7651916cd43dd8448eb211c80319c-c6f2d7b8fae14521-01</w:t>
            </w:r>
          </w:p>
          <w:p w14:paraId="04C3D6D5" w14:textId="77777777" w:rsidR="00DF7A8D" w:rsidRDefault="00DF7A8D"/>
          <w:p w14:paraId="681561DF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Retry 2 — positives Ergebnis:</w:t>
            </w:r>
          </w:p>
          <w:p w14:paraId="1758A692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traceparent: 00-0af7651916cd43dd8448eb211c80319c-a1b2c3d4e5f60718-01</w:t>
            </w:r>
          </w:p>
          <w:p w14:paraId="3EFADA7F" w14:textId="77777777" w:rsidR="00DF7A8D" w:rsidRDefault="00DF7A8D"/>
          <w:p w14:paraId="389D2177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Auswertung mit Standard-Monitoring-Tools (Jaeger, Grafana, Datadog):</w:t>
            </w:r>
          </w:p>
          <w:p w14:paraId="7F199836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→ Anzahl Aufrufe: 3 Spans unter TraceID 0af7651916cd43dd...</w:t>
            </w:r>
          </w:p>
          <w:p w14:paraId="13F1427C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→ Gesamtlaufzeit: Zeitstempel(Span1) bis Zeitstempel(Span3)</w:t>
            </w:r>
          </w:p>
          <w:p w14:paraId="2990540F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→ TraceID = initialTransactionId; SpanID = transactionId</w:t>
            </w:r>
          </w:p>
          <w:p w14:paraId="20F58217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Kein proprietärer Code. Out-of-the-box in jedem Monitoring-Tool.</w:t>
            </w:r>
          </w:p>
        </w:tc>
      </w:tr>
    </w:tbl>
    <w:p w14:paraId="7A2A87A9" w14:textId="77777777" w:rsidR="00DF7A8D" w:rsidRDefault="00DF7A8D">
      <w:pPr>
        <w:spacing w:before="80"/>
      </w:pPr>
    </w:p>
    <w:p w14:paraId="4CA36471" w14:textId="77777777" w:rsidR="00DF7A8D" w:rsidRDefault="00000000">
      <w:pPr>
        <w:spacing w:before="80" w:after="100"/>
        <w:jc w:val="both"/>
      </w:pPr>
      <w:r>
        <w:rPr>
          <w:b/>
          <w:bCs/>
        </w:rPr>
        <w:t xml:space="preserve">Referenzen: </w:t>
      </w:r>
      <w:hyperlink r:id="rId19" w:history="1">
        <w:r>
          <w:rPr>
            <w:color w:val="2E75B6"/>
            <w:u w:val="single"/>
          </w:rPr>
          <w:t>W3C Trace Context Level 2 (2023)</w:t>
        </w:r>
      </w:hyperlink>
      <w:r>
        <w:t xml:space="preserve"> | </w:t>
      </w:r>
      <w:hyperlink r:id="rId20" w:history="1">
        <w:r>
          <w:rPr>
            <w:color w:val="2E75B6"/>
            <w:u w:val="single"/>
          </w:rPr>
          <w:t>OpenTelemetry CNCF</w:t>
        </w:r>
      </w:hyperlink>
      <w:r>
        <w:t xml:space="preserve"> | </w:t>
      </w:r>
      <w:hyperlink r:id="rId21" w:history="1">
        <w:r>
          <w:rPr>
            <w:color w:val="2E75B6"/>
            <w:u w:val="single"/>
          </w:rPr>
          <w:t>IETF Draft Idempotency-Key-Header (für zustandsändernde APIs)</w:t>
        </w:r>
      </w:hyperlink>
    </w:p>
    <w:p w14:paraId="33511B3E" w14:textId="77777777" w:rsidR="00DF7A8D" w:rsidRDefault="00000000">
      <w:r>
        <w:br w:type="page"/>
      </w:r>
    </w:p>
    <w:p w14:paraId="498EEB58" w14:textId="77777777" w:rsidR="00DF7A8D" w:rsidRDefault="00000000">
      <w:pPr>
        <w:pStyle w:val="berschrift1"/>
      </w:pPr>
      <w:r>
        <w:lastRenderedPageBreak/>
        <w:t>5. Problem 3: Nicht-standardisierte Rückgabeendpunkte</w:t>
      </w:r>
    </w:p>
    <w:p w14:paraId="0AE7764C" w14:textId="77777777" w:rsidR="00DF7A8D" w:rsidRDefault="00DF7A8D">
      <w:pPr>
        <w:pBdr>
          <w:bottom w:val="single" w:sz="6" w:space="1" w:color="2E75B6"/>
        </w:pBdr>
        <w:spacing w:before="140" w:after="140"/>
      </w:pPr>
    </w:p>
    <w:p w14:paraId="6CB20797" w14:textId="77777777" w:rsidR="00DF7A8D" w:rsidRDefault="00000000">
      <w:pPr>
        <w:pStyle w:val="berschrift2"/>
      </w:pPr>
      <w:r>
        <w:t>5.1 Befund: Das Positive/Negative-Endpunkt-Muster</w:t>
      </w:r>
    </w:p>
    <w:p w14:paraId="04DA1EB9" w14:textId="77777777" w:rsidR="00DF7A8D" w:rsidRDefault="00000000">
      <w:pPr>
        <w:spacing w:before="80" w:after="100"/>
        <w:jc w:val="both"/>
      </w:pPr>
      <w:r>
        <w:t>Die maloIdentV2-API definiert drei separate Endpunkte für Anfrage und Rückmeldung: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F7A8D" w14:paraId="3702E07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ED96437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 /maloId/request/v2                        # Anfrage senden</w:t>
            </w:r>
          </w:p>
          <w:p w14:paraId="34E676FC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 /maloId/dataForMarketLocationPositive/v2   # Positive Rückmeldung empfangen</w:t>
            </w:r>
          </w:p>
          <w:p w14:paraId="086F75B2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 /maloId/dataForMarketLocationNegative/v2   # Negative Rückmeldung empfangen</w:t>
            </w:r>
          </w:p>
        </w:tc>
      </w:tr>
    </w:tbl>
    <w:p w14:paraId="046A14EB" w14:textId="77777777" w:rsidR="00DF7A8D" w:rsidRDefault="00DF7A8D">
      <w:pPr>
        <w:spacing w:before="80"/>
      </w:pPr>
    </w:p>
    <w:p w14:paraId="74B12D1F" w14:textId="77777777" w:rsidR="00DF7A8D" w:rsidRDefault="00000000">
      <w:pPr>
        <w:spacing w:before="80" w:after="100"/>
        <w:jc w:val="both"/>
      </w:pPr>
      <w:r>
        <w:t>Dieses Design verletzt mehrere grundlegende RFC-Standards und erzeugt für alle 900+ Marktteilnehmer verdoppelten Implementierungsaufwand ohne technischen Mehrwert.</w:t>
      </w:r>
    </w:p>
    <w:p w14:paraId="4C1CEF7A" w14:textId="77777777" w:rsidR="00DF7A8D" w:rsidRDefault="00000000">
      <w:pPr>
        <w:pStyle w:val="berschrift2"/>
      </w:pPr>
      <w:r>
        <w:t>5.2 RFC 9110: HTTP-Statuscodes als der korrekte Mechanismus</w:t>
      </w:r>
    </w:p>
    <w:p w14:paraId="0D1C06D9" w14:textId="77777777" w:rsidR="00DF7A8D" w:rsidRDefault="00000000">
      <w:pPr>
        <w:spacing w:before="80" w:after="100"/>
        <w:jc w:val="both"/>
      </w:pPr>
      <w:hyperlink r:id="rId22" w:history="1">
        <w:r>
          <w:rPr>
            <w:color w:val="2E75B6"/>
            <w:u w:val="single"/>
          </w:rPr>
          <w:t>RFC 9110 §15 (HTTP Semantics, Fielding et al., IETF 2022)</w:t>
        </w:r>
      </w:hyperlink>
      <w:r>
        <w:t xml:space="preserve"> definiert ein vollständiges System von HTTP-Statuscodes, die genau für die Unterscheidung von Erfolg und Misserfolg einer Operation konzipiert wurden:</w:t>
      </w:r>
    </w:p>
    <w:p w14:paraId="073F590D" w14:textId="77777777" w:rsidR="00DF7A8D" w:rsidRDefault="00DF7A8D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4"/>
        <w:gridCol w:w="2062"/>
        <w:gridCol w:w="2196"/>
        <w:gridCol w:w="3202"/>
      </w:tblGrid>
      <w:tr w:rsidR="00DF7A8D" w14:paraId="2C304D9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47ED44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HTTP Code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65FD40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Bedeutung (RFC 9110)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B17F41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Anwendung MaLo-Ident V2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6BB5F5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Ersetzt</w:t>
            </w:r>
          </w:p>
        </w:tc>
      </w:tr>
      <w:tr w:rsidR="00DF7A8D" w14:paraId="1C40542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1CC483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1E8449"/>
                <w:sz w:val="20"/>
                <w:szCs w:val="20"/>
              </w:rPr>
              <w:t>200 OK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ABB3B2" w14:textId="77777777" w:rsidR="00DF7A8D" w:rsidRDefault="00000000">
            <w:pPr>
              <w:spacing w:before="80" w:after="100"/>
              <w:jc w:val="both"/>
            </w:pPr>
            <w:r>
              <w:t>Request erfolgreich, Ergebnis im Body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19B943" w14:textId="77777777" w:rsidR="00DF7A8D" w:rsidRDefault="00000000">
            <w:pPr>
              <w:spacing w:before="80" w:after="100"/>
              <w:jc w:val="both"/>
            </w:pPr>
            <w:r>
              <w:t>MaLo-ID gefunden, vollständige Stammdaten im Body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E51416" w14:textId="77777777" w:rsidR="00DF7A8D" w:rsidRDefault="00000000">
            <w:pPr>
              <w:spacing w:before="80" w:after="100"/>
              <w:jc w:val="both"/>
            </w:pPr>
            <w:r>
              <w:rPr>
                <w:i/>
                <w:iCs/>
                <w:color w:val="C0392B"/>
                <w:sz w:val="20"/>
                <w:szCs w:val="20"/>
              </w:rPr>
              <w:t>/dataForMarketLocationPositive</w:t>
            </w:r>
          </w:p>
        </w:tc>
      </w:tr>
      <w:tr w:rsidR="00DF7A8D" w14:paraId="1B0AD33D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EA276C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t>404 Not Found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F75BB6" w14:textId="77777777" w:rsidR="00DF7A8D" w:rsidRDefault="00000000">
            <w:pPr>
              <w:spacing w:before="80" w:after="100"/>
              <w:jc w:val="both"/>
            </w:pPr>
            <w:r>
              <w:t>Ressource nicht gefunden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862A29" w14:textId="77777777" w:rsidR="00DF7A8D" w:rsidRDefault="00000000">
            <w:pPr>
              <w:spacing w:before="80" w:after="100"/>
              <w:jc w:val="both"/>
            </w:pPr>
            <w:r>
              <w:t>Keine MaLo-ID zu den Anfrageparametern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0C46F4" w14:textId="77777777" w:rsidR="00DF7A8D" w:rsidRDefault="00000000">
            <w:pPr>
              <w:spacing w:before="80" w:after="100"/>
              <w:jc w:val="both"/>
            </w:pPr>
            <w:r>
              <w:rPr>
                <w:i/>
                <w:iCs/>
                <w:color w:val="C0392B"/>
                <w:sz w:val="20"/>
                <w:szCs w:val="20"/>
              </w:rPr>
              <w:t>/dataForMarketLocationNegative</w:t>
            </w:r>
          </w:p>
        </w:tc>
      </w:tr>
      <w:tr w:rsidR="00DF7A8D" w14:paraId="7004676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568169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E67E22"/>
                <w:sz w:val="20"/>
                <w:szCs w:val="20"/>
              </w:rPr>
              <w:t>422 Unprocessable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AF601A" w14:textId="77777777" w:rsidR="00DF7A8D" w:rsidRDefault="00000000">
            <w:pPr>
              <w:spacing w:before="80" w:after="100"/>
              <w:jc w:val="both"/>
            </w:pPr>
            <w:r>
              <w:t>Semantischer Validierungsfehler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069FD0" w14:textId="77777777" w:rsidR="00DF7A8D" w:rsidRDefault="00000000">
            <w:pPr>
              <w:spacing w:before="80" w:after="100"/>
              <w:jc w:val="both"/>
            </w:pPr>
            <w:r>
              <w:t>Adressparameter unvollständig oder nicht auflösbar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2DA44A" w14:textId="77777777" w:rsidR="00DF7A8D" w:rsidRDefault="00000000">
            <w:pPr>
              <w:spacing w:before="80" w:after="100"/>
              <w:jc w:val="both"/>
            </w:pPr>
            <w:r>
              <w:rPr>
                <w:i/>
                <w:iCs/>
                <w:color w:val="C0392B"/>
                <w:sz w:val="20"/>
                <w:szCs w:val="20"/>
              </w:rPr>
              <w:t>Teil von /dataForMarketLocationNegative</w:t>
            </w:r>
          </w:p>
        </w:tc>
      </w:tr>
      <w:tr w:rsidR="00DF7A8D" w14:paraId="6F2339F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009171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2E75B6"/>
                <w:sz w:val="20"/>
                <w:szCs w:val="20"/>
              </w:rPr>
              <w:t>202 Accepted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D89BF4" w14:textId="77777777" w:rsidR="00DF7A8D" w:rsidRDefault="00000000">
            <w:pPr>
              <w:spacing w:before="80" w:after="100"/>
              <w:jc w:val="both"/>
            </w:pPr>
            <w:r>
              <w:t>Anfrage angenommen, asynchrone Verarbeitung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E3BBE1" w14:textId="77777777" w:rsidR="00DF7A8D" w:rsidRDefault="00000000">
            <w:pPr>
              <w:spacing w:before="80" w:after="100"/>
              <w:jc w:val="both"/>
            </w:pPr>
            <w:r>
              <w:t>Anfrage eingegangen, Ergebnis folgt asynchron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AB7137" w14:textId="77777777" w:rsidR="00DF7A8D" w:rsidRDefault="00000000">
            <w:pPr>
              <w:spacing w:before="80" w:after="100"/>
              <w:jc w:val="both"/>
            </w:pPr>
            <w:r>
              <w:rPr>
                <w:i/>
                <w:iCs/>
                <w:color w:val="C0392B"/>
                <w:sz w:val="20"/>
                <w:szCs w:val="20"/>
              </w:rPr>
              <w:t>/request (bereits korrekt)</w:t>
            </w:r>
          </w:p>
        </w:tc>
      </w:tr>
    </w:tbl>
    <w:p w14:paraId="3572F991" w14:textId="77777777" w:rsidR="00DF7A8D" w:rsidRDefault="00000000">
      <w:pPr>
        <w:pStyle w:val="berschrift2"/>
      </w:pPr>
      <w:r>
        <w:t>5.3 RFC 9457: Problem Details als Standard für Fehlernachrichten</w:t>
      </w:r>
    </w:p>
    <w:p w14:paraId="16DD04DF" w14:textId="77777777" w:rsidR="00DF7A8D" w:rsidRDefault="00000000">
      <w:pPr>
        <w:spacing w:before="80" w:after="100"/>
        <w:jc w:val="both"/>
      </w:pPr>
      <w:hyperlink r:id="rId23" w:history="1">
        <w:r>
          <w:rPr>
            <w:color w:val="2E75B6"/>
            <w:u w:val="single"/>
          </w:rPr>
          <w:t>RFC 9457 (Problem Details for HTTP APIs, Nottingham, IETF Juli 2023)</w:t>
        </w:r>
      </w:hyperlink>
      <w:r>
        <w:t xml:space="preserve"> definiert ein maschinenlesbares JSON-Format für Fehlernachrichten. Es ersetzt proprietäre Fehlerkonstrukte vollständig. Die Guideline v1.0c führt RFC 9457 als SHOULD ein — für eine KRITIS-Infrastruktur mit 900+ Marktteilnehmern muss es MUST sein: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F7A8D" w14:paraId="23ACB68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810A6A5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HTTP/2 404 Not Found</w:t>
            </w:r>
          </w:p>
          <w:p w14:paraId="71D5D44A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Content-Type: application/problem+json</w:t>
            </w:r>
          </w:p>
          <w:p w14:paraId="333E1E9C" w14:textId="77777777" w:rsidR="00DF7A8D" w:rsidRDefault="00DF7A8D"/>
          <w:p w14:paraId="712906BC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</w:t>
            </w:r>
          </w:p>
          <w:p w14:paraId="4DF43FC0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"type": "https://api.edienergy.de/problems/malo-not-found",</w:t>
            </w:r>
          </w:p>
          <w:p w14:paraId="2E3E807E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"title": "Marktlokation nicht gefunden",</w:t>
            </w:r>
          </w:p>
          <w:p w14:paraId="2ED43026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"status": 404,</w:t>
            </w:r>
          </w:p>
          <w:p w14:paraId="1D47FB7F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"detail": "Keine Marktlokation unter der angegebenen Adresse identifizierbar.",</w:t>
            </w:r>
          </w:p>
          <w:p w14:paraId="6D87FADF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"instance": "/maloId/request",</w:t>
            </w:r>
          </w:p>
          <w:p w14:paraId="14B01EA5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"responseCode": "A10",</w:t>
            </w:r>
          </w:p>
          <w:p w14:paraId="43946D7E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"traceId": "0af7651916cd43dd8448eb211c80319c"</w:t>
            </w:r>
          </w:p>
          <w:p w14:paraId="3039548A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  <w:p w14:paraId="226CFCD7" w14:textId="77777777" w:rsidR="00DF7A8D" w:rsidRDefault="00DF7A8D"/>
          <w:p w14:paraId="4A2C7B41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Dieser eine Endpunkt ersetzt /dataForMarketLocationNegative vollständig.</w:t>
            </w:r>
          </w:p>
          <w:p w14:paraId="27813A77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Microsoft Azure, Zalando, Google Cloud und PSD2 Berlin Group: alle MUST RFC 9457.</w:t>
            </w:r>
          </w:p>
        </w:tc>
      </w:tr>
    </w:tbl>
    <w:p w14:paraId="33E25372" w14:textId="77777777" w:rsidR="00DF7A8D" w:rsidRDefault="00000000">
      <w:pPr>
        <w:pStyle w:val="berschrift2"/>
      </w:pPr>
      <w:r>
        <w:t>5.4 Das standardisierte Callback-Pattern (falls asynchrones Muster beibehalten)</w:t>
      </w:r>
    </w:p>
    <w:p w14:paraId="0CA81B6D" w14:textId="77777777" w:rsidR="00DF7A8D" w:rsidRDefault="00000000">
      <w:pPr>
        <w:spacing w:before="80" w:after="100"/>
        <w:jc w:val="both"/>
      </w:pPr>
      <w:r>
        <w:t xml:space="preserve">Falls das asynchrone Muster aus fachlichen Gründen beibehalten werden soll, definiert </w:t>
      </w:r>
      <w:hyperlink r:id="rId24" w:anchor="callback-object" w:history="1">
        <w:r>
          <w:rPr>
            <w:color w:val="2E75B6"/>
            <w:u w:val="single"/>
          </w:rPr>
          <w:t>OpenAPI 3.x Callbacks</w:t>
        </w:r>
      </w:hyperlink>
      <w:r>
        <w:t xml:space="preserve"> einen maschinenlesbaren Standard für genau diesen Anwendungsfall — mit einem einzigen Callback-Endpunkt für beide Ergebnistypen: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F7A8D" w14:paraId="491CFF0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830E45D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OpenAPI 3.x — standardisiertes Callback-Pattern:</w:t>
            </w:r>
          </w:p>
          <w:p w14:paraId="76B58D5D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paths:</w:t>
            </w:r>
          </w:p>
          <w:p w14:paraId="2DFD10DD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/maloId/request:</w:t>
            </w:r>
          </w:p>
          <w:p w14:paraId="607CAD4C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post:</w:t>
            </w:r>
          </w:p>
          <w:p w14:paraId="2A113399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callbacks:</w:t>
            </w:r>
          </w:p>
          <w:p w14:paraId="70F53924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maloIdentResult:</w:t>
            </w:r>
          </w:p>
          <w:p w14:paraId="0A9DFBA3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'{$request.body#/callbackUrl}':</w:t>
            </w:r>
          </w:p>
          <w:p w14:paraId="69CB62DF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post:</w:t>
            </w:r>
          </w:p>
          <w:p w14:paraId="3A9CE9DE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requestBody:</w:t>
            </w:r>
          </w:p>
          <w:p w14:paraId="30C4AFDC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content:</w:t>
            </w:r>
          </w:p>
          <w:p w14:paraId="049B45F8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application/json:</w:t>
            </w:r>
          </w:p>
          <w:p w14:paraId="53D7F3AA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schema:</w:t>
            </w:r>
          </w:p>
          <w:p w14:paraId="1EAB9FEB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oneOf:</w:t>
            </w:r>
          </w:p>
          <w:p w14:paraId="3922C813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- $ref: '#/components/schemas/MaloIdentSuccess'  # HTTP 200</w:t>
            </w:r>
          </w:p>
          <w:p w14:paraId="0662423E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- $ref: '#/components/schemas/MaloIdentError'    # HTTP 404/422</w:t>
            </w:r>
          </w:p>
          <w:p w14:paraId="029406FD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→ EIN Endpunkt für beide Ergebnistypen, unterschieden durch HTTP-Statuscode.</w:t>
            </w:r>
          </w:p>
          <w:p w14:paraId="03DCCFD0" w14:textId="77777777" w:rsidR="00DF7A8D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→ Keine proprietären /Positive und /Negative Endpunkte nötig.</w:t>
            </w:r>
          </w:p>
        </w:tc>
      </w:tr>
    </w:tbl>
    <w:p w14:paraId="786FD325" w14:textId="77777777" w:rsidR="00DF7A8D" w:rsidRDefault="00000000">
      <w:pPr>
        <w:pStyle w:val="berschrift2"/>
      </w:pPr>
      <w:r>
        <w:t>5.5 Risikoabschätzung und Marktauswirkungen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F7A8D" w14:paraId="470C7BA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0" w:space="0" w:color="6C3483"/>
              <w:left w:val="single" w:sz="10" w:space="0" w:color="6C3483"/>
              <w:bottom w:val="single" w:sz="4" w:space="0" w:color="CCCCCC"/>
              <w:right w:val="single" w:sz="4" w:space="0" w:color="CCCCCC"/>
            </w:tcBorders>
            <w:shd w:val="clear" w:color="auto" w:fill="F4ECF7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750424C7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6C3483"/>
              </w:rPr>
              <w:t>Risikostufe: HOCH</w:t>
            </w:r>
          </w:p>
          <w:p w14:paraId="3B03EDB0" w14:textId="77777777" w:rsidR="00DF7A8D" w:rsidRDefault="00DF7A8D">
            <w:pPr>
              <w:spacing w:before="80"/>
            </w:pPr>
          </w:p>
          <w:p w14:paraId="20C25B78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 xml:space="preserve">Verdoppelter Implementierungsaufwand: </w:t>
            </w:r>
            <w:r>
              <w:t>Jeder der 900+ Marktteilnehmer implementiert zwei Callback-Endpunkte statt einem. Bei 60+ MaBiS-Hub-APIs mit ähnlichem Muster entsteht eine unwartbare Systemlandschaft proprietärer Endpunkte.</w:t>
            </w:r>
          </w:p>
          <w:p w14:paraId="5B3BDEF6" w14:textId="77777777" w:rsidR="00DF7A8D" w:rsidRDefault="00DF7A8D">
            <w:pPr>
              <w:spacing w:before="80"/>
            </w:pPr>
          </w:p>
          <w:p w14:paraId="22E57170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 xml:space="preserve">Nicht testbar mit Standardwerkzeugen: </w:t>
            </w:r>
            <w:r>
              <w:t>Proprietäre Callback-Namen (/dataForMarketLocationPositive) können nicht mit Standard-API-Testwerkzeugen (Postman, Insomnia, k6, Newman) automatisch validiert werden. Das erhöht den Testaufwand dauerhaft.</w:t>
            </w:r>
          </w:p>
          <w:p w14:paraId="573DA902" w14:textId="77777777" w:rsidR="00DF7A8D" w:rsidRDefault="00DF7A8D">
            <w:pPr>
              <w:spacing w:before="80"/>
            </w:pPr>
          </w:p>
          <w:p w14:paraId="73898AF7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 xml:space="preserve">Folge für BDEW: </w:t>
            </w:r>
            <w:r>
              <w:t>Bei einer externen Überprüfung durch IETF-Experten oder Fraunhofer FOKUS wäre dieses Muster sofort als nicht-standardkonform identifizierbar — mit direktem Reputationsschaden für den BDEW als Standardisierungsgremium.</w:t>
            </w:r>
          </w:p>
          <w:p w14:paraId="7EA50C61" w14:textId="77777777" w:rsidR="00DF7A8D" w:rsidRDefault="00DF7A8D">
            <w:pPr>
              <w:spacing w:before="80"/>
            </w:pPr>
          </w:p>
          <w:p w14:paraId="1CD8DFC0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 xml:space="preserve">RFC 8030 als Ergänzung: </w:t>
            </w:r>
            <w:hyperlink r:id="rId25" w:history="1">
              <w:r>
                <w:rPr>
                  <w:color w:val="2E75B6"/>
                  <w:u w:val="single"/>
                </w:rPr>
                <w:t>RFC 8030 (Generic Event Delivery Using HTTP Push)</w:t>
              </w:r>
            </w:hyperlink>
            <w:r>
              <w:t xml:space="preserve"> definiert einen standardisierten Push-Delivery-Mechanismus als Alternative — ebenfalls mit einem einzigen Endpunkt.</w:t>
            </w:r>
          </w:p>
        </w:tc>
      </w:tr>
    </w:tbl>
    <w:p w14:paraId="44EF8FC7" w14:textId="77777777" w:rsidR="00DF7A8D" w:rsidRDefault="00000000">
      <w:r>
        <w:lastRenderedPageBreak/>
        <w:br w:type="page"/>
      </w:r>
    </w:p>
    <w:p w14:paraId="356B994A" w14:textId="77777777" w:rsidR="00DF7A8D" w:rsidRDefault="00000000">
      <w:pPr>
        <w:pStyle w:val="berschrift1"/>
      </w:pPr>
      <w:r>
        <w:lastRenderedPageBreak/>
        <w:t>6. RFC-Fehlerkorrektur in Guideline v1.0c und OpenAPI-Spezifikation</w:t>
      </w:r>
    </w:p>
    <w:p w14:paraId="7BE4771C" w14:textId="77777777" w:rsidR="00DF7A8D" w:rsidRDefault="00DF7A8D">
      <w:pPr>
        <w:pBdr>
          <w:bottom w:val="single" w:sz="6" w:space="1" w:color="2E75B6"/>
        </w:pBdr>
        <w:spacing w:before="140" w:after="140"/>
      </w:pPr>
    </w:p>
    <w:p w14:paraId="06BA551A" w14:textId="77777777" w:rsidR="00DF7A8D" w:rsidRDefault="00000000">
      <w:pPr>
        <w:spacing w:before="80" w:after="100"/>
        <w:jc w:val="both"/>
      </w:pPr>
      <w:r>
        <w:t>Die API-Guideline v1.0c enthält mehrere fehlerhafte oder veraltete RFC-Referenzen, die zu falschen Implementierungen führen können:</w:t>
      </w:r>
    </w:p>
    <w:p w14:paraId="355F7786" w14:textId="77777777" w:rsidR="00DF7A8D" w:rsidRDefault="00DF7A8D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2"/>
        <w:gridCol w:w="1862"/>
        <w:gridCol w:w="2054"/>
        <w:gridCol w:w="3048"/>
      </w:tblGrid>
      <w:tr w:rsidR="00DF7A8D" w14:paraId="21E8C7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79288C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Dokument / Abschnitt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1546AC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Verwendete Referenz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44F6B9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Fehler / Status</w:t>
            </w:r>
          </w:p>
        </w:tc>
        <w:tc>
          <w:tcPr>
            <w:tcW w:w="3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B9E090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Korrekte Referenz + Link</w:t>
            </w:r>
          </w:p>
        </w:tc>
      </w:tr>
      <w:tr w:rsidR="00DF7A8D" w14:paraId="133C309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39AB59" w14:textId="77777777" w:rsidR="00DF7A8D" w:rsidRDefault="00000000">
            <w:pPr>
              <w:spacing w:before="80" w:after="100"/>
              <w:jc w:val="both"/>
            </w:pPr>
            <w:r>
              <w:t>Guideline §3.1.4 URL-Länge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6F643B" w14:textId="77777777" w:rsidR="00DF7A8D" w:rsidRDefault="00000000">
            <w:pPr>
              <w:spacing w:before="80" w:after="100"/>
              <w:jc w:val="both"/>
            </w:pPr>
            <w:r>
              <w:rPr>
                <w:color w:val="E67E22"/>
                <w:sz w:val="20"/>
                <w:szCs w:val="20"/>
              </w:rPr>
              <w:t>RFC 7230 §3.1.1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64D850" w14:textId="77777777" w:rsidR="00DF7A8D" w:rsidRDefault="00000000">
            <w:pPr>
              <w:spacing w:before="80" w:after="100"/>
              <w:jc w:val="both"/>
            </w:pPr>
            <w:r>
              <w:rPr>
                <w:color w:val="C0392B"/>
                <w:sz w:val="20"/>
                <w:szCs w:val="20"/>
              </w:rPr>
              <w:t>OBSOLETED seit Juni 2022</w:t>
            </w:r>
          </w:p>
        </w:tc>
        <w:tc>
          <w:tcPr>
            <w:tcW w:w="3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CB6DB3" w14:textId="77777777" w:rsidR="00DF7A8D" w:rsidRDefault="00000000">
            <w:pPr>
              <w:spacing w:before="80" w:after="100"/>
              <w:jc w:val="both"/>
            </w:pPr>
            <w:r>
              <w:rPr>
                <w:color w:val="1E8449"/>
                <w:sz w:val="20"/>
                <w:szCs w:val="20"/>
              </w:rPr>
              <w:t>RFC 9112 §3 · rfc-editor.org/rfc/rfc9112</w:t>
            </w:r>
          </w:p>
        </w:tc>
      </w:tr>
      <w:tr w:rsidR="00DF7A8D" w14:paraId="78E9721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20CC0D" w14:textId="77777777" w:rsidR="00DF7A8D" w:rsidRDefault="00000000">
            <w:pPr>
              <w:spacing w:before="80" w:after="100"/>
              <w:jc w:val="both"/>
            </w:pPr>
            <w:r>
              <w:t>Guideline §3.3 Tabelle — ipv4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0D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40D53C" w14:textId="77777777" w:rsidR="00DF7A8D" w:rsidRDefault="00000000">
            <w:pPr>
              <w:spacing w:before="80" w:after="100"/>
              <w:jc w:val="both"/>
            </w:pPr>
            <w:r>
              <w:rPr>
                <w:color w:val="E67E22"/>
                <w:sz w:val="20"/>
                <w:szCs w:val="20"/>
              </w:rPr>
              <w:t>RFC 2673 (Link: /2673)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EAE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410F5A" w14:textId="77777777" w:rsidR="00DF7A8D" w:rsidRDefault="00000000">
            <w:pPr>
              <w:spacing w:before="80" w:after="100"/>
              <w:jc w:val="both"/>
            </w:pPr>
            <w:r>
              <w:rPr>
                <w:color w:val="C0392B"/>
                <w:sz w:val="20"/>
                <w:szCs w:val="20"/>
              </w:rPr>
              <w:t>OBSOLETED + defekter Link (fehlt 'rfc' im Pfad)</w:t>
            </w:r>
          </w:p>
        </w:tc>
        <w:tc>
          <w:tcPr>
            <w:tcW w:w="3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3F5E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F6BE25" w14:textId="77777777" w:rsidR="00DF7A8D" w:rsidRDefault="00000000">
            <w:pPr>
              <w:spacing w:before="80" w:after="100"/>
              <w:jc w:val="both"/>
            </w:pPr>
            <w:r>
              <w:rPr>
                <w:color w:val="1E8449"/>
                <w:sz w:val="20"/>
                <w:szCs w:val="20"/>
              </w:rPr>
              <w:t>RFC 791 · rfc-editor.org/rfc/rfc791</w:t>
            </w:r>
          </w:p>
        </w:tc>
      </w:tr>
      <w:tr w:rsidR="00DF7A8D" w14:paraId="2AD33F5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CB0F10" w14:textId="77777777" w:rsidR="00DF7A8D" w:rsidRDefault="00000000">
            <w:pPr>
              <w:spacing w:before="80" w:after="100"/>
              <w:jc w:val="both"/>
            </w:pPr>
            <w:r>
              <w:t>Guideline §3.3 byte/binary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0D9488" w14:textId="77777777" w:rsidR="00DF7A8D" w:rsidRDefault="00000000">
            <w:pPr>
              <w:spacing w:before="80" w:after="100"/>
              <w:jc w:val="both"/>
            </w:pPr>
            <w:r>
              <w:rPr>
                <w:color w:val="E67E22"/>
                <w:sz w:val="20"/>
                <w:szCs w:val="20"/>
              </w:rPr>
              <w:t>RFC 7493 §4.4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07F655" w14:textId="77777777" w:rsidR="00DF7A8D" w:rsidRDefault="00000000">
            <w:pPr>
              <w:spacing w:before="80" w:after="100"/>
              <w:jc w:val="both"/>
            </w:pPr>
            <w:r>
              <w:rPr>
                <w:color w:val="C0392B"/>
                <w:sz w:val="20"/>
                <w:szCs w:val="20"/>
              </w:rPr>
              <w:t>Korrekt, aber OAS 3.1+ präferiert RFC 4648 §5</w:t>
            </w:r>
          </w:p>
        </w:tc>
        <w:tc>
          <w:tcPr>
            <w:tcW w:w="3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81D4F2" w14:textId="77777777" w:rsidR="00DF7A8D" w:rsidRDefault="00000000">
            <w:pPr>
              <w:spacing w:before="80" w:after="100"/>
              <w:jc w:val="both"/>
            </w:pPr>
            <w:r>
              <w:rPr>
                <w:color w:val="1E8449"/>
                <w:sz w:val="20"/>
                <w:szCs w:val="20"/>
              </w:rPr>
              <w:t>RFC 4648 §5 · rfc-editor.org/rfc/rfc4648</w:t>
            </w:r>
          </w:p>
        </w:tc>
      </w:tr>
      <w:tr w:rsidR="00DF7A8D" w14:paraId="37960C9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3227B5" w14:textId="77777777" w:rsidR="00DF7A8D" w:rsidRDefault="00000000">
            <w:pPr>
              <w:spacing w:before="80" w:after="100"/>
              <w:jc w:val="both"/>
            </w:pPr>
            <w:r>
              <w:t>Guideline §7 Quellen RFC 9457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0D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29ED38" w14:textId="77777777" w:rsidR="00DF7A8D" w:rsidRDefault="00000000">
            <w:pPr>
              <w:spacing w:before="80" w:after="100"/>
              <w:jc w:val="both"/>
            </w:pPr>
            <w:r>
              <w:rPr>
                <w:color w:val="E67E22"/>
                <w:sz w:val="20"/>
                <w:szCs w:val="20"/>
              </w:rPr>
              <w:t>Titel: 'HTTP/1.1'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EAE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7E6C77" w14:textId="77777777" w:rsidR="00DF7A8D" w:rsidRDefault="00000000">
            <w:pPr>
              <w:spacing w:before="80" w:after="100"/>
              <w:jc w:val="both"/>
            </w:pPr>
            <w:r>
              <w:rPr>
                <w:color w:val="C0392B"/>
                <w:sz w:val="20"/>
                <w:szCs w:val="20"/>
              </w:rPr>
              <w:t>Falscher Titel — RFC 9457 = Problem Details</w:t>
            </w:r>
          </w:p>
        </w:tc>
        <w:tc>
          <w:tcPr>
            <w:tcW w:w="3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3F5E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13D317" w14:textId="77777777" w:rsidR="00DF7A8D" w:rsidRDefault="00000000">
            <w:pPr>
              <w:spacing w:before="80" w:after="100"/>
              <w:jc w:val="both"/>
            </w:pPr>
            <w:r>
              <w:rPr>
                <w:color w:val="1E8449"/>
                <w:sz w:val="20"/>
                <w:szCs w:val="20"/>
              </w:rPr>
              <w:t>Titel: 'Problem Details for HTTP APIs (Juli 2023)'</w:t>
            </w:r>
          </w:p>
        </w:tc>
      </w:tr>
      <w:tr w:rsidR="00DF7A8D" w14:paraId="5C6F1A50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6E0B26" w14:textId="77777777" w:rsidR="00DF7A8D" w:rsidRDefault="00000000">
            <w:pPr>
              <w:spacing w:before="80" w:after="100"/>
              <w:jc w:val="both"/>
            </w:pPr>
            <w:r>
              <w:t>Guideline §7 RFC 5246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AE61CF" w14:textId="77777777" w:rsidR="00DF7A8D" w:rsidRDefault="00000000">
            <w:pPr>
              <w:spacing w:before="80" w:after="100"/>
              <w:jc w:val="both"/>
            </w:pPr>
            <w:r>
              <w:rPr>
                <w:color w:val="E67E22"/>
                <w:sz w:val="20"/>
                <w:szCs w:val="20"/>
              </w:rPr>
              <w:t>TLS 1.2 (RFC 5246)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EB1419" w14:textId="77777777" w:rsidR="00DF7A8D" w:rsidRDefault="00000000">
            <w:pPr>
              <w:spacing w:before="80" w:after="100"/>
              <w:jc w:val="both"/>
            </w:pPr>
            <w:r>
              <w:rPr>
                <w:color w:val="C0392B"/>
                <w:sz w:val="20"/>
                <w:szCs w:val="20"/>
              </w:rPr>
              <w:t>OBSOLETED durch RFC 8446 (TLS 1.3)</w:t>
            </w:r>
          </w:p>
        </w:tc>
        <w:tc>
          <w:tcPr>
            <w:tcW w:w="3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9F7E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6ECB03" w14:textId="77777777" w:rsidR="00DF7A8D" w:rsidRDefault="00000000">
            <w:pPr>
              <w:spacing w:before="80" w:after="100"/>
              <w:jc w:val="both"/>
            </w:pPr>
            <w:r>
              <w:rPr>
                <w:color w:val="1E8449"/>
                <w:sz w:val="20"/>
                <w:szCs w:val="20"/>
              </w:rPr>
              <w:t>RFC 5246 entfernen — RFC 8446 bereits im Quellenverz.</w:t>
            </w:r>
          </w:p>
        </w:tc>
      </w:tr>
      <w:tr w:rsidR="00DF7A8D" w14:paraId="5362F660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51624E" w14:textId="77777777" w:rsidR="00DF7A8D" w:rsidRDefault="00000000">
            <w:pPr>
              <w:spacing w:before="80" w:after="100"/>
              <w:jc w:val="both"/>
            </w:pPr>
            <w:r>
              <w:t>maloIdentV1.yaml transactionId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0D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350BC0" w14:textId="77777777" w:rsidR="00DF7A8D" w:rsidRDefault="00000000">
            <w:pPr>
              <w:spacing w:before="80" w:after="100"/>
              <w:jc w:val="both"/>
            </w:pPr>
            <w:r>
              <w:rPr>
                <w:color w:val="E67E22"/>
                <w:sz w:val="20"/>
                <w:szCs w:val="20"/>
              </w:rPr>
              <w:t>format: UUID RFC4122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EAE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108E2E" w14:textId="77777777" w:rsidR="00DF7A8D" w:rsidRDefault="00000000">
            <w:pPr>
              <w:spacing w:before="80" w:after="100"/>
              <w:jc w:val="both"/>
            </w:pPr>
            <w:r>
              <w:rPr>
                <w:color w:val="C0392B"/>
                <w:sz w:val="20"/>
                <w:szCs w:val="20"/>
              </w:rPr>
              <w:t>Kein valider OpenAPI-Formatwert — bricht Code-Generierung in allen OAS-Tools</w:t>
            </w:r>
          </w:p>
        </w:tc>
        <w:tc>
          <w:tcPr>
            <w:tcW w:w="3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3F5E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2B54DB" w14:textId="77777777" w:rsidR="00DF7A8D" w:rsidRDefault="00000000">
            <w:pPr>
              <w:spacing w:before="80" w:after="100"/>
              <w:jc w:val="both"/>
            </w:pPr>
            <w:r>
              <w:rPr>
                <w:color w:val="1E8449"/>
                <w:sz w:val="20"/>
                <w:szCs w:val="20"/>
              </w:rPr>
              <w:t>format: uuid (OpenAPI §4.8, RFC 4122)</w:t>
            </w:r>
          </w:p>
        </w:tc>
      </w:tr>
    </w:tbl>
    <w:p w14:paraId="1692B026" w14:textId="77777777" w:rsidR="00DF7A8D" w:rsidRDefault="00000000">
      <w:r>
        <w:br w:type="page"/>
      </w:r>
    </w:p>
    <w:p w14:paraId="147C622C" w14:textId="77777777" w:rsidR="00DF7A8D" w:rsidRDefault="00000000">
      <w:pPr>
        <w:pStyle w:val="berschrift1"/>
      </w:pPr>
      <w:r>
        <w:lastRenderedPageBreak/>
        <w:t>7. Gesamtbewertung der handwerklichen Qualität</w:t>
      </w:r>
    </w:p>
    <w:p w14:paraId="02CEE697" w14:textId="77777777" w:rsidR="00DF7A8D" w:rsidRDefault="00DF7A8D">
      <w:pPr>
        <w:pBdr>
          <w:bottom w:val="single" w:sz="6" w:space="1" w:color="2E75B6"/>
        </w:pBdr>
        <w:spacing w:before="140" w:after="1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600"/>
        <w:gridCol w:w="4826"/>
      </w:tblGrid>
      <w:tr w:rsidR="00DF7A8D" w14:paraId="0A2F34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70CF99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Kriterium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D908E3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Bewertung</w:t>
            </w:r>
          </w:p>
        </w:tc>
        <w:tc>
          <w:tcPr>
            <w:tcW w:w="4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36B0F3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Befund und Marktauswirkung</w:t>
            </w:r>
          </w:p>
        </w:tc>
      </w:tr>
      <w:tr w:rsidR="00DF7A8D" w14:paraId="13DE570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0BF347" w14:textId="77777777" w:rsidR="00DF7A8D" w:rsidRDefault="00000000">
            <w:pPr>
              <w:spacing w:before="80" w:after="100"/>
              <w:jc w:val="both"/>
            </w:pPr>
            <w:r>
              <w:t>RFC-Konformität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80C155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t>❌ Ungenügend</w:t>
            </w:r>
          </w:p>
        </w:tc>
        <w:tc>
          <w:tcPr>
            <w:tcW w:w="4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85D236" w14:textId="77777777" w:rsidR="00DF7A8D" w:rsidRDefault="00000000">
            <w:pPr>
              <w:spacing w:before="80" w:after="100"/>
              <w:jc w:val="both"/>
            </w:pPr>
            <w:r>
              <w:t>Veraltete RFCs (RFC 7230, RFC 2673), defekte Links, falscher OAS-Formatwert uuid</w:t>
            </w:r>
          </w:p>
        </w:tc>
      </w:tr>
      <w:tr w:rsidR="00DF7A8D" w14:paraId="6B04840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BD9995" w14:textId="77777777" w:rsidR="00DF7A8D" w:rsidRDefault="00000000">
            <w:pPr>
              <w:spacing w:before="80" w:after="100"/>
              <w:jc w:val="both"/>
            </w:pPr>
            <w:r>
              <w:t>API-Design-Reife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B9D481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t>❌ Ungenügend</w:t>
            </w:r>
          </w:p>
        </w:tc>
        <w:tc>
          <w:tcPr>
            <w:tcW w:w="4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1A1782" w14:textId="77777777" w:rsidR="00DF7A8D" w:rsidRDefault="00000000">
            <w:pPr>
              <w:spacing w:before="80" w:after="100"/>
              <w:jc w:val="both"/>
            </w:pPr>
            <w:r>
              <w:t>URI-Versionierung widerspricht RFC 3986; semantisch falsche Endpunktnamen (+Positive/+Negative)</w:t>
            </w:r>
          </w:p>
        </w:tc>
      </w:tr>
      <w:tr w:rsidR="00DF7A8D" w14:paraId="27BD0A6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4919E5" w14:textId="77777777" w:rsidR="00DF7A8D" w:rsidRDefault="00000000">
            <w:pPr>
              <w:spacing w:before="80" w:after="100"/>
              <w:jc w:val="both"/>
            </w:pPr>
            <w:r>
              <w:t>Konzeptionelle Korrektheit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731FA9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t>❌ Ungenügend</w:t>
            </w:r>
          </w:p>
        </w:tc>
        <w:tc>
          <w:tcPr>
            <w:tcW w:w="4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927C72" w14:textId="77777777" w:rsidR="00DF7A8D" w:rsidRDefault="00000000">
            <w:pPr>
              <w:spacing w:before="80" w:after="100"/>
              <w:jc w:val="both"/>
            </w:pPr>
            <w:r>
              <w:t>Idempotenz-Fehlorientierung hat nachweislich Marktschaden verursacht</w:t>
            </w:r>
          </w:p>
        </w:tc>
      </w:tr>
      <w:tr w:rsidR="00DF7A8D" w14:paraId="798AD68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44643D" w14:textId="77777777" w:rsidR="00DF7A8D" w:rsidRDefault="00000000">
            <w:pPr>
              <w:spacing w:before="80" w:after="100"/>
              <w:jc w:val="both"/>
            </w:pPr>
            <w:r>
              <w:t>Eindeutigkeit der Spec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C63DB1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E67E22"/>
                <w:sz w:val="20"/>
                <w:szCs w:val="20"/>
              </w:rPr>
              <w:t>⚠️ Mangelhaft</w:t>
            </w:r>
          </w:p>
        </w:tc>
        <w:tc>
          <w:tcPr>
            <w:tcW w:w="4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399EB7" w14:textId="77777777" w:rsidR="00DF7A8D" w:rsidRDefault="00000000">
            <w:pPr>
              <w:spacing w:before="80" w:after="100"/>
              <w:jc w:val="both"/>
            </w:pPr>
            <w:r>
              <w:t>Zwei legale, inkompatible Implementierungen der referenceId-Retry-Regel dokumentiert</w:t>
            </w:r>
          </w:p>
        </w:tc>
      </w:tr>
      <w:tr w:rsidR="00DF7A8D" w14:paraId="11B8AAB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53EECC" w14:textId="77777777" w:rsidR="00DF7A8D" w:rsidRDefault="00000000">
            <w:pPr>
              <w:spacing w:before="80" w:after="100"/>
              <w:jc w:val="both"/>
            </w:pPr>
            <w:r>
              <w:t>Maschinelle Validierbarkeit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FD0384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E67E22"/>
                <w:sz w:val="20"/>
                <w:szCs w:val="20"/>
              </w:rPr>
              <w:t>⚠️ Mangelhaft</w:t>
            </w:r>
          </w:p>
        </w:tc>
        <w:tc>
          <w:tcPr>
            <w:tcW w:w="4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7CBF04" w14:textId="77777777" w:rsidR="00DF7A8D" w:rsidRDefault="00000000">
            <w:pPr>
              <w:spacing w:before="80" w:after="100"/>
              <w:jc w:val="both"/>
            </w:pPr>
            <w:r>
              <w:t>Alle Korrelationsregeln in Freitext, nicht in der OpenAPI-Spezifikation kodiert</w:t>
            </w:r>
          </w:p>
        </w:tc>
      </w:tr>
      <w:tr w:rsidR="00DF7A8D" w14:paraId="5BACAE0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78D82F" w14:textId="77777777" w:rsidR="00DF7A8D" w:rsidRDefault="00000000">
            <w:pPr>
              <w:spacing w:before="80" w:after="100"/>
              <w:jc w:val="both"/>
            </w:pPr>
            <w:r>
              <w:t>Interoperabilität im Markt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0A7065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t>❌ Ungenügend</w:t>
            </w:r>
          </w:p>
        </w:tc>
        <w:tc>
          <w:tcPr>
            <w:tcW w:w="4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86AD21" w14:textId="77777777" w:rsidR="00DF7A8D" w:rsidRDefault="00000000">
            <w:pPr>
              <w:spacing w:before="80" w:after="100"/>
              <w:jc w:val="both"/>
            </w:pPr>
            <w:r>
              <w:t>Dokumentierte Inkompatibilitäten bei allen Marktteilnehmern — aktiv seit 2025</w:t>
            </w:r>
          </w:p>
        </w:tc>
      </w:tr>
      <w:tr w:rsidR="00DF7A8D" w14:paraId="025FA62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9DBAC9" w14:textId="77777777" w:rsidR="00DF7A8D" w:rsidRDefault="00000000">
            <w:pPr>
              <w:spacing w:before="80" w:after="100"/>
              <w:jc w:val="both"/>
            </w:pPr>
            <w:r>
              <w:t>Eignung für KRITIS-Infrastruktur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135BE0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C0392B"/>
                <w:sz w:val="20"/>
                <w:szCs w:val="20"/>
              </w:rPr>
              <w:t>❌ Kritisch</w:t>
            </w:r>
          </w:p>
        </w:tc>
        <w:tc>
          <w:tcPr>
            <w:tcW w:w="4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B89CAE" w14:textId="77777777" w:rsidR="00DF7A8D" w:rsidRDefault="00000000">
            <w:pPr>
              <w:spacing w:before="80" w:after="100"/>
              <w:jc w:val="both"/>
            </w:pPr>
            <w:r>
              <w:t>Spezifikationsmängel in nationaler Energieversorgungsinfrastruktur nicht akzeptabel</w:t>
            </w:r>
          </w:p>
        </w:tc>
      </w:tr>
    </w:tbl>
    <w:p w14:paraId="2A7662C4" w14:textId="77777777" w:rsidR="00DF7A8D" w:rsidRDefault="00DF7A8D">
      <w:pPr>
        <w:spacing w:before="80"/>
      </w:pPr>
    </w:p>
    <w:p w14:paraId="1AB7B3F4" w14:textId="77777777" w:rsidR="00DF7A8D" w:rsidRDefault="00000000">
      <w:pPr>
        <w:pStyle w:val="berschrift2"/>
      </w:pPr>
      <w:r>
        <w:t>7.1 Zur Interoperabilitätskrise im Markt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F7A8D" w14:paraId="0AF813C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0" w:space="0" w:color="C0392B"/>
              <w:left w:val="single" w:sz="10" w:space="0" w:color="C0392B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147F4B58" w14:textId="77777777" w:rsidR="00DF7A8D" w:rsidRDefault="00000000">
            <w:pPr>
              <w:spacing w:before="80" w:after="100"/>
              <w:jc w:val="both"/>
            </w:pPr>
            <w:r>
              <w:rPr>
                <w:i/>
                <w:iCs/>
              </w:rPr>
              <w:t>Eine Spezifikation, die zu 'dramatischen Missverständnissen' führt und deren Fehler mit 'Die Implementierer sind zu dumm' kommentiert werden, ist keine gute Spezifikation.</w:t>
            </w:r>
          </w:p>
          <w:p w14:paraId="727A2F2E" w14:textId="77777777" w:rsidR="00DF7A8D" w:rsidRDefault="00DF7A8D">
            <w:pPr>
              <w:spacing w:before="80"/>
            </w:pPr>
          </w:p>
          <w:p w14:paraId="5470EB19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 xml:space="preserve">Die drei beschriebenen Mängel sind keine Einzelfehler — sie sind Symptome einer systemischen Schwäche: </w:t>
            </w:r>
            <w:r>
              <w:t>(1) Konzepte werden falsch benannt (Idempotenz statt Korrelation), was zu gegensätzlichen Implementierungsstrategien führt. (2) MUST-Anforderungen sind so formuliert, dass zwei gleichwertige und inkompatible Interpretationen zulässig sind. (3) Alle semantischen Regeln sind in Freitext — keine maschinelle Prüfbarkeit möglich. Schlechte Spezifikationen erzwingen schlechte Implementierungen. Dieser Zusammenhang ist in der Softwareentwicklung seit Jahrzehnten empirisch belegt.</w:t>
            </w:r>
          </w:p>
        </w:tc>
      </w:tr>
    </w:tbl>
    <w:p w14:paraId="6A1C3A4B" w14:textId="77777777" w:rsidR="00DF7A8D" w:rsidRDefault="00000000">
      <w:pPr>
        <w:pStyle w:val="berschrift2"/>
      </w:pPr>
      <w:r>
        <w:t>7.2 Empfehlungen</w:t>
      </w:r>
    </w:p>
    <w:p w14:paraId="57F5507F" w14:textId="77777777" w:rsidR="00DF7A8D" w:rsidRDefault="00000000">
      <w:pPr>
        <w:pStyle w:val="Listenabsatz"/>
        <w:numPr>
          <w:ilvl w:val="0"/>
          <w:numId w:val="2"/>
        </w:numPr>
        <w:spacing w:before="60" w:after="60"/>
      </w:pPr>
      <w:hyperlink r:id="rId26" w:history="1">
        <w:r>
          <w:rPr>
            <w:color w:val="2E75B6"/>
            <w:u w:val="single"/>
          </w:rPr>
          <w:t>Fraunhofer FOKUS Berlin</w:t>
        </w:r>
      </w:hyperlink>
      <w:r>
        <w:t>: Unabhängige technische Überprüfung der EDI@Energy API-Guideline und aller darauf basierenden OpenAPI-Spezifikationen durch ein von Marktinteressen unabhängiges Institut. Dies ist keine Kritik an Einzelpersonen, sondern eine systemische Notwendigkeit.</w:t>
      </w:r>
    </w:p>
    <w:p w14:paraId="791DFEA3" w14:textId="77777777" w:rsidR="00DF7A8D" w:rsidRDefault="00000000">
      <w:pPr>
        <w:pStyle w:val="Listenabsatz"/>
        <w:numPr>
          <w:ilvl w:val="0"/>
          <w:numId w:val="2"/>
        </w:numPr>
        <w:spacing w:before="60" w:after="60"/>
      </w:pPr>
      <w:r>
        <w:t>IETF-konforme Überarbeitung: Alle RFC-Referenzen auf aktuelle Standards aktualisieren. Versionierungsstrategie auf Header-basierte Content Negotiation umstellen.</w:t>
      </w:r>
    </w:p>
    <w:p w14:paraId="0EBE9FA4" w14:textId="77777777" w:rsidR="00DF7A8D" w:rsidRDefault="00000000">
      <w:pPr>
        <w:pStyle w:val="Listenabsatz"/>
        <w:numPr>
          <w:ilvl w:val="0"/>
          <w:numId w:val="2"/>
        </w:numPr>
        <w:spacing w:before="60" w:after="60"/>
      </w:pPr>
      <w:hyperlink r:id="rId27" w:history="1">
        <w:r>
          <w:rPr>
            <w:color w:val="2E75B6"/>
            <w:u w:val="single"/>
          </w:rPr>
          <w:t>W3C Trace Context</w:t>
        </w:r>
      </w:hyperlink>
      <w:r>
        <w:t xml:space="preserve"> als Ersatz für das proprietäre transactionId/initialTransactionId-Muster einführen. </w:t>
      </w:r>
      <w:hyperlink r:id="rId28" w:history="1">
        <w:r>
          <w:rPr>
            <w:color w:val="2E75B6"/>
            <w:u w:val="single"/>
          </w:rPr>
          <w:t>IETF Idempotency-Key-Header</w:t>
        </w:r>
      </w:hyperlink>
      <w:r>
        <w:t xml:space="preserve"> für tatsächlich zustandsändernde APIs (Lieferantenwechsel, Zählerwechsel).</w:t>
      </w:r>
    </w:p>
    <w:p w14:paraId="41FF03C3" w14:textId="77777777" w:rsidR="00DF7A8D" w:rsidRDefault="00000000">
      <w:pPr>
        <w:pStyle w:val="Listenabsatz"/>
        <w:numPr>
          <w:ilvl w:val="0"/>
          <w:numId w:val="2"/>
        </w:numPr>
        <w:spacing w:before="60" w:after="60"/>
      </w:pPr>
      <w:r>
        <w:t>RFC 9457 Problem Details von SHOULD auf MUST erhöhen — verbindliche Fehlerstruktur für 900+ Marktteilnehmer ist nicht verhandelbar.</w:t>
      </w:r>
    </w:p>
    <w:p w14:paraId="6F40179E" w14:textId="77777777" w:rsidR="00DF7A8D" w:rsidRDefault="00000000">
      <w:pPr>
        <w:pStyle w:val="Listenabsatz"/>
        <w:numPr>
          <w:ilvl w:val="0"/>
          <w:numId w:val="2"/>
        </w:numPr>
        <w:spacing w:before="60" w:after="60"/>
      </w:pPr>
      <w:r>
        <w:t>Pilotvalidierung: Vor breitflächiger MaBiS-Hub-Einführung unabhängiger API-Konformitätstest mit mindestens 10 verschiedenen Marktteilnehmern.</w:t>
      </w:r>
    </w:p>
    <w:p w14:paraId="08D7090E" w14:textId="77777777" w:rsidR="00DF7A8D" w:rsidRDefault="00000000">
      <w:r>
        <w:br w:type="page"/>
      </w:r>
    </w:p>
    <w:p w14:paraId="3C830CEB" w14:textId="77777777" w:rsidR="00DF7A8D" w:rsidRDefault="00000000">
      <w:pPr>
        <w:pStyle w:val="berschrift1"/>
      </w:pPr>
      <w:r>
        <w:lastRenderedPageBreak/>
        <w:t>8. Quellenverzeichnis</w:t>
      </w:r>
    </w:p>
    <w:p w14:paraId="0A935B02" w14:textId="77777777" w:rsidR="00DF7A8D" w:rsidRDefault="00DF7A8D">
      <w:pPr>
        <w:pBdr>
          <w:bottom w:val="single" w:sz="6" w:space="1" w:color="2E75B6"/>
        </w:pBdr>
        <w:spacing w:before="140" w:after="1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2"/>
        <w:gridCol w:w="4239"/>
        <w:gridCol w:w="2885"/>
      </w:tblGrid>
      <w:tr w:rsidR="00DF7A8D" w14:paraId="1AB4C3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1701B7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Referenz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A9A6D7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Titel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726C62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Link</w:t>
            </w:r>
          </w:p>
        </w:tc>
      </w:tr>
      <w:tr w:rsidR="00DF7A8D" w14:paraId="5A7FE29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AE35BC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791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502CFC" w14:textId="77777777" w:rsidR="00DF7A8D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DARPA Internet Protocol (IPv4), 1981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DAA886" w14:textId="77777777" w:rsidR="00DF7A8D" w:rsidRDefault="00000000">
            <w:pPr>
              <w:spacing w:before="80" w:after="100"/>
              <w:jc w:val="both"/>
            </w:pPr>
            <w:hyperlink r:id="rId29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DF7A8D" w14:paraId="26FF2C0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248063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2119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5E4562" w14:textId="77777777" w:rsidR="00DF7A8D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Key words for use in RFCs (MUST/SHOULD/MAY), 1997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989E57" w14:textId="77777777" w:rsidR="00DF7A8D" w:rsidRDefault="00000000">
            <w:pPr>
              <w:spacing w:before="80" w:after="100"/>
              <w:jc w:val="both"/>
            </w:pPr>
            <w:hyperlink r:id="rId30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DF7A8D" w14:paraId="17A182C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47BEEA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3986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73D25A" w14:textId="77777777" w:rsidR="00DF7A8D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URI: Generic Syntax (Berners-Lee, 2005)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599B23" w14:textId="77777777" w:rsidR="00DF7A8D" w:rsidRDefault="00000000">
            <w:pPr>
              <w:spacing w:before="80" w:after="100"/>
              <w:jc w:val="both"/>
            </w:pPr>
            <w:hyperlink r:id="rId31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DF7A8D" w14:paraId="4A955EA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21F550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4122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CCD7AD" w14:textId="77777777" w:rsidR="00DF7A8D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UUID Format (Leach et al., 2005)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7AEAFB" w14:textId="77777777" w:rsidR="00DF7A8D" w:rsidRDefault="00000000">
            <w:pPr>
              <w:spacing w:before="80" w:after="100"/>
              <w:jc w:val="both"/>
            </w:pPr>
            <w:hyperlink r:id="rId32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DF7A8D" w14:paraId="3EA564B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5CDA5F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4648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326713" w14:textId="77777777" w:rsidR="00DF7A8D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Base64url Encoding (Josefsson, 2006)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A90159" w14:textId="77777777" w:rsidR="00DF7A8D" w:rsidRDefault="00000000">
            <w:pPr>
              <w:spacing w:before="80" w:after="100"/>
              <w:jc w:val="both"/>
            </w:pPr>
            <w:hyperlink r:id="rId33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DF7A8D" w14:paraId="4182F85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15687D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6838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568376" w14:textId="77777777" w:rsidR="00DF7A8D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Media Type Registration (Freed et al., 2013)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FE2FF7" w14:textId="77777777" w:rsidR="00DF7A8D" w:rsidRDefault="00000000">
            <w:pPr>
              <w:spacing w:before="80" w:after="100"/>
              <w:jc w:val="both"/>
            </w:pPr>
            <w:hyperlink r:id="rId34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DF7A8D" w14:paraId="079CF24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7ED543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7493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C83E23" w14:textId="77777777" w:rsidR="00DF7A8D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I-JSON (Bray, 2015)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04938A" w14:textId="77777777" w:rsidR="00DF7A8D" w:rsidRDefault="00000000">
            <w:pPr>
              <w:spacing w:before="80" w:after="100"/>
              <w:jc w:val="both"/>
            </w:pPr>
            <w:hyperlink r:id="rId35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DF7A8D" w14:paraId="52DE9B3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071271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8030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5B3691" w14:textId="77777777" w:rsidR="00DF7A8D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Generic Event Delivery Using HTTP Push (Thomson, 2016)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493763" w14:textId="77777777" w:rsidR="00DF7A8D" w:rsidRDefault="00000000">
            <w:pPr>
              <w:spacing w:before="80" w:after="100"/>
              <w:jc w:val="both"/>
            </w:pPr>
            <w:hyperlink r:id="rId36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DF7A8D" w14:paraId="0CE7A62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F58D68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8259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3EB55C" w14:textId="77777777" w:rsidR="00DF7A8D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The JSON Data Interchange Format, 2017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C05773" w14:textId="77777777" w:rsidR="00DF7A8D" w:rsidRDefault="00000000">
            <w:pPr>
              <w:spacing w:before="80" w:after="100"/>
              <w:jc w:val="both"/>
            </w:pPr>
            <w:hyperlink r:id="rId37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DF7A8D" w14:paraId="74554A07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DD012D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9110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82F63D" w14:textId="77777777" w:rsidR="00DF7A8D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HTTP Semantics (Fielding et al., 2022) — ersetzt RFC 7230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2D424C" w14:textId="77777777" w:rsidR="00DF7A8D" w:rsidRDefault="00000000">
            <w:pPr>
              <w:spacing w:before="80" w:after="100"/>
              <w:jc w:val="both"/>
            </w:pPr>
            <w:hyperlink r:id="rId38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DF7A8D" w14:paraId="1B734FE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05E861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9111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B09234" w14:textId="77777777" w:rsidR="00DF7A8D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HTTP Caching (Fielding et al., 2022)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E59ADF" w14:textId="77777777" w:rsidR="00DF7A8D" w:rsidRDefault="00000000">
            <w:pPr>
              <w:spacing w:before="80" w:after="100"/>
              <w:jc w:val="both"/>
            </w:pPr>
            <w:hyperlink r:id="rId39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DF7A8D" w14:paraId="45DB1A1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CC2FC0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9112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509765" w14:textId="77777777" w:rsidR="00DF7A8D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HTTP/1.1 (Fielding et al., 2022) — ersetzt RFC 7230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CCAB7A" w14:textId="77777777" w:rsidR="00DF7A8D" w:rsidRDefault="00000000">
            <w:pPr>
              <w:spacing w:before="80" w:after="100"/>
              <w:jc w:val="both"/>
            </w:pPr>
            <w:hyperlink r:id="rId40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DF7A8D" w14:paraId="653B087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860273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9421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18B638" w14:textId="77777777" w:rsidR="00DF7A8D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HTTP Message Signatures (Backman et al., 2024)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133DEB" w14:textId="77777777" w:rsidR="00DF7A8D" w:rsidRDefault="00000000">
            <w:pPr>
              <w:spacing w:before="80" w:after="100"/>
              <w:jc w:val="both"/>
            </w:pPr>
            <w:hyperlink r:id="rId41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DF7A8D" w14:paraId="151F9267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C1C119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RFC 9457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19ACDB" w14:textId="77777777" w:rsidR="00DF7A8D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Problem Details for HTTP APIs (Nottingham, Juli 2023)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09200E" w14:textId="77777777" w:rsidR="00DF7A8D" w:rsidRDefault="00000000">
            <w:pPr>
              <w:spacing w:before="80" w:after="100"/>
              <w:jc w:val="both"/>
            </w:pPr>
            <w:hyperlink r:id="rId42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DF7A8D" w14:paraId="70F8796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4040AC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W3C Trace Context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FDFCB8" w14:textId="77777777" w:rsidR="00DF7A8D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Distributed Tracing W3C Recommendation Level 2, 2023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D510F7" w14:textId="77777777" w:rsidR="00DF7A8D" w:rsidRDefault="00000000">
            <w:pPr>
              <w:spacing w:before="80" w:after="100"/>
              <w:jc w:val="both"/>
            </w:pPr>
            <w:hyperlink r:id="rId43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DF7A8D" w14:paraId="6BB30BDA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56E5BA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OpenTelemetry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B7BAC2" w14:textId="77777777" w:rsidR="00DF7A8D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CNCF Observability Framework (Linux Foundation)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846211" w14:textId="77777777" w:rsidR="00DF7A8D" w:rsidRDefault="00000000">
            <w:pPr>
              <w:spacing w:before="80" w:after="100"/>
              <w:jc w:val="both"/>
            </w:pPr>
            <w:hyperlink r:id="rId44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DF7A8D" w14:paraId="0C3DDA4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DA96B1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lastRenderedPageBreak/>
              <w:t>OpenAPI 3.1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D3DEBE" w14:textId="77777777" w:rsidR="00DF7A8D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OpenAPI Specification v3.1.0 (OAI, 2021)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14DBB8" w14:textId="77777777" w:rsidR="00DF7A8D" w:rsidRDefault="00000000">
            <w:pPr>
              <w:spacing w:before="80" w:after="100"/>
              <w:jc w:val="both"/>
            </w:pPr>
            <w:hyperlink r:id="rId45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DF7A8D" w14:paraId="385AFAF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EB33ED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SemVer 2.0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33E10A" w14:textId="77777777" w:rsidR="00DF7A8D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Semantic Versioning 2.0.0 (Preston-Werner, 2013)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4D2395" w14:textId="77777777" w:rsidR="00DF7A8D" w:rsidRDefault="00000000">
            <w:pPr>
              <w:spacing w:before="80" w:after="100"/>
              <w:jc w:val="both"/>
            </w:pPr>
            <w:hyperlink r:id="rId46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DF7A8D" w14:paraId="2C605BA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5BE9BF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Zalando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230774" w14:textId="77777777" w:rsidR="00DF7A8D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Zalando RESTful API Guidelines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E1900F" w14:textId="77777777" w:rsidR="00DF7A8D" w:rsidRDefault="00000000">
            <w:pPr>
              <w:spacing w:before="80" w:after="100"/>
              <w:jc w:val="both"/>
            </w:pPr>
            <w:hyperlink r:id="rId47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DF7A8D" w14:paraId="21D21B4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A8FC19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IETF Idempotency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DC0A2B" w14:textId="77777777" w:rsidR="00DF7A8D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IETF Draft: The Idempotency-Key HTTP Header Field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7F1194" w14:textId="77777777" w:rsidR="00DF7A8D" w:rsidRDefault="00000000">
            <w:pPr>
              <w:spacing w:before="80" w:after="100"/>
              <w:jc w:val="both"/>
            </w:pPr>
            <w:hyperlink r:id="rId48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DF7A8D" w14:paraId="789F438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6D5BB2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ENTSO-E Transp. API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637A87" w14:textId="77777777" w:rsidR="00DF7A8D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ENTSO-E Transparency Platform (Registrierung erforderlich: transparency@entsoe.eu)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607617" w14:textId="77777777" w:rsidR="00DF7A8D" w:rsidRDefault="00000000">
            <w:pPr>
              <w:spacing w:before="80" w:after="100"/>
              <w:jc w:val="both"/>
            </w:pPr>
            <w:hyperlink r:id="rId49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DF7A8D" w14:paraId="656EF45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EE2634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BNetzA Datenformate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3C4720" w14:textId="77777777" w:rsidR="00DF7A8D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BNetzA Festlegungen zu API-Webdiensten (BK6-22-128, BK6-22-024)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814CDF" w14:textId="77777777" w:rsidR="00DF7A8D" w:rsidRDefault="00000000">
            <w:pPr>
              <w:spacing w:before="80" w:after="100"/>
              <w:jc w:val="both"/>
            </w:pPr>
            <w:hyperlink r:id="rId50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DF7A8D" w14:paraId="433E628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A03B51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Fraunhofer FOKUS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10757B" w14:textId="77777777" w:rsidR="00DF7A8D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Fraunhofer-Institut für Offene Kommunikationssysteme Berlin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77CE9E" w14:textId="77777777" w:rsidR="00DF7A8D" w:rsidRDefault="00000000">
            <w:pPr>
              <w:spacing w:before="80" w:after="100"/>
              <w:jc w:val="both"/>
            </w:pPr>
            <w:hyperlink r:id="rId51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  <w:tr w:rsidR="00DF7A8D" w14:paraId="727DB3B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57D5A6" w14:textId="77777777" w:rsidR="00DF7A8D" w:rsidRDefault="00000000">
            <w:pPr>
              <w:spacing w:before="80" w:after="100"/>
              <w:jc w:val="both"/>
            </w:pPr>
            <w:r>
              <w:rPr>
                <w:b/>
                <w:bCs/>
              </w:rPr>
              <w:t>API-Guideline v1.0c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AC2902" w14:textId="77777777" w:rsidR="00DF7A8D" w:rsidRDefault="00000000">
            <w:pPr>
              <w:spacing w:before="80" w:after="100"/>
              <w:jc w:val="both"/>
            </w:pPr>
            <w:r>
              <w:rPr>
                <w:sz w:val="20"/>
                <w:szCs w:val="20"/>
              </w:rPr>
              <w:t>BDEW API-Guideline v1.0c Konsultationsfassung (01.08.2026)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ADF42F" w14:textId="77777777" w:rsidR="00DF7A8D" w:rsidRDefault="00000000">
            <w:pPr>
              <w:spacing w:before="80" w:after="100"/>
              <w:jc w:val="both"/>
            </w:pPr>
            <w:hyperlink r:id="rId52" w:history="1">
              <w:r>
                <w:rPr>
                  <w:color w:val="2E75B6"/>
                  <w:u w:val="single"/>
                </w:rPr>
                <w:t>→ Link</w:t>
              </w:r>
            </w:hyperlink>
          </w:p>
        </w:tc>
      </w:tr>
    </w:tbl>
    <w:p w14:paraId="5B63A0FC" w14:textId="77777777" w:rsidR="00184EBB" w:rsidRDefault="00184EBB"/>
    <w:sectPr w:rsidR="00184EBB">
      <w:footerReference w:type="default" r:id="rId53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F134C" w14:textId="77777777" w:rsidR="00184EBB" w:rsidRDefault="00184EBB">
      <w:r>
        <w:separator/>
      </w:r>
    </w:p>
  </w:endnote>
  <w:endnote w:type="continuationSeparator" w:id="0">
    <w:p w14:paraId="43CA05B9" w14:textId="77777777" w:rsidR="00184EBB" w:rsidRDefault="00184E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3F9D3" w14:textId="77777777" w:rsidR="00DF7A8D" w:rsidRDefault="00000000">
    <w:pPr>
      <w:jc w:val="center"/>
    </w:pPr>
    <w:r>
      <w:rPr>
        <w:color w:val="888888"/>
        <w:sz w:val="18"/>
        <w:szCs w:val="18"/>
      </w:rPr>
      <w:t xml:space="preserve">Technische Analyse EDI@Energy MaLo-Ident V2 API — Guideline v1.0c  |  Seite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D4123A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C73D0B" w14:textId="77777777" w:rsidR="00184EBB" w:rsidRDefault="00184EBB">
      <w:r>
        <w:separator/>
      </w:r>
    </w:p>
  </w:footnote>
  <w:footnote w:type="continuationSeparator" w:id="0">
    <w:p w14:paraId="21A0987A" w14:textId="77777777" w:rsidR="00184EBB" w:rsidRDefault="00184E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F57EC"/>
    <w:multiLevelType w:val="hybridMultilevel"/>
    <w:tmpl w:val="5D8C2ADE"/>
    <w:lvl w:ilvl="0" w:tplc="D24AE56E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</w:rPr>
    </w:lvl>
    <w:lvl w:ilvl="1" w:tplc="3202D2A4">
      <w:numFmt w:val="decimal"/>
      <w:lvlText w:val=""/>
      <w:lvlJc w:val="left"/>
    </w:lvl>
    <w:lvl w:ilvl="2" w:tplc="6684538E">
      <w:numFmt w:val="decimal"/>
      <w:lvlText w:val=""/>
      <w:lvlJc w:val="left"/>
    </w:lvl>
    <w:lvl w:ilvl="3" w:tplc="E9CE2CEC">
      <w:numFmt w:val="decimal"/>
      <w:lvlText w:val=""/>
      <w:lvlJc w:val="left"/>
    </w:lvl>
    <w:lvl w:ilvl="4" w:tplc="B7C6AAF0">
      <w:numFmt w:val="decimal"/>
      <w:lvlText w:val=""/>
      <w:lvlJc w:val="left"/>
    </w:lvl>
    <w:lvl w:ilvl="5" w:tplc="67E65DA6">
      <w:numFmt w:val="decimal"/>
      <w:lvlText w:val=""/>
      <w:lvlJc w:val="left"/>
    </w:lvl>
    <w:lvl w:ilvl="6" w:tplc="2414570C">
      <w:numFmt w:val="decimal"/>
      <w:lvlText w:val=""/>
      <w:lvlJc w:val="left"/>
    </w:lvl>
    <w:lvl w:ilvl="7" w:tplc="01AC6DF8">
      <w:numFmt w:val="decimal"/>
      <w:lvlText w:val=""/>
      <w:lvlJc w:val="left"/>
    </w:lvl>
    <w:lvl w:ilvl="8" w:tplc="4AB2EDA0">
      <w:numFmt w:val="decimal"/>
      <w:lvlText w:val=""/>
      <w:lvlJc w:val="left"/>
    </w:lvl>
  </w:abstractNum>
  <w:abstractNum w:abstractNumId="1" w15:restartNumberingAfterBreak="0">
    <w:nsid w:val="4A9441B2"/>
    <w:multiLevelType w:val="hybridMultilevel"/>
    <w:tmpl w:val="142C3A82"/>
    <w:lvl w:ilvl="0" w:tplc="E84060B8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</w:rPr>
    </w:lvl>
    <w:lvl w:ilvl="1" w:tplc="F4C6F79A">
      <w:numFmt w:val="decimal"/>
      <w:lvlText w:val=""/>
      <w:lvlJc w:val="left"/>
    </w:lvl>
    <w:lvl w:ilvl="2" w:tplc="6894751E">
      <w:numFmt w:val="decimal"/>
      <w:lvlText w:val=""/>
      <w:lvlJc w:val="left"/>
    </w:lvl>
    <w:lvl w:ilvl="3" w:tplc="9892BF66">
      <w:numFmt w:val="decimal"/>
      <w:lvlText w:val=""/>
      <w:lvlJc w:val="left"/>
    </w:lvl>
    <w:lvl w:ilvl="4" w:tplc="21CC19F2">
      <w:numFmt w:val="decimal"/>
      <w:lvlText w:val=""/>
      <w:lvlJc w:val="left"/>
    </w:lvl>
    <w:lvl w:ilvl="5" w:tplc="98846FE4">
      <w:numFmt w:val="decimal"/>
      <w:lvlText w:val=""/>
      <w:lvlJc w:val="left"/>
    </w:lvl>
    <w:lvl w:ilvl="6" w:tplc="E3FCCFA6">
      <w:numFmt w:val="decimal"/>
      <w:lvlText w:val=""/>
      <w:lvlJc w:val="left"/>
    </w:lvl>
    <w:lvl w:ilvl="7" w:tplc="CFEC38B0">
      <w:numFmt w:val="decimal"/>
      <w:lvlText w:val=""/>
      <w:lvlJc w:val="left"/>
    </w:lvl>
    <w:lvl w:ilvl="8" w:tplc="09FE9920">
      <w:numFmt w:val="decimal"/>
      <w:lvlText w:val=""/>
      <w:lvlJc w:val="left"/>
    </w:lvl>
  </w:abstractNum>
  <w:abstractNum w:abstractNumId="2" w15:restartNumberingAfterBreak="0">
    <w:nsid w:val="7F3267BA"/>
    <w:multiLevelType w:val="hybridMultilevel"/>
    <w:tmpl w:val="4BAC6432"/>
    <w:lvl w:ilvl="0" w:tplc="65D07538">
      <w:start w:val="1"/>
      <w:numFmt w:val="bullet"/>
      <w:lvlText w:val="●"/>
      <w:lvlJc w:val="left"/>
      <w:pPr>
        <w:ind w:left="720" w:hanging="360"/>
      </w:pPr>
    </w:lvl>
    <w:lvl w:ilvl="1" w:tplc="8AE61698">
      <w:start w:val="1"/>
      <w:numFmt w:val="bullet"/>
      <w:lvlText w:val="○"/>
      <w:lvlJc w:val="left"/>
      <w:pPr>
        <w:ind w:left="1440" w:hanging="360"/>
      </w:pPr>
    </w:lvl>
    <w:lvl w:ilvl="2" w:tplc="3BFA71E8">
      <w:start w:val="1"/>
      <w:numFmt w:val="bullet"/>
      <w:lvlText w:val="■"/>
      <w:lvlJc w:val="left"/>
      <w:pPr>
        <w:ind w:left="2160" w:hanging="360"/>
      </w:pPr>
    </w:lvl>
    <w:lvl w:ilvl="3" w:tplc="51848906">
      <w:start w:val="1"/>
      <w:numFmt w:val="bullet"/>
      <w:lvlText w:val="●"/>
      <w:lvlJc w:val="left"/>
      <w:pPr>
        <w:ind w:left="2880" w:hanging="360"/>
      </w:pPr>
    </w:lvl>
    <w:lvl w:ilvl="4" w:tplc="48649D92">
      <w:start w:val="1"/>
      <w:numFmt w:val="bullet"/>
      <w:lvlText w:val="○"/>
      <w:lvlJc w:val="left"/>
      <w:pPr>
        <w:ind w:left="3600" w:hanging="360"/>
      </w:pPr>
    </w:lvl>
    <w:lvl w:ilvl="5" w:tplc="966063A4">
      <w:start w:val="1"/>
      <w:numFmt w:val="bullet"/>
      <w:lvlText w:val="■"/>
      <w:lvlJc w:val="left"/>
      <w:pPr>
        <w:ind w:left="4320" w:hanging="360"/>
      </w:pPr>
    </w:lvl>
    <w:lvl w:ilvl="6" w:tplc="EAE03A5E">
      <w:start w:val="1"/>
      <w:numFmt w:val="bullet"/>
      <w:lvlText w:val="●"/>
      <w:lvlJc w:val="left"/>
      <w:pPr>
        <w:ind w:left="5040" w:hanging="360"/>
      </w:pPr>
    </w:lvl>
    <w:lvl w:ilvl="7" w:tplc="8C18E07A">
      <w:start w:val="1"/>
      <w:numFmt w:val="bullet"/>
      <w:lvlText w:val="●"/>
      <w:lvlJc w:val="left"/>
      <w:pPr>
        <w:ind w:left="5760" w:hanging="360"/>
      </w:pPr>
    </w:lvl>
    <w:lvl w:ilvl="8" w:tplc="52AAB266">
      <w:start w:val="1"/>
      <w:numFmt w:val="bullet"/>
      <w:lvlText w:val="●"/>
      <w:lvlJc w:val="left"/>
      <w:pPr>
        <w:ind w:left="6480" w:hanging="360"/>
      </w:pPr>
    </w:lvl>
  </w:abstractNum>
  <w:num w:numId="1" w16cid:durableId="873612766">
    <w:abstractNumId w:val="2"/>
    <w:lvlOverride w:ilvl="0">
      <w:startOverride w:val="1"/>
    </w:lvlOverride>
  </w:num>
  <w:num w:numId="2" w16cid:durableId="126341203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7A8D"/>
    <w:rsid w:val="00184EBB"/>
    <w:rsid w:val="001C1C37"/>
    <w:rsid w:val="00D4123A"/>
    <w:rsid w:val="00DF7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F3E26B"/>
  <w15:docId w15:val="{A7732F78-D2D0-4B1C-A52F-2ABE2A4C0D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360" w:after="180"/>
      <w:outlineLvl w:val="0"/>
    </w:pPr>
    <w:rPr>
      <w:b/>
      <w:bCs/>
      <w:color w:val="1A3A5C"/>
      <w:sz w:val="32"/>
      <w:szCs w:val="32"/>
    </w:rPr>
  </w:style>
  <w:style w:type="paragraph" w:styleId="berschrift2">
    <w:name w:val="heading 2"/>
    <w:uiPriority w:val="9"/>
    <w:unhideWhenUsed/>
    <w:qFormat/>
    <w:pPr>
      <w:spacing w:before="260" w:after="120"/>
      <w:outlineLvl w:val="1"/>
    </w:pPr>
    <w:rPr>
      <w:b/>
      <w:bCs/>
      <w:color w:val="2E75B6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555555"/>
      <w:sz w:val="23"/>
      <w:szCs w:val="23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opensource.zalando.com/restful-api-guidelines/" TargetMode="External"/><Relationship Id="rId18" Type="http://schemas.openxmlformats.org/officeDocument/2006/relationships/hyperlink" Target="https://www.rfc-editor.org/rfc/rfc9110" TargetMode="External"/><Relationship Id="rId26" Type="http://schemas.openxmlformats.org/officeDocument/2006/relationships/hyperlink" Target="https://www.fokus.fraunhofer.de" TargetMode="External"/><Relationship Id="rId39" Type="http://schemas.openxmlformats.org/officeDocument/2006/relationships/hyperlink" Target="https://www.rfc-editor.org/rfc/rfc9111" TargetMode="External"/><Relationship Id="rId21" Type="http://schemas.openxmlformats.org/officeDocument/2006/relationships/hyperlink" Target="https://datatracker.ietf.org/doc/draft-ietf-httpapi-idempotency-key-header/" TargetMode="External"/><Relationship Id="rId34" Type="http://schemas.openxmlformats.org/officeDocument/2006/relationships/hyperlink" Target="https://www.rfc-editor.org/rfc/rfc6838" TargetMode="External"/><Relationship Id="rId42" Type="http://schemas.openxmlformats.org/officeDocument/2006/relationships/hyperlink" Target="https://www.rfc-editor.org/rfc/rfc9457" TargetMode="External"/><Relationship Id="rId47" Type="http://schemas.openxmlformats.org/officeDocument/2006/relationships/hyperlink" Target="https://opensource.zalando.com/restful-api-guidelines/" TargetMode="External"/><Relationship Id="rId50" Type="http://schemas.openxmlformats.org/officeDocument/2006/relationships/hyperlink" Target="https://www.bundesnetzagentur.de/DE/Beschlusskammern/BK06/BK6_83_Zug_Mess/835_mitteilungen_datenformate/Mitteilung_51/Mitteilung51_node.html" TargetMode="External"/><Relationship Id="rId55" Type="http://schemas.openxmlformats.org/officeDocument/2006/relationships/theme" Target="theme/theme1.xml"/><Relationship Id="rId7" Type="http://schemas.openxmlformats.org/officeDocument/2006/relationships/hyperlink" Target="https://www.fokus.fraunhofer.de" TargetMode="External"/><Relationship Id="rId2" Type="http://schemas.openxmlformats.org/officeDocument/2006/relationships/styles" Target="styles.xml"/><Relationship Id="rId16" Type="http://schemas.openxmlformats.org/officeDocument/2006/relationships/hyperlink" Target="https://stripe.com/docs/api/versioning" TargetMode="External"/><Relationship Id="rId29" Type="http://schemas.openxmlformats.org/officeDocument/2006/relationships/hyperlink" Target="https://www.rfc-editor.org/rfc/rfc791" TargetMode="External"/><Relationship Id="rId11" Type="http://schemas.openxmlformats.org/officeDocument/2006/relationships/hyperlink" Target="https://www.rfc-editor.org/rfc/rfc9111" TargetMode="External"/><Relationship Id="rId24" Type="http://schemas.openxmlformats.org/officeDocument/2006/relationships/hyperlink" Target="https://spec.openapis.org/oas/v3.1.0" TargetMode="External"/><Relationship Id="rId32" Type="http://schemas.openxmlformats.org/officeDocument/2006/relationships/hyperlink" Target="https://www.rfc-editor.org/rfc/rfc4122" TargetMode="External"/><Relationship Id="rId37" Type="http://schemas.openxmlformats.org/officeDocument/2006/relationships/hyperlink" Target="https://www.rfc-editor.org/rfc/rfc8259" TargetMode="External"/><Relationship Id="rId40" Type="http://schemas.openxmlformats.org/officeDocument/2006/relationships/hyperlink" Target="https://www.rfc-editor.org/rfc/rfc9112" TargetMode="External"/><Relationship Id="rId45" Type="http://schemas.openxmlformats.org/officeDocument/2006/relationships/hyperlink" Target="https://spec.openapis.org/oas/v3.1.0" TargetMode="External"/><Relationship Id="rId53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www.rfc-editor.org/rfc/rfc9112" TargetMode="External"/><Relationship Id="rId19" Type="http://schemas.openxmlformats.org/officeDocument/2006/relationships/hyperlink" Target="https://www.w3.org/TR/trace-context/" TargetMode="External"/><Relationship Id="rId31" Type="http://schemas.openxmlformats.org/officeDocument/2006/relationships/hyperlink" Target="https://www.rfc-editor.org/rfc/rfc3986" TargetMode="External"/><Relationship Id="rId44" Type="http://schemas.openxmlformats.org/officeDocument/2006/relationships/hyperlink" Target="https://opentelemetry.io/" TargetMode="External"/><Relationship Id="rId52" Type="http://schemas.openxmlformats.org/officeDocument/2006/relationships/hyperlink" Target="https://edi-energy.d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rfc-editor.org/rfc/rfc9110" TargetMode="External"/><Relationship Id="rId14" Type="http://schemas.openxmlformats.org/officeDocument/2006/relationships/hyperlink" Target="https://github.com/microsoft/api-guidelines" TargetMode="External"/><Relationship Id="rId22" Type="http://schemas.openxmlformats.org/officeDocument/2006/relationships/hyperlink" Target="https://www.rfc-editor.org/rfc/rfc9110" TargetMode="External"/><Relationship Id="rId27" Type="http://schemas.openxmlformats.org/officeDocument/2006/relationships/hyperlink" Target="https://www.w3.org/TR/trace-context/" TargetMode="External"/><Relationship Id="rId30" Type="http://schemas.openxmlformats.org/officeDocument/2006/relationships/hyperlink" Target="https://www.rfc-editor.org/rfc/rfc2119" TargetMode="External"/><Relationship Id="rId35" Type="http://schemas.openxmlformats.org/officeDocument/2006/relationships/hyperlink" Target="https://www.rfc-editor.org/rfc/rfc7493" TargetMode="External"/><Relationship Id="rId43" Type="http://schemas.openxmlformats.org/officeDocument/2006/relationships/hyperlink" Target="https://www.w3.org/TR/trace-context/" TargetMode="External"/><Relationship Id="rId48" Type="http://schemas.openxmlformats.org/officeDocument/2006/relationships/hyperlink" Target="https://datatracker.ietf.org/doc/draft-ietf-httpapi-idempotency-key-header/" TargetMode="External"/><Relationship Id="rId8" Type="http://schemas.openxmlformats.org/officeDocument/2006/relationships/hyperlink" Target="https://www.rfc-editor.org/rfc/rfc3986" TargetMode="External"/><Relationship Id="rId51" Type="http://schemas.openxmlformats.org/officeDocument/2006/relationships/hyperlink" Target="https://www.fokus.fraunhofer.de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rfc-editor.org/rfc/rfc9110" TargetMode="External"/><Relationship Id="rId17" Type="http://schemas.openxmlformats.org/officeDocument/2006/relationships/hyperlink" Target="https://transparency.entsoe.eu/" TargetMode="External"/><Relationship Id="rId25" Type="http://schemas.openxmlformats.org/officeDocument/2006/relationships/hyperlink" Target="https://www.rfc-editor.org/rfc/rfc8030" TargetMode="External"/><Relationship Id="rId33" Type="http://schemas.openxmlformats.org/officeDocument/2006/relationships/hyperlink" Target="https://www.rfc-editor.org/rfc/rfc4648" TargetMode="External"/><Relationship Id="rId38" Type="http://schemas.openxmlformats.org/officeDocument/2006/relationships/hyperlink" Target="https://www.rfc-editor.org/rfc/rfc9110" TargetMode="External"/><Relationship Id="rId46" Type="http://schemas.openxmlformats.org/officeDocument/2006/relationships/hyperlink" Target="https://semver.org/lang/de/" TargetMode="External"/><Relationship Id="rId20" Type="http://schemas.openxmlformats.org/officeDocument/2006/relationships/hyperlink" Target="https://opentelemetry.io/" TargetMode="External"/><Relationship Id="rId41" Type="http://schemas.openxmlformats.org/officeDocument/2006/relationships/hyperlink" Target="https://www.rfc-editor.org/rfc/rfc9421" TargetMode="External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docs.github.com/en/rest/overview/api-versions" TargetMode="External"/><Relationship Id="rId23" Type="http://schemas.openxmlformats.org/officeDocument/2006/relationships/hyperlink" Target="https://www.rfc-editor.org/rfc/rfc9457" TargetMode="External"/><Relationship Id="rId28" Type="http://schemas.openxmlformats.org/officeDocument/2006/relationships/hyperlink" Target="https://datatracker.ietf.org/doc/draft-ietf-httpapi-idempotency-key-header/" TargetMode="External"/><Relationship Id="rId36" Type="http://schemas.openxmlformats.org/officeDocument/2006/relationships/hyperlink" Target="https://www.rfc-editor.org/rfc/rfc8030" TargetMode="External"/><Relationship Id="rId49" Type="http://schemas.openxmlformats.org/officeDocument/2006/relationships/hyperlink" Target="https://transparency.entsoe.eu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3798</Words>
  <Characters>23930</Characters>
  <Application>Microsoft Office Word</Application>
  <DocSecurity>0</DocSecurity>
  <Lines>199</Lines>
  <Paragraphs>55</Paragraphs>
  <ScaleCrop>false</ScaleCrop>
  <Company/>
  <LinksUpToDate>false</LinksUpToDate>
  <CharactersWithSpaces>27673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Edgar Jung</cp:lastModifiedBy>
  <cp:revision>2</cp:revision>
  <dcterms:created xsi:type="dcterms:W3CDTF">2026-06-04T14:20:00Z</dcterms:created>
  <dcterms:modified xsi:type="dcterms:W3CDTF">2026-06-04T14:20:00Z</dcterms:modified>
</cp:coreProperties>
</file>