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1BF74" w14:textId="77777777" w:rsidR="0053310B" w:rsidRDefault="00000000">
      <w:pPr>
        <w:spacing w:before="2000" w:after="400"/>
        <w:jc w:val="center"/>
      </w:pPr>
      <w:r>
        <w:rPr>
          <w:b/>
          <w:bCs/>
          <w:color w:val="1A3A5C"/>
          <w:sz w:val="52"/>
          <w:szCs w:val="52"/>
        </w:rPr>
        <w:t>TECHNISCHE ANALYSE</w:t>
      </w:r>
    </w:p>
    <w:p w14:paraId="721A8E91" w14:textId="77777777" w:rsidR="0053310B" w:rsidRDefault="00000000">
      <w:pPr>
        <w:spacing w:before="200" w:after="200"/>
        <w:jc w:val="center"/>
      </w:pPr>
      <w:r>
        <w:rPr>
          <w:b/>
          <w:bCs/>
          <w:color w:val="2E75B6"/>
          <w:sz w:val="38"/>
          <w:szCs w:val="38"/>
        </w:rPr>
        <w:t>EDI@Energy MaLo-Ident API: Kritische Bewertung</w:t>
      </w:r>
    </w:p>
    <w:p w14:paraId="7FDC512D" w14:textId="77777777" w:rsidR="0053310B" w:rsidRDefault="00000000">
      <w:pPr>
        <w:spacing w:before="100" w:after="600"/>
        <w:jc w:val="center"/>
      </w:pPr>
      <w:r>
        <w:rPr>
          <w:i/>
          <w:iCs/>
          <w:color w:val="555555"/>
          <w:sz w:val="26"/>
          <w:szCs w:val="26"/>
        </w:rPr>
        <w:t>Versionsmanagement · Idempotenz · Rückgabewerte · Transaktionskorrelation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3310B" w14:paraId="25982292"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5E8F0"/>
            <w:tcMar>
              <w:top w:w="100" w:type="dxa"/>
              <w:left w:w="140" w:type="dxa"/>
              <w:bottom w:w="100" w:type="dxa"/>
              <w:right w:w="140" w:type="dxa"/>
            </w:tcMar>
          </w:tcPr>
          <w:p w14:paraId="422318F8" w14:textId="77777777" w:rsidR="0053310B" w:rsidRDefault="00000000">
            <w:pPr>
              <w:spacing w:before="100" w:after="100"/>
              <w:jc w:val="both"/>
            </w:pPr>
            <w:r>
              <w:rPr>
                <w:b/>
                <w:bCs/>
              </w:rPr>
              <w:t>Datum</w:t>
            </w:r>
          </w:p>
        </w:tc>
        <w:tc>
          <w:tcPr>
            <w:tcW w:w="60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5781B20B" w14:textId="77777777" w:rsidR="0053310B" w:rsidRDefault="00000000">
            <w:pPr>
              <w:spacing w:before="100" w:after="100"/>
              <w:jc w:val="both"/>
            </w:pPr>
            <w:r>
              <w:t>30. Mai 2026</w:t>
            </w:r>
          </w:p>
        </w:tc>
      </w:tr>
      <w:tr w:rsidR="0053310B" w14:paraId="364CD91D"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5E8F0"/>
            <w:tcMar>
              <w:top w:w="100" w:type="dxa"/>
              <w:left w:w="140" w:type="dxa"/>
              <w:bottom w:w="100" w:type="dxa"/>
              <w:right w:w="140" w:type="dxa"/>
            </w:tcMar>
          </w:tcPr>
          <w:p w14:paraId="5872F4F5" w14:textId="77777777" w:rsidR="0053310B" w:rsidRDefault="00000000">
            <w:pPr>
              <w:spacing w:before="100" w:after="100"/>
              <w:jc w:val="both"/>
            </w:pPr>
            <w:r>
              <w:rPr>
                <w:b/>
                <w:bCs/>
              </w:rPr>
              <w:t>Bezug</w:t>
            </w:r>
          </w:p>
        </w:tc>
        <w:tc>
          <w:tcPr>
            <w:tcW w:w="60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D2C4481" w14:textId="77777777" w:rsidR="0053310B" w:rsidRDefault="00000000">
            <w:pPr>
              <w:spacing w:before="100" w:after="100"/>
              <w:jc w:val="both"/>
            </w:pPr>
            <w:r>
              <w:t>API-Guideline EDI@Energy v1.0a (BDEW, 01.10.2024), maloIdentV1/V2 OpenAPI-Spezifikation</w:t>
            </w:r>
          </w:p>
        </w:tc>
      </w:tr>
      <w:tr w:rsidR="0053310B" w14:paraId="1AFE2F2A" w14:textId="77777777">
        <w:tblPrEx>
          <w:tblCellMar>
            <w:top w:w="0" w:type="dxa"/>
            <w:bottom w:w="0" w:type="dxa"/>
          </w:tblCellMar>
        </w:tblPrEx>
        <w:tc>
          <w:tcPr>
            <w:tcW w:w="3000" w:type="dxa"/>
            <w:tcBorders>
              <w:top w:val="single" w:sz="4" w:space="0" w:color="BBBBBB"/>
              <w:left w:val="single" w:sz="4" w:space="0" w:color="BBBBBB"/>
              <w:bottom w:val="single" w:sz="4" w:space="0" w:color="BBBBBB"/>
              <w:right w:val="single" w:sz="4" w:space="0" w:color="BBBBBB"/>
            </w:tcBorders>
            <w:shd w:val="clear" w:color="auto" w:fill="D5E8F0"/>
            <w:tcMar>
              <w:top w:w="100" w:type="dxa"/>
              <w:left w:w="140" w:type="dxa"/>
              <w:bottom w:w="100" w:type="dxa"/>
              <w:right w:w="140" w:type="dxa"/>
            </w:tcMar>
          </w:tcPr>
          <w:p w14:paraId="3D31F59E" w14:textId="77777777" w:rsidR="0053310B" w:rsidRDefault="00000000">
            <w:pPr>
              <w:spacing w:before="100" w:after="100"/>
              <w:jc w:val="both"/>
            </w:pPr>
            <w:r>
              <w:rPr>
                <w:b/>
                <w:bCs/>
              </w:rPr>
              <w:t>Klassifikation</w:t>
            </w:r>
          </w:p>
        </w:tc>
        <w:tc>
          <w:tcPr>
            <w:tcW w:w="6026" w:type="dxa"/>
            <w:tcBorders>
              <w:top w:val="single" w:sz="4" w:space="0" w:color="BBBBBB"/>
              <w:left w:val="single" w:sz="4" w:space="0" w:color="BBBBBB"/>
              <w:bottom w:val="single" w:sz="4" w:space="0" w:color="BBBBBB"/>
              <w:right w:val="single" w:sz="4" w:space="0" w:color="BBBBBB"/>
            </w:tcBorders>
            <w:tcMar>
              <w:top w:w="100" w:type="dxa"/>
              <w:left w:w="140" w:type="dxa"/>
              <w:bottom w:w="100" w:type="dxa"/>
              <w:right w:w="140" w:type="dxa"/>
            </w:tcMar>
          </w:tcPr>
          <w:p w14:paraId="40A87E33" w14:textId="77777777" w:rsidR="0053310B" w:rsidRDefault="00000000">
            <w:pPr>
              <w:spacing w:before="100" w:after="100"/>
              <w:jc w:val="both"/>
            </w:pPr>
            <w:r>
              <w:rPr>
                <w:b/>
                <w:bCs/>
                <w:color w:val="C0392B"/>
              </w:rPr>
              <w:t>KRITIS-relevant – Kritische Infrastruktur Energieversorgung</w:t>
            </w:r>
          </w:p>
        </w:tc>
      </w:tr>
    </w:tbl>
    <w:p w14:paraId="2464206C" w14:textId="77777777" w:rsidR="0053310B" w:rsidRDefault="0053310B">
      <w:pPr>
        <w:spacing w:before="240"/>
      </w:pPr>
    </w:p>
    <w:p w14:paraId="303C919F" w14:textId="77777777" w:rsidR="0053310B" w:rsidRDefault="00000000">
      <w:r>
        <w:br w:type="page"/>
      </w:r>
    </w:p>
    <w:p w14:paraId="1EAB580E" w14:textId="77777777" w:rsidR="0053310B" w:rsidRDefault="00000000">
      <w:pPr>
        <w:pStyle w:val="berschrift1"/>
      </w:pPr>
      <w:r>
        <w:lastRenderedPageBreak/>
        <w:t>Management Summary</w:t>
      </w:r>
    </w:p>
    <w:p w14:paraId="2E5DDC04" w14:textId="77777777" w:rsidR="0053310B" w:rsidRDefault="0053310B">
      <w:pPr>
        <w:pBdr>
          <w:bottom w:val="single" w:sz="6" w:space="1" w:color="2E75B6"/>
        </w:pBdr>
        <w:spacing w:before="160" w:after="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4319A9B7" w14:textId="77777777">
        <w:tblPrEx>
          <w:tblCellMar>
            <w:top w:w="0" w:type="dxa"/>
            <w:bottom w:w="0" w:type="dxa"/>
          </w:tblCellMar>
        </w:tblPrEx>
        <w:tc>
          <w:tcPr>
            <w:tcW w:w="9026" w:type="dxa"/>
            <w:tcBorders>
              <w:top w:val="single" w:sz="8" w:space="0" w:color="2E75B6"/>
              <w:left w:val="single" w:sz="8" w:space="0" w:color="2E75B6"/>
              <w:bottom w:val="single" w:sz="4" w:space="0" w:color="BBBBBB"/>
              <w:right w:val="single" w:sz="4" w:space="0" w:color="BBBBBB"/>
            </w:tcBorders>
            <w:shd w:val="clear" w:color="auto" w:fill="FDEDEC"/>
            <w:tcMar>
              <w:top w:w="120" w:type="dxa"/>
              <w:left w:w="200" w:type="dxa"/>
              <w:bottom w:w="120" w:type="dxa"/>
              <w:right w:w="200" w:type="dxa"/>
            </w:tcMar>
          </w:tcPr>
          <w:p w14:paraId="61CE5181" w14:textId="77777777" w:rsidR="0053310B" w:rsidRDefault="00000000">
            <w:pPr>
              <w:spacing w:before="100" w:after="100"/>
              <w:jc w:val="both"/>
            </w:pPr>
            <w:r>
              <w:rPr>
                <w:i/>
                <w:iCs/>
                <w:color w:val="C0392B"/>
              </w:rPr>
              <w:t>Diese Analyse zeigt drei fundamentale Design-Fehler in einer KRITIS-Schnittstelle auf, die für die Energieversorgung Deutschlands kritisch ist. Sie betreffen über 900 Netzbetreiber und Lieferanten, die bei Einführung des MaBiS-Hub über 60 APIs nutzen werden.</w:t>
            </w:r>
          </w:p>
        </w:tc>
      </w:tr>
    </w:tbl>
    <w:p w14:paraId="4A90A1E1" w14:textId="77777777" w:rsidR="0053310B" w:rsidRDefault="0053310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7"/>
        <w:gridCol w:w="2404"/>
        <w:gridCol w:w="3432"/>
        <w:gridCol w:w="2773"/>
      </w:tblGrid>
      <w:tr w:rsidR="0053310B" w14:paraId="4481D9B5"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299F0AC2" w14:textId="77777777" w:rsidR="0053310B" w:rsidRDefault="00000000">
            <w:pPr>
              <w:spacing w:before="100" w:after="100"/>
              <w:jc w:val="both"/>
            </w:pPr>
            <w:r>
              <w:rPr>
                <w:b/>
                <w:bCs/>
                <w:color w:val="FFFFFF"/>
              </w:rPr>
              <w:t>#</w:t>
            </w:r>
          </w:p>
        </w:tc>
        <w:tc>
          <w:tcPr>
            <w:tcW w:w="2200"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556C7C08" w14:textId="77777777" w:rsidR="0053310B" w:rsidRDefault="00000000">
            <w:pPr>
              <w:spacing w:before="100" w:after="100"/>
              <w:jc w:val="both"/>
            </w:pPr>
            <w:r>
              <w:rPr>
                <w:b/>
                <w:bCs/>
                <w:color w:val="FFFFFF"/>
              </w:rPr>
              <w:t>Problem</w:t>
            </w:r>
          </w:p>
        </w:tc>
        <w:tc>
          <w:tcPr>
            <w:tcW w:w="3263"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3DDF2AA7" w14:textId="77777777" w:rsidR="0053310B" w:rsidRDefault="00000000">
            <w:pPr>
              <w:spacing w:before="100" w:after="100"/>
              <w:jc w:val="both"/>
            </w:pPr>
            <w:r>
              <w:rPr>
                <w:b/>
                <w:bCs/>
                <w:color w:val="FFFFFF"/>
              </w:rPr>
              <w:t>Befund</w:t>
            </w:r>
          </w:p>
        </w:tc>
        <w:tc>
          <w:tcPr>
            <w:tcW w:w="3063"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35742A27" w14:textId="77777777" w:rsidR="0053310B" w:rsidRDefault="00000000">
            <w:pPr>
              <w:spacing w:before="100" w:after="100"/>
              <w:jc w:val="both"/>
            </w:pPr>
            <w:r>
              <w:rPr>
                <w:b/>
                <w:bCs/>
                <w:color w:val="FFFFFF"/>
              </w:rPr>
              <w:t>Empfehlung</w:t>
            </w:r>
          </w:p>
        </w:tc>
      </w:tr>
      <w:tr w:rsidR="0053310B" w14:paraId="50057691"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DEDEC"/>
            <w:tcMar>
              <w:top w:w="100" w:type="dxa"/>
              <w:left w:w="120" w:type="dxa"/>
              <w:bottom w:w="100" w:type="dxa"/>
              <w:right w:w="120" w:type="dxa"/>
            </w:tcMar>
          </w:tcPr>
          <w:p w14:paraId="4489CFCB" w14:textId="77777777" w:rsidR="0053310B" w:rsidRDefault="00000000">
            <w:pPr>
              <w:spacing w:before="100" w:after="100"/>
              <w:jc w:val="both"/>
            </w:pPr>
            <w:r>
              <w:rPr>
                <w:b/>
                <w:bCs/>
                <w:color w:val="C0392B"/>
              </w:rPr>
              <w:t>1</w:t>
            </w:r>
          </w:p>
        </w:tc>
        <w:tc>
          <w:tcPr>
            <w:tcW w:w="2200"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75F56CD2" w14:textId="77777777" w:rsidR="0053310B" w:rsidRDefault="00000000">
            <w:pPr>
              <w:spacing w:before="100" w:after="100"/>
              <w:jc w:val="both"/>
            </w:pPr>
            <w:r>
              <w:rPr>
                <w:b/>
                <w:bCs/>
              </w:rPr>
              <w:t>Version in URI</w:t>
            </w:r>
          </w:p>
        </w:tc>
        <w:tc>
          <w:tcPr>
            <w:tcW w:w="3263"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635C9877" w14:textId="77777777" w:rsidR="0053310B" w:rsidRDefault="00000000">
            <w:pPr>
              <w:spacing w:before="100" w:after="100"/>
              <w:jc w:val="both"/>
            </w:pPr>
            <w:r>
              <w:t>/maloId/request/v2 verstößt gegen RFC 3986, REST-Prinzipien und IETF Best Current Practice. Erzeugt dauerhaften Migrationsaufwand.</w:t>
            </w:r>
          </w:p>
        </w:tc>
        <w:tc>
          <w:tcPr>
            <w:tcW w:w="3063" w:type="dxa"/>
            <w:tcBorders>
              <w:top w:val="single" w:sz="4" w:space="0" w:color="BBBBBB"/>
              <w:left w:val="single" w:sz="4" w:space="0" w:color="BBBBBB"/>
              <w:bottom w:val="single" w:sz="4" w:space="0" w:color="BBBBBB"/>
              <w:right w:val="single" w:sz="4" w:space="0" w:color="BBBBBB"/>
            </w:tcBorders>
            <w:shd w:val="clear" w:color="auto" w:fill="E8F8E8"/>
            <w:tcMar>
              <w:top w:w="100" w:type="dxa"/>
              <w:left w:w="120" w:type="dxa"/>
              <w:bottom w:w="100" w:type="dxa"/>
              <w:right w:w="120" w:type="dxa"/>
            </w:tcMar>
          </w:tcPr>
          <w:p w14:paraId="725207E3" w14:textId="77777777" w:rsidR="0053310B" w:rsidRDefault="00000000">
            <w:pPr>
              <w:spacing w:before="100" w:after="100"/>
              <w:jc w:val="both"/>
            </w:pPr>
            <w:r>
              <w:t>Content Negotiation via Accept-Header (RFC 9110 §12.5). URI bleibt stabil.</w:t>
            </w:r>
          </w:p>
        </w:tc>
      </w:tr>
      <w:tr w:rsidR="0053310B" w14:paraId="37FBB04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DEDEC"/>
            <w:tcMar>
              <w:top w:w="100" w:type="dxa"/>
              <w:left w:w="120" w:type="dxa"/>
              <w:bottom w:w="100" w:type="dxa"/>
              <w:right w:w="120" w:type="dxa"/>
            </w:tcMar>
          </w:tcPr>
          <w:p w14:paraId="7CA2701D" w14:textId="77777777" w:rsidR="0053310B" w:rsidRDefault="00000000">
            <w:pPr>
              <w:spacing w:before="100" w:after="100"/>
              <w:jc w:val="both"/>
            </w:pPr>
            <w:r>
              <w:rPr>
                <w:b/>
                <w:bCs/>
                <w:color w:val="C0392B"/>
              </w:rPr>
              <w:t>2</w:t>
            </w:r>
          </w:p>
        </w:tc>
        <w:tc>
          <w:tcPr>
            <w:tcW w:w="2200"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7EB407C3" w14:textId="77777777" w:rsidR="0053310B" w:rsidRDefault="00000000">
            <w:pPr>
              <w:spacing w:before="100" w:after="100"/>
              <w:jc w:val="both"/>
            </w:pPr>
            <w:r>
              <w:rPr>
                <w:b/>
                <w:bCs/>
              </w:rPr>
              <w:t>Falsch bezeichnete Idempotenz</w:t>
            </w:r>
          </w:p>
        </w:tc>
        <w:tc>
          <w:tcPr>
            <w:tcW w:w="3263"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5B9AAE29" w14:textId="77777777" w:rsidR="0053310B" w:rsidRDefault="00000000">
            <w:pPr>
              <w:spacing w:before="100" w:after="100"/>
              <w:jc w:val="both"/>
            </w:pPr>
            <w:r>
              <w:t>transactionId/initialTransactionId ist keine Idempotenz. Es ist Korrelation von Anfrage-Ketten. Idempotenz ist für MaLo-Ident strukturell nicht anwendbar (reine Leseoperation).</w:t>
            </w:r>
          </w:p>
        </w:tc>
        <w:tc>
          <w:tcPr>
            <w:tcW w:w="3063" w:type="dxa"/>
            <w:tcBorders>
              <w:top w:val="single" w:sz="4" w:space="0" w:color="BBBBBB"/>
              <w:left w:val="single" w:sz="4" w:space="0" w:color="BBBBBB"/>
              <w:bottom w:val="single" w:sz="4" w:space="0" w:color="BBBBBB"/>
              <w:right w:val="single" w:sz="4" w:space="0" w:color="BBBBBB"/>
            </w:tcBorders>
            <w:shd w:val="clear" w:color="auto" w:fill="E8F8E8"/>
            <w:tcMar>
              <w:top w:w="100" w:type="dxa"/>
              <w:left w:w="120" w:type="dxa"/>
              <w:bottom w:w="100" w:type="dxa"/>
              <w:right w:w="120" w:type="dxa"/>
            </w:tcMar>
          </w:tcPr>
          <w:p w14:paraId="58185181" w14:textId="77777777" w:rsidR="0053310B" w:rsidRDefault="00000000">
            <w:pPr>
              <w:spacing w:before="100" w:after="100"/>
              <w:jc w:val="both"/>
            </w:pPr>
            <w:r>
              <w:t>W3C Trace Context (traceparent/tracestate), OpenTelemetry. Keine proprietäre Transaktionskette.</w:t>
            </w:r>
          </w:p>
        </w:tc>
      </w:tr>
      <w:tr w:rsidR="0053310B" w14:paraId="45D529EB"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DEDEC"/>
            <w:tcMar>
              <w:top w:w="100" w:type="dxa"/>
              <w:left w:w="120" w:type="dxa"/>
              <w:bottom w:w="100" w:type="dxa"/>
              <w:right w:w="120" w:type="dxa"/>
            </w:tcMar>
          </w:tcPr>
          <w:p w14:paraId="4DA7967F" w14:textId="77777777" w:rsidR="0053310B" w:rsidRDefault="00000000">
            <w:pPr>
              <w:spacing w:before="100" w:after="100"/>
              <w:jc w:val="both"/>
            </w:pPr>
            <w:r>
              <w:rPr>
                <w:b/>
                <w:bCs/>
                <w:color w:val="C0392B"/>
              </w:rPr>
              <w:t>3</w:t>
            </w:r>
          </w:p>
        </w:tc>
        <w:tc>
          <w:tcPr>
            <w:tcW w:w="2200"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31457123" w14:textId="77777777" w:rsidR="0053310B" w:rsidRDefault="00000000">
            <w:pPr>
              <w:spacing w:before="100" w:after="100"/>
              <w:jc w:val="both"/>
            </w:pPr>
            <w:r>
              <w:rPr>
                <w:b/>
                <w:bCs/>
              </w:rPr>
              <w:t>Nicht-standardisierte Rückgabeendpunkte</w:t>
            </w:r>
          </w:p>
        </w:tc>
        <w:tc>
          <w:tcPr>
            <w:tcW w:w="3263" w:type="dxa"/>
            <w:tcBorders>
              <w:top w:val="single" w:sz="4" w:space="0" w:color="BBBBBB"/>
              <w:left w:val="single" w:sz="4" w:space="0" w:color="BBBBBB"/>
              <w:bottom w:val="single" w:sz="4" w:space="0" w:color="BBBBBB"/>
              <w:right w:val="single" w:sz="4" w:space="0" w:color="BBBBBB"/>
            </w:tcBorders>
            <w:tcMar>
              <w:top w:w="100" w:type="dxa"/>
              <w:left w:w="120" w:type="dxa"/>
              <w:bottom w:w="100" w:type="dxa"/>
              <w:right w:w="120" w:type="dxa"/>
            </w:tcMar>
          </w:tcPr>
          <w:p w14:paraId="50120DE0" w14:textId="77777777" w:rsidR="0053310B" w:rsidRDefault="00000000">
            <w:pPr>
              <w:spacing w:before="100" w:after="100"/>
              <w:jc w:val="both"/>
            </w:pPr>
            <w:r>
              <w:t>/dataForMarketLocationPositive und /dataForMarketLocationNegative sind nicht-standard und verletzen RFC 9110. Callback-Muster ohne Standardbasis. Dramatische Interoperabilitätsfehler in der Praxis.</w:t>
            </w:r>
          </w:p>
        </w:tc>
        <w:tc>
          <w:tcPr>
            <w:tcW w:w="3063" w:type="dxa"/>
            <w:tcBorders>
              <w:top w:val="single" w:sz="4" w:space="0" w:color="BBBBBB"/>
              <w:left w:val="single" w:sz="4" w:space="0" w:color="BBBBBB"/>
              <w:bottom w:val="single" w:sz="4" w:space="0" w:color="BBBBBB"/>
              <w:right w:val="single" w:sz="4" w:space="0" w:color="BBBBBB"/>
            </w:tcBorders>
            <w:shd w:val="clear" w:color="auto" w:fill="E8F8E8"/>
            <w:tcMar>
              <w:top w:w="100" w:type="dxa"/>
              <w:left w:w="120" w:type="dxa"/>
              <w:bottom w:w="100" w:type="dxa"/>
              <w:right w:w="120" w:type="dxa"/>
            </w:tcMar>
          </w:tcPr>
          <w:p w14:paraId="5FAB3320" w14:textId="77777777" w:rsidR="0053310B" w:rsidRDefault="00000000">
            <w:pPr>
              <w:spacing w:before="100" w:after="100"/>
              <w:jc w:val="both"/>
            </w:pPr>
            <w:r>
              <w:t>RFC 9457 Problem Details, HTTP Webhooks (RFC 8030), standardisiertes Callback-Pattern (OpenAPI 3.x).</w:t>
            </w:r>
          </w:p>
        </w:tc>
      </w:tr>
    </w:tbl>
    <w:p w14:paraId="1DB5E74D" w14:textId="77777777" w:rsidR="0053310B" w:rsidRDefault="0053310B">
      <w:pPr>
        <w:spacing w:before="160"/>
      </w:pPr>
    </w:p>
    <w:p w14:paraId="66774106" w14:textId="77777777" w:rsidR="0053310B" w:rsidRDefault="00000000">
      <w:pPr>
        <w:spacing w:before="100" w:after="100"/>
        <w:jc w:val="both"/>
      </w:pPr>
      <w:r>
        <w:rPr>
          <w:b/>
          <w:bCs/>
        </w:rPr>
        <w:t xml:space="preserve">Gesamtbewertung: </w:t>
      </w:r>
      <w:r>
        <w:t>Die API-Guideline v1.0a zeigt handwerkliche Mängel, die für eine KRITIS-Schnittstelle nicht akzeptabel sind. Falsche RFC-Referenzen, konzeptionelle Fehler bei Idempotenz und nicht-standardisierte Rückgabemuster erzeugen im Markt Interoperabilitätsprobleme, die zu Implementierungsfehlern bei hunderten Marktteilnehmern führen. Die von einzelnen Herstellern geäußerte Einschätzung, Implementierer seien "zu dumm", verkennt fundamental, dass schlecht spezifizierte Schnittstellen schlechte Implementierungen erzwingen.</w:t>
      </w:r>
    </w:p>
    <w:p w14:paraId="08066B09" w14:textId="77777777" w:rsidR="0053310B" w:rsidRDefault="0053310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62AAA05A" w14:textId="77777777">
        <w:tblPrEx>
          <w:tblCellMar>
            <w:top w:w="0" w:type="dxa"/>
            <w:bottom w:w="0" w:type="dxa"/>
          </w:tblCellMar>
        </w:tblPrEx>
        <w:tc>
          <w:tcPr>
            <w:tcW w:w="9026" w:type="dxa"/>
            <w:tcBorders>
              <w:top w:val="single" w:sz="8" w:space="0" w:color="2E75B6"/>
              <w:left w:val="single" w:sz="8" w:space="0" w:color="2E75B6"/>
              <w:bottom w:val="single" w:sz="4" w:space="0" w:color="BBBBBB"/>
              <w:right w:val="single" w:sz="4" w:space="0" w:color="BBBBBB"/>
            </w:tcBorders>
            <w:shd w:val="clear" w:color="auto" w:fill="D5E8F0"/>
            <w:tcMar>
              <w:top w:w="120" w:type="dxa"/>
              <w:left w:w="200" w:type="dxa"/>
              <w:bottom w:w="120" w:type="dxa"/>
              <w:right w:w="200" w:type="dxa"/>
            </w:tcMar>
          </w:tcPr>
          <w:p w14:paraId="7944E24D" w14:textId="77777777" w:rsidR="0053310B" w:rsidRDefault="00000000">
            <w:pPr>
              <w:spacing w:before="100" w:after="100"/>
              <w:jc w:val="both"/>
            </w:pPr>
            <w:r>
              <w:rPr>
                <w:i/>
                <w:iCs/>
                <w:color w:val="1A3A5C"/>
              </w:rPr>
              <w:t>Empfehlung: Die konzeptionelle Grundlage von API-Webdiensten im deutschen Energiemarkt sollte durch unabhängige, spezialisierte Institutionen (Fraunhofer FOKUS, IETF-Experten) validiert und überarbeitet werden. Dies ist keine Kritik an Einzelpersonen, sondern eine systemische Notwendigkeit für eine Infrastruktur nationaler Relevanz.</w:t>
            </w:r>
          </w:p>
        </w:tc>
      </w:tr>
    </w:tbl>
    <w:p w14:paraId="46D68A9D" w14:textId="77777777" w:rsidR="0053310B" w:rsidRDefault="00000000">
      <w:r>
        <w:lastRenderedPageBreak/>
        <w:br w:type="page"/>
      </w:r>
    </w:p>
    <w:p w14:paraId="2F9094C9" w14:textId="77777777" w:rsidR="0053310B" w:rsidRDefault="00000000">
      <w:pPr>
        <w:pStyle w:val="berschrift1"/>
      </w:pPr>
      <w:r>
        <w:lastRenderedPageBreak/>
        <w:t>1. Versionsmanagement: Version in der URI ist ein Anti-Pattern</w:t>
      </w:r>
    </w:p>
    <w:p w14:paraId="58A89E23" w14:textId="77777777" w:rsidR="0053310B" w:rsidRDefault="0053310B">
      <w:pPr>
        <w:pBdr>
          <w:bottom w:val="single" w:sz="6" w:space="1" w:color="2E75B6"/>
        </w:pBdr>
        <w:spacing w:before="160" w:after="160"/>
      </w:pPr>
    </w:p>
    <w:p w14:paraId="57C78A9E" w14:textId="77777777" w:rsidR="0053310B" w:rsidRDefault="00000000">
      <w:pPr>
        <w:pStyle w:val="berschrift2"/>
      </w:pPr>
      <w:r>
        <w:rPr>
          <w:color w:val="1A3A5C"/>
        </w:rPr>
        <w:t>1.1 Befund in der MaLo-Ident-API</w:t>
      </w:r>
    </w:p>
    <w:p w14:paraId="1D1DAA70" w14:textId="77777777" w:rsidR="0053310B" w:rsidRDefault="00000000">
      <w:pPr>
        <w:spacing w:before="100" w:after="100"/>
        <w:jc w:val="both"/>
      </w:pPr>
      <w:r>
        <w:t>Die maloIdentV2 OpenAPI-Spezifikation definiert folgende Endpunkte: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3CD07A67"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162058C4" w14:textId="77777777" w:rsidR="0053310B" w:rsidRDefault="00000000">
            <w:r>
              <w:rPr>
                <w:rFonts w:ascii="Courier New" w:eastAsia="Courier New" w:hAnsi="Courier New" w:cs="Courier New"/>
                <w:color w:val="D4D4D4"/>
                <w:sz w:val="18"/>
                <w:szCs w:val="18"/>
              </w:rPr>
              <w:t>POST /maloId/request/v2</w:t>
            </w:r>
          </w:p>
          <w:p w14:paraId="71FA1504" w14:textId="77777777" w:rsidR="0053310B" w:rsidRDefault="00000000">
            <w:r>
              <w:rPr>
                <w:rFonts w:ascii="Courier New" w:eastAsia="Courier New" w:hAnsi="Courier New" w:cs="Courier New"/>
                <w:color w:val="D4D4D4"/>
                <w:sz w:val="18"/>
                <w:szCs w:val="18"/>
              </w:rPr>
              <w:t>POST /maloId/dataForMarketLocationPositive/v2</w:t>
            </w:r>
          </w:p>
          <w:p w14:paraId="2205350A" w14:textId="77777777" w:rsidR="0053310B" w:rsidRDefault="00000000">
            <w:r>
              <w:rPr>
                <w:rFonts w:ascii="Courier New" w:eastAsia="Courier New" w:hAnsi="Courier New" w:cs="Courier New"/>
                <w:color w:val="D4D4D4"/>
                <w:sz w:val="18"/>
                <w:szCs w:val="18"/>
              </w:rPr>
              <w:t>POST /maloId/dataForMarketLocationNegative/v2</w:t>
            </w:r>
          </w:p>
        </w:tc>
      </w:tr>
    </w:tbl>
    <w:p w14:paraId="24F49CFB" w14:textId="77777777" w:rsidR="0053310B" w:rsidRDefault="0053310B">
      <w:pPr>
        <w:spacing w:before="80"/>
      </w:pPr>
    </w:p>
    <w:p w14:paraId="573721AC" w14:textId="77777777" w:rsidR="0053310B" w:rsidRDefault="00000000">
      <w:pPr>
        <w:spacing w:before="100" w:after="100"/>
        <w:jc w:val="both"/>
      </w:pPr>
      <w:r>
        <w:t>Die API-Guideline v1.0a schreibt im Kapitel 3.2 explizit vor: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0381088F" w14:textId="77777777">
        <w:tblPrEx>
          <w:tblCellMar>
            <w:top w:w="0" w:type="dxa"/>
            <w:bottom w:w="0" w:type="dxa"/>
          </w:tblCellMar>
        </w:tblPrEx>
        <w:tc>
          <w:tcPr>
            <w:tcW w:w="9026" w:type="dxa"/>
            <w:tcBorders>
              <w:top w:val="single" w:sz="8" w:space="0" w:color="2E75B6"/>
              <w:left w:val="single" w:sz="8" w:space="0" w:color="2E75B6"/>
              <w:bottom w:val="single" w:sz="4" w:space="0" w:color="BBBBBB"/>
              <w:right w:val="single" w:sz="4" w:space="0" w:color="BBBBBB"/>
            </w:tcBorders>
            <w:shd w:val="clear" w:color="auto" w:fill="D5E8F0"/>
            <w:tcMar>
              <w:top w:w="120" w:type="dxa"/>
              <w:left w:w="200" w:type="dxa"/>
              <w:bottom w:w="120" w:type="dxa"/>
              <w:right w:w="200" w:type="dxa"/>
            </w:tcMar>
          </w:tcPr>
          <w:p w14:paraId="7913B12D" w14:textId="77777777" w:rsidR="0053310B" w:rsidRDefault="00000000">
            <w:pPr>
              <w:spacing w:before="100" w:after="100"/>
              <w:jc w:val="both"/>
            </w:pPr>
            <w:r>
              <w:rPr>
                <w:i/>
                <w:iCs/>
                <w:color w:val="1A3A5C"/>
              </w:rPr>
              <w:t>MUST: Zur Differenzierung inkompatibler Schnittstellenversionen enthalten alle URL den MAJOR-Anteil mit einem kleinen 'v' als Präfix in der URL. (API-Guideline EDI@Energy v1.0a, §3.2)</w:t>
            </w:r>
          </w:p>
        </w:tc>
      </w:tr>
    </w:tbl>
    <w:p w14:paraId="0831F725" w14:textId="77777777" w:rsidR="0053310B" w:rsidRDefault="0053310B">
      <w:pPr>
        <w:spacing w:before="80"/>
      </w:pPr>
    </w:p>
    <w:p w14:paraId="7FE30BD2" w14:textId="77777777" w:rsidR="0053310B" w:rsidRDefault="00000000">
      <w:pPr>
        <w:spacing w:before="100" w:after="100"/>
        <w:jc w:val="both"/>
      </w:pPr>
      <w:r>
        <w:t>Diese Festlegung ist technisch falsch und widerspricht etablierten IETF-Standards sowie dem State-of-the-Art im API-Design.</w:t>
      </w:r>
    </w:p>
    <w:p w14:paraId="44497F22" w14:textId="77777777" w:rsidR="0053310B" w:rsidRDefault="00000000">
      <w:pPr>
        <w:pStyle w:val="berschrift2"/>
      </w:pPr>
      <w:r>
        <w:rPr>
          <w:color w:val="1A3A5C"/>
        </w:rPr>
        <w:t>1.2 RFC-Grundlage: Was eine URI identifiziert</w:t>
      </w:r>
    </w:p>
    <w:p w14:paraId="529F2154" w14:textId="77777777" w:rsidR="0053310B" w:rsidRDefault="00000000">
      <w:pPr>
        <w:spacing w:before="100" w:after="100"/>
        <w:jc w:val="both"/>
      </w:pPr>
      <w:r>
        <w:t>RFC 3986 (Uniform Resource Identifier: Generic Syntax, Berners-Lee et al., 2005) definiert in §1.1 grundlegend: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347F5FA3" w14:textId="77777777">
        <w:tblPrEx>
          <w:tblCellMar>
            <w:top w:w="0" w:type="dxa"/>
            <w:bottom w:w="0" w:type="dxa"/>
          </w:tblCellMar>
        </w:tblPrEx>
        <w:tc>
          <w:tcPr>
            <w:tcW w:w="9026" w:type="dxa"/>
            <w:tcBorders>
              <w:top w:val="single" w:sz="8" w:space="0" w:color="2E75B6"/>
              <w:left w:val="single" w:sz="8" w:space="0" w:color="2E75B6"/>
              <w:bottom w:val="single" w:sz="4" w:space="0" w:color="BBBBBB"/>
              <w:right w:val="single" w:sz="4" w:space="0" w:color="BBBBBB"/>
            </w:tcBorders>
            <w:shd w:val="clear" w:color="auto" w:fill="D5E8F0"/>
            <w:tcMar>
              <w:top w:w="120" w:type="dxa"/>
              <w:left w:w="200" w:type="dxa"/>
              <w:bottom w:w="120" w:type="dxa"/>
              <w:right w:w="200" w:type="dxa"/>
            </w:tcMar>
          </w:tcPr>
          <w:p w14:paraId="3DCE7586" w14:textId="77777777" w:rsidR="0053310B" w:rsidRDefault="00000000">
            <w:pPr>
              <w:spacing w:before="100" w:after="100"/>
              <w:jc w:val="both"/>
            </w:pPr>
            <w:r>
              <w:rPr>
                <w:i/>
                <w:iCs/>
                <w:color w:val="1A3A5C"/>
              </w:rPr>
              <w:t>"A URI is an identifier of a specific resource. Like a phone number, it is what it identifies that matters, not what mechanism is used to locate it." (RFC 3986, §1.1)</w:t>
            </w:r>
          </w:p>
        </w:tc>
      </w:tr>
    </w:tbl>
    <w:p w14:paraId="1584AE69" w14:textId="77777777" w:rsidR="0053310B" w:rsidRDefault="0053310B">
      <w:pPr>
        <w:spacing w:before="80"/>
      </w:pPr>
    </w:p>
    <w:p w14:paraId="1E239C7B" w14:textId="77777777" w:rsidR="0053310B" w:rsidRDefault="00000000">
      <w:pPr>
        <w:spacing w:before="100" w:after="100"/>
        <w:jc w:val="both"/>
      </w:pPr>
      <w:r>
        <w:t xml:space="preserve">Eine Ressource – im Fall von MaLo-Ident: der Dienst zur Ermittlung der MaLo-ID einer Marktlokation – ändert seine Identität nicht durch eine neue Version seiner Implementierung. Der Endpunkt </w:t>
      </w:r>
      <w:r>
        <w:rPr>
          <w:rFonts w:ascii="Courier New" w:eastAsia="Courier New" w:hAnsi="Courier New" w:cs="Courier New"/>
          <w:color w:val="2E4057"/>
          <w:sz w:val="20"/>
          <w:szCs w:val="20"/>
        </w:rPr>
        <w:t>/maloId/request</w:t>
      </w:r>
      <w:r>
        <w:t xml:space="preserve"> identifiziert semantisch immer denselben Dienst. Die Versionsnummer </w:t>
      </w:r>
      <w:r>
        <w:rPr>
          <w:rFonts w:ascii="Courier New" w:eastAsia="Courier New" w:hAnsi="Courier New" w:cs="Courier New"/>
          <w:color w:val="2E4057"/>
          <w:sz w:val="20"/>
          <w:szCs w:val="20"/>
        </w:rPr>
        <w:t>v2</w:t>
      </w:r>
      <w:r>
        <w:t xml:space="preserve"> in der URI beschreibt nicht die Ressource, sondern die technische Repräsentation der Schnittstelle – und diese gehört laut RFC 9110 in den HTTP-Header, nicht in den Pfad.</w:t>
      </w:r>
    </w:p>
    <w:p w14:paraId="5736E636" w14:textId="77777777" w:rsidR="0053310B" w:rsidRDefault="00000000">
      <w:pPr>
        <w:pStyle w:val="berschrift2"/>
      </w:pPr>
      <w:r>
        <w:rPr>
          <w:color w:val="1A3A5C"/>
        </w:rPr>
        <w:t>1.3 RFC 9110: Content Negotiation als korrekte Lösung</w:t>
      </w:r>
    </w:p>
    <w:p w14:paraId="702A830D" w14:textId="77777777" w:rsidR="0053310B" w:rsidRDefault="00000000">
      <w:pPr>
        <w:spacing w:before="100" w:after="100"/>
        <w:jc w:val="both"/>
      </w:pPr>
      <w:r>
        <w:t>RFC 9110 (HTTP Semantics, Fielding et al., 2022) definiert in §12 das Konzept der Content Negotiation. Clients signalisieren, welche Version einer Repräsentation sie verstehen, der Server antwortet entsprechend: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23BA7671"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29F276F8" w14:textId="77777777" w:rsidR="0053310B" w:rsidRDefault="00000000">
            <w:r>
              <w:rPr>
                <w:rFonts w:ascii="Courier New" w:eastAsia="Courier New" w:hAnsi="Courier New" w:cs="Courier New"/>
                <w:color w:val="D4D4D4"/>
                <w:sz w:val="18"/>
                <w:szCs w:val="18"/>
              </w:rPr>
              <w:t># Client Request – korrekte Versionsangabe per Header</w:t>
            </w:r>
          </w:p>
          <w:p w14:paraId="55CADBA3" w14:textId="77777777" w:rsidR="0053310B" w:rsidRDefault="00000000">
            <w:r>
              <w:rPr>
                <w:rFonts w:ascii="Courier New" w:eastAsia="Courier New" w:hAnsi="Courier New" w:cs="Courier New"/>
                <w:color w:val="D4D4D4"/>
                <w:sz w:val="18"/>
                <w:szCs w:val="18"/>
              </w:rPr>
              <w:t>POST /maloId/request HTTP/2</w:t>
            </w:r>
          </w:p>
          <w:p w14:paraId="6258EA5C" w14:textId="77777777" w:rsidR="0053310B" w:rsidRDefault="00000000">
            <w:r>
              <w:rPr>
                <w:rFonts w:ascii="Courier New" w:eastAsia="Courier New" w:hAnsi="Courier New" w:cs="Courier New"/>
                <w:color w:val="D4D4D4"/>
                <w:sz w:val="18"/>
                <w:szCs w:val="18"/>
              </w:rPr>
              <w:t>Host: api.netzbetreiber.de</w:t>
            </w:r>
          </w:p>
          <w:p w14:paraId="0823A5B7" w14:textId="77777777" w:rsidR="0053310B" w:rsidRDefault="00000000">
            <w:r>
              <w:rPr>
                <w:rFonts w:ascii="Courier New" w:eastAsia="Courier New" w:hAnsi="Courier New" w:cs="Courier New"/>
                <w:color w:val="D4D4D4"/>
                <w:sz w:val="18"/>
                <w:szCs w:val="18"/>
              </w:rPr>
              <w:t>Content-Type: application/json</w:t>
            </w:r>
          </w:p>
          <w:p w14:paraId="5A990C3C" w14:textId="77777777" w:rsidR="0053310B" w:rsidRDefault="00000000">
            <w:r>
              <w:rPr>
                <w:rFonts w:ascii="Courier New" w:eastAsia="Courier New" w:hAnsi="Courier New" w:cs="Courier New"/>
                <w:color w:val="D4D4D4"/>
                <w:sz w:val="18"/>
                <w:szCs w:val="18"/>
              </w:rPr>
              <w:t>Accept: application/vnd.edienergy.malo-ident+json; version=2</w:t>
            </w:r>
          </w:p>
          <w:p w14:paraId="3C7740D3" w14:textId="77777777" w:rsidR="0053310B" w:rsidRDefault="0053310B"/>
          <w:p w14:paraId="45FEAF20" w14:textId="77777777" w:rsidR="0053310B" w:rsidRDefault="00000000">
            <w:r>
              <w:rPr>
                <w:rFonts w:ascii="Courier New" w:eastAsia="Courier New" w:hAnsi="Courier New" w:cs="Courier New"/>
                <w:color w:val="D4D4D4"/>
                <w:sz w:val="18"/>
                <w:szCs w:val="18"/>
              </w:rPr>
              <w:t># Server Response</w:t>
            </w:r>
          </w:p>
          <w:p w14:paraId="56913B9C" w14:textId="77777777" w:rsidR="0053310B" w:rsidRDefault="00000000">
            <w:r>
              <w:rPr>
                <w:rFonts w:ascii="Courier New" w:eastAsia="Courier New" w:hAnsi="Courier New" w:cs="Courier New"/>
                <w:color w:val="D4D4D4"/>
                <w:sz w:val="18"/>
                <w:szCs w:val="18"/>
              </w:rPr>
              <w:t>HTTP/2 202 Accepted</w:t>
            </w:r>
          </w:p>
          <w:p w14:paraId="1CA8B979" w14:textId="77777777" w:rsidR="0053310B" w:rsidRDefault="00000000">
            <w:r>
              <w:rPr>
                <w:rFonts w:ascii="Courier New" w:eastAsia="Courier New" w:hAnsi="Courier New" w:cs="Courier New"/>
                <w:color w:val="D4D4D4"/>
                <w:sz w:val="18"/>
                <w:szCs w:val="18"/>
              </w:rPr>
              <w:lastRenderedPageBreak/>
              <w:t>Content-Type: application/vnd.edienergy.malo-ident+json; version=2</w:t>
            </w:r>
          </w:p>
          <w:p w14:paraId="0FE01CB8" w14:textId="77777777" w:rsidR="0053310B" w:rsidRDefault="00000000">
            <w:r>
              <w:rPr>
                <w:rFonts w:ascii="Courier New" w:eastAsia="Courier New" w:hAnsi="Courier New" w:cs="Courier New"/>
                <w:color w:val="D4D4D4"/>
                <w:sz w:val="18"/>
                <w:szCs w:val="18"/>
              </w:rPr>
              <w:t>X-BDEW-VERSION: 2.0.0</w:t>
            </w:r>
          </w:p>
        </w:tc>
      </w:tr>
    </w:tbl>
    <w:p w14:paraId="435E9E59" w14:textId="77777777" w:rsidR="0053310B" w:rsidRDefault="0053310B">
      <w:pPr>
        <w:spacing w:before="80"/>
      </w:pPr>
    </w:p>
    <w:p w14:paraId="1FED993F" w14:textId="77777777" w:rsidR="0053310B" w:rsidRDefault="00000000">
      <w:pPr>
        <w:spacing w:before="100" w:after="100"/>
        <w:jc w:val="both"/>
      </w:pPr>
      <w:r>
        <w:t xml:space="preserve">Diese Variante verwendet einen </w:t>
      </w:r>
      <w:r>
        <w:rPr>
          <w:i/>
          <w:iCs/>
        </w:rPr>
        <w:t>Vendor Media Type</w:t>
      </w:r>
      <w:r>
        <w:t xml:space="preserve"> gemäß RFC 6838 (Media Type Specifications and Registration Procedures, §3.2), der die Organisation, den Ressourcentyp und die Version semantisch kodiert. Die URI </w:t>
      </w:r>
      <w:r>
        <w:rPr>
          <w:rFonts w:ascii="Courier New" w:eastAsia="Courier New" w:hAnsi="Courier New" w:cs="Courier New"/>
          <w:color w:val="2E4057"/>
          <w:sz w:val="20"/>
          <w:szCs w:val="20"/>
        </w:rPr>
        <w:t>/maloId/request</w:t>
      </w:r>
      <w:r>
        <w:t xml:space="preserve"> bleibt über alle Versionen hinweg stabil.</w:t>
      </w:r>
    </w:p>
    <w:p w14:paraId="791CC25A" w14:textId="77777777" w:rsidR="0053310B" w:rsidRDefault="00000000">
      <w:pPr>
        <w:pStyle w:val="berschrift2"/>
      </w:pPr>
      <w:r>
        <w:rPr>
          <w:color w:val="1A3A5C"/>
        </w:rPr>
        <w:t>1.4 Praktische Konsequenzen des URI-Versionierungsmusters</w:t>
      </w:r>
    </w:p>
    <w:p w14:paraId="5F58E6F0" w14:textId="77777777" w:rsidR="0053310B" w:rsidRDefault="00000000">
      <w:pPr>
        <w:spacing w:before="100" w:after="100"/>
        <w:jc w:val="both"/>
      </w:pPr>
      <w:r>
        <w:t>Das in der EDI@Energy-Guideline vorgeschriebene Muster hat konkrete negative Auswirkungen:</w:t>
      </w:r>
    </w:p>
    <w:p w14:paraId="70A062EC" w14:textId="77777777" w:rsidR="0053310B" w:rsidRDefault="00000000">
      <w:pPr>
        <w:pStyle w:val="Listenabsatz"/>
        <w:numPr>
          <w:ilvl w:val="0"/>
          <w:numId w:val="2"/>
        </w:numPr>
        <w:spacing w:before="60" w:after="60"/>
      </w:pPr>
      <w:r>
        <w:rPr>
          <w:b/>
          <w:bCs/>
        </w:rPr>
        <w:t xml:space="preserve">Dauerhafte URL-Proliferation: </w:t>
      </w:r>
      <w:r>
        <w:t>Bei jedem Major-Release entstehen neue URIs. Alle vorherigen Versionen müssen für den Übergangszeitraum (mind. 3 Monate laut Guideline) parallel betrieben werden. Bei 60+ MaBiS-Hub-APIs über mehrere Jahreszyklen entsteht eine unwartbare URI-Landschaft.</w:t>
      </w:r>
    </w:p>
    <w:p w14:paraId="53FFDA7D" w14:textId="77777777" w:rsidR="0053310B" w:rsidRDefault="00000000">
      <w:pPr>
        <w:pStyle w:val="Listenabsatz"/>
        <w:numPr>
          <w:ilvl w:val="0"/>
          <w:numId w:val="2"/>
        </w:numPr>
        <w:spacing w:before="60" w:after="60"/>
      </w:pPr>
      <w:r>
        <w:rPr>
          <w:b/>
          <w:bCs/>
        </w:rPr>
        <w:t xml:space="preserve">Verletzung des Prinzips der Ressourcenidentität: </w:t>
      </w:r>
      <w:r>
        <w:t>Lesezeichen, API-Gateway-Konfigurationen, Sicherheitsregeln und DNS-Einträge müssen bei jedem Major-Versionssprung angepasst werden – obwohl die Ressource logisch unverändert bleibt.</w:t>
      </w:r>
    </w:p>
    <w:p w14:paraId="196DD6D6" w14:textId="77777777" w:rsidR="0053310B" w:rsidRDefault="00000000">
      <w:pPr>
        <w:pStyle w:val="Listenabsatz"/>
        <w:numPr>
          <w:ilvl w:val="0"/>
          <w:numId w:val="2"/>
        </w:numPr>
        <w:spacing w:before="60" w:after="60"/>
      </w:pPr>
      <w:r>
        <w:rPr>
          <w:b/>
          <w:bCs/>
        </w:rPr>
        <w:t xml:space="preserve">Cache-Invalidierung ohne Grund: </w:t>
      </w:r>
      <w:r>
        <w:t>HTTP-Caches (CDN, Reverse Proxy) können bei URI-Versionsänderung nicht erkennen, dass es sich um die inhaltlich gleiche Ressource handelt. RFC 9111 (HTTP Caching) basiert auf URI-Identität.</w:t>
      </w:r>
    </w:p>
    <w:p w14:paraId="25D79906" w14:textId="77777777" w:rsidR="0053310B" w:rsidRDefault="00000000">
      <w:pPr>
        <w:pStyle w:val="Listenabsatz"/>
        <w:numPr>
          <w:ilvl w:val="0"/>
          <w:numId w:val="2"/>
        </w:numPr>
        <w:spacing w:before="60" w:after="60"/>
      </w:pPr>
      <w:r>
        <w:rPr>
          <w:b/>
          <w:bCs/>
        </w:rPr>
        <w:t xml:space="preserve">Widerspruch zur eigenen Guideline: </w:t>
      </w:r>
      <w:r>
        <w:t>Die API-Guideline verlangt in §3.2 gleichzeitig den Header X-BDEW-VERSION mit der vollqualifizierten Versionsnummer. Damit ist die Version bereits im Header – die duplizierte URI-Versionsangabe ist redundant.</w:t>
      </w:r>
    </w:p>
    <w:p w14:paraId="5B164761" w14:textId="77777777" w:rsidR="0053310B" w:rsidRDefault="0053310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78CDB6B2" w14:textId="77777777">
        <w:tblPrEx>
          <w:tblCellMar>
            <w:top w:w="0" w:type="dxa"/>
            <w:bottom w:w="0" w:type="dxa"/>
          </w:tblCellMar>
        </w:tblPrEx>
        <w:tc>
          <w:tcPr>
            <w:tcW w:w="9026" w:type="dxa"/>
            <w:tcBorders>
              <w:top w:val="single" w:sz="8" w:space="0" w:color="2E75B6"/>
              <w:left w:val="single" w:sz="8" w:space="0" w:color="2E75B6"/>
              <w:bottom w:val="single" w:sz="4" w:space="0" w:color="BBBBBB"/>
              <w:right w:val="single" w:sz="4" w:space="0" w:color="BBBBBB"/>
            </w:tcBorders>
            <w:shd w:val="clear" w:color="auto" w:fill="FEF9E7"/>
            <w:tcMar>
              <w:top w:w="120" w:type="dxa"/>
              <w:left w:w="200" w:type="dxa"/>
              <w:bottom w:w="120" w:type="dxa"/>
              <w:right w:w="200" w:type="dxa"/>
            </w:tcMar>
          </w:tcPr>
          <w:p w14:paraId="00BD4A08" w14:textId="77777777" w:rsidR="0053310B" w:rsidRDefault="00000000">
            <w:pPr>
              <w:spacing w:before="100" w:after="100"/>
              <w:jc w:val="both"/>
            </w:pPr>
            <w:r>
              <w:rPr>
                <w:i/>
                <w:iCs/>
                <w:color w:val="7D6608"/>
              </w:rPr>
              <w:t>RFC-Fehler in der Guideline: Die Guideline referenziert RFC 7230 §3.1.1 als Beleg für unbegrenzte URI-Länge. RFC 7230 wurde durch RFC 9110/9112 obsoleted (Juni 2022). Die korrekte Referenz wäre RFC 9112 §3.</w:t>
            </w:r>
          </w:p>
        </w:tc>
      </w:tr>
    </w:tbl>
    <w:p w14:paraId="06E6C7CD" w14:textId="77777777" w:rsidR="0053310B" w:rsidRDefault="00000000">
      <w:pPr>
        <w:pStyle w:val="berschrift2"/>
      </w:pPr>
      <w:r>
        <w:rPr>
          <w:color w:val="1A3A5C"/>
        </w:rPr>
        <w:t>1.5 Industrie-Standards und Best Practices</w:t>
      </w:r>
    </w:p>
    <w:p w14:paraId="5E8BA929" w14:textId="77777777" w:rsidR="0053310B" w:rsidRDefault="00000000">
      <w:pPr>
        <w:spacing w:before="100" w:after="100"/>
        <w:jc w:val="both"/>
      </w:pPr>
      <w:r>
        <w:t>Das folgende Tableau zeigt, wie führende API-Standards Versionierung behandeln: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026"/>
      </w:tblGrid>
      <w:tr w:rsidR="0053310B" w14:paraId="6345A430"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2EE571BF" w14:textId="77777777" w:rsidR="0053310B" w:rsidRDefault="00000000">
            <w:pPr>
              <w:spacing w:before="100" w:after="100"/>
              <w:jc w:val="both"/>
            </w:pPr>
            <w:r>
              <w:rPr>
                <w:b/>
                <w:bCs/>
                <w:color w:val="FFFFFF"/>
                <w:sz w:val="20"/>
                <w:szCs w:val="20"/>
              </w:rPr>
              <w:t>Standard / Framework</w:t>
            </w:r>
          </w:p>
        </w:tc>
        <w:tc>
          <w:tcPr>
            <w:tcW w:w="3200"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33497CC9" w14:textId="77777777" w:rsidR="0053310B" w:rsidRDefault="00000000">
            <w:pPr>
              <w:spacing w:before="100" w:after="100"/>
              <w:jc w:val="both"/>
            </w:pPr>
            <w:r>
              <w:rPr>
                <w:b/>
                <w:bCs/>
                <w:color w:val="FFFFFF"/>
                <w:sz w:val="20"/>
                <w:szCs w:val="20"/>
              </w:rPr>
              <w:t>Versionsmanagement</w:t>
            </w:r>
          </w:p>
        </w:tc>
        <w:tc>
          <w:tcPr>
            <w:tcW w:w="3026"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2545010A" w14:textId="77777777" w:rsidR="0053310B" w:rsidRDefault="00000000">
            <w:pPr>
              <w:spacing w:before="100" w:after="100"/>
              <w:jc w:val="both"/>
            </w:pPr>
            <w:r>
              <w:rPr>
                <w:b/>
                <w:bCs/>
                <w:color w:val="FFFFFF"/>
                <w:sz w:val="20"/>
                <w:szCs w:val="20"/>
              </w:rPr>
              <w:t>Referenz</w:t>
            </w:r>
          </w:p>
        </w:tc>
      </w:tr>
      <w:tr w:rsidR="0053310B" w14:paraId="4AFBC77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B8B130" w14:textId="77777777" w:rsidR="0053310B" w:rsidRDefault="00000000">
            <w:pPr>
              <w:spacing w:before="100" w:after="100"/>
              <w:jc w:val="both"/>
            </w:pPr>
            <w:r>
              <w:rPr>
                <w:b/>
                <w:bCs/>
              </w:rPr>
              <w:t>IETF BCP / RFC 9110</w:t>
            </w:r>
          </w:p>
        </w:tc>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572398F" w14:textId="77777777" w:rsidR="0053310B" w:rsidRDefault="00000000">
            <w:pPr>
              <w:spacing w:before="100" w:after="100"/>
              <w:jc w:val="both"/>
            </w:pPr>
            <w:r>
              <w:t>Content Negotiation via Accept-Header</w:t>
            </w:r>
          </w:p>
        </w:tc>
        <w:tc>
          <w:tcPr>
            <w:tcW w:w="3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A16E27E" w14:textId="77777777" w:rsidR="0053310B" w:rsidRDefault="00000000">
            <w:pPr>
              <w:spacing w:before="100" w:after="100"/>
              <w:jc w:val="both"/>
            </w:pPr>
            <w:hyperlink r:id="rId7" w:anchor="section-12" w:history="1">
              <w:r>
                <w:rPr>
                  <w:color w:val="2E75B6"/>
                  <w:u w:val="single"/>
                </w:rPr>
                <w:t>RFC 9110 §12</w:t>
              </w:r>
            </w:hyperlink>
          </w:p>
        </w:tc>
      </w:tr>
      <w:tr w:rsidR="0053310B" w14:paraId="0040DE2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81F7227" w14:textId="77777777" w:rsidR="0053310B" w:rsidRDefault="00000000">
            <w:pPr>
              <w:spacing w:before="100" w:after="100"/>
              <w:jc w:val="both"/>
            </w:pPr>
            <w:r>
              <w:rPr>
                <w:b/>
                <w:bCs/>
              </w:rPr>
              <w:t>Zalando RESTful API Guidelines</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96B00CF" w14:textId="77777777" w:rsidR="0053310B" w:rsidRDefault="00000000">
            <w:pPr>
              <w:spacing w:before="100" w:after="100"/>
              <w:jc w:val="both"/>
            </w:pPr>
            <w:r>
              <w:t>Vendor Media Types, Header-basiert (SHOULD NOT URI version)</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90AD959" w14:textId="77777777" w:rsidR="0053310B" w:rsidRDefault="00000000">
            <w:pPr>
              <w:spacing w:before="100" w:after="100"/>
              <w:jc w:val="both"/>
            </w:pPr>
            <w:hyperlink r:id="rId8" w:anchor="114" w:history="1">
              <w:r>
                <w:rPr>
                  <w:color w:val="2E75B6"/>
                  <w:u w:val="single"/>
                </w:rPr>
                <w:t>Rule 114–116</w:t>
              </w:r>
            </w:hyperlink>
          </w:p>
        </w:tc>
      </w:tr>
      <w:tr w:rsidR="0053310B" w14:paraId="5ECFD38A"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3969E09" w14:textId="77777777" w:rsidR="0053310B" w:rsidRDefault="00000000">
            <w:pPr>
              <w:spacing w:before="100" w:after="100"/>
              <w:jc w:val="both"/>
            </w:pPr>
            <w:r>
              <w:rPr>
                <w:b/>
                <w:bCs/>
              </w:rPr>
              <w:t>Microsoft REST API Guidelines</w:t>
            </w:r>
          </w:p>
        </w:tc>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4399763" w14:textId="77777777" w:rsidR="0053310B" w:rsidRDefault="00000000">
            <w:pPr>
              <w:spacing w:before="100" w:after="100"/>
              <w:jc w:val="both"/>
            </w:pPr>
            <w:r>
              <w:t>api-version als Query-Parameter, alternativ Header</w:t>
            </w:r>
          </w:p>
        </w:tc>
        <w:tc>
          <w:tcPr>
            <w:tcW w:w="3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0718A34" w14:textId="77777777" w:rsidR="0053310B" w:rsidRDefault="00000000">
            <w:pPr>
              <w:spacing w:before="100" w:after="100"/>
              <w:jc w:val="both"/>
            </w:pPr>
            <w:hyperlink r:id="rId9" w:history="1">
              <w:r>
                <w:rPr>
                  <w:color w:val="2E75B6"/>
                  <w:u w:val="single"/>
                </w:rPr>
                <w:t>GitHub Guidelines §12</w:t>
              </w:r>
            </w:hyperlink>
          </w:p>
        </w:tc>
      </w:tr>
      <w:tr w:rsidR="0053310B" w14:paraId="4B3AA677"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5F34F7D" w14:textId="77777777" w:rsidR="0053310B" w:rsidRDefault="00000000">
            <w:pPr>
              <w:spacing w:before="100" w:after="100"/>
              <w:jc w:val="both"/>
            </w:pPr>
            <w:r>
              <w:rPr>
                <w:b/>
                <w:bCs/>
              </w:rPr>
              <w:lastRenderedPageBreak/>
              <w:t>OpenAPI 3.x</w:t>
            </w:r>
          </w:p>
        </w:tc>
        <w:tc>
          <w:tcPr>
            <w:tcW w:w="32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23D6000" w14:textId="77777777" w:rsidR="0053310B" w:rsidRDefault="00000000">
            <w:pPr>
              <w:spacing w:before="100" w:after="100"/>
              <w:jc w:val="both"/>
            </w:pPr>
            <w:r>
              <w:t>info.version im Schema-Dokument, URI stabil</w:t>
            </w:r>
          </w:p>
        </w:tc>
        <w:tc>
          <w:tcPr>
            <w:tcW w:w="30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798C7ED" w14:textId="77777777" w:rsidR="0053310B" w:rsidRDefault="00000000">
            <w:pPr>
              <w:spacing w:before="100" w:after="100"/>
              <w:jc w:val="both"/>
            </w:pPr>
            <w:hyperlink r:id="rId10" w:anchor="info-object" w:history="1">
              <w:r>
                <w:rPr>
                  <w:color w:val="2E75B6"/>
                  <w:u w:val="single"/>
                </w:rPr>
                <w:t>OAS 3.1 §4.7</w:t>
              </w:r>
            </w:hyperlink>
          </w:p>
        </w:tc>
      </w:tr>
      <w:tr w:rsidR="0053310B" w14:paraId="60750775"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2410F521" w14:textId="77777777" w:rsidR="0053310B" w:rsidRDefault="00000000">
            <w:pPr>
              <w:spacing w:before="100" w:after="100"/>
              <w:jc w:val="both"/>
            </w:pPr>
            <w:r>
              <w:rPr>
                <w:b/>
                <w:bCs/>
              </w:rPr>
              <w:t>ENTSO-E CDAP API Guidelines</w:t>
            </w:r>
          </w:p>
        </w:tc>
        <w:tc>
          <w:tcPr>
            <w:tcW w:w="32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998BAEC" w14:textId="77777777" w:rsidR="0053310B" w:rsidRDefault="00000000">
            <w:pPr>
              <w:spacing w:before="100" w:after="100"/>
              <w:jc w:val="both"/>
            </w:pPr>
            <w:r>
              <w:t>Header-Versionierung (vergleichbarer Energiemarkt EU)</w:t>
            </w:r>
          </w:p>
        </w:tc>
        <w:tc>
          <w:tcPr>
            <w:tcW w:w="3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347B199" w14:textId="77777777" w:rsidR="0053310B" w:rsidRDefault="00000000">
            <w:pPr>
              <w:spacing w:before="100" w:after="100"/>
              <w:jc w:val="both"/>
            </w:pPr>
            <w:hyperlink r:id="rId11" w:history="1">
              <w:r>
                <w:rPr>
                  <w:color w:val="2E75B6"/>
                  <w:u w:val="single"/>
                </w:rPr>
                <w:t>ENTSO-E API</w:t>
              </w:r>
            </w:hyperlink>
          </w:p>
        </w:tc>
      </w:tr>
    </w:tbl>
    <w:p w14:paraId="04ABFB49" w14:textId="77777777" w:rsidR="0053310B" w:rsidRDefault="00000000">
      <w:r>
        <w:br w:type="page"/>
      </w:r>
    </w:p>
    <w:p w14:paraId="54D3C296" w14:textId="77777777" w:rsidR="0053310B" w:rsidRDefault="00000000">
      <w:pPr>
        <w:pStyle w:val="berschrift1"/>
      </w:pPr>
      <w:r>
        <w:lastRenderedPageBreak/>
        <w:t>2. Idempotenz: Konzeptionelle Fehlorientierung mit gravierenden Folgen</w:t>
      </w:r>
    </w:p>
    <w:p w14:paraId="5ADCCEA1" w14:textId="77777777" w:rsidR="0053310B" w:rsidRDefault="0053310B">
      <w:pPr>
        <w:pBdr>
          <w:bottom w:val="single" w:sz="6" w:space="1" w:color="2E75B6"/>
        </w:pBdr>
        <w:spacing w:before="160" w:after="160"/>
      </w:pPr>
    </w:p>
    <w:p w14:paraId="63EFE408" w14:textId="77777777" w:rsidR="0053310B" w:rsidRDefault="00000000">
      <w:pPr>
        <w:pStyle w:val="berschrift2"/>
      </w:pPr>
      <w:r>
        <w:rPr>
          <w:color w:val="1A3A5C"/>
        </w:rPr>
        <w:t>2.1 Definition: Was ist Idempotenz?</w:t>
      </w:r>
    </w:p>
    <w:p w14:paraId="050BF62E" w14:textId="77777777" w:rsidR="0053310B" w:rsidRDefault="00000000">
      <w:pPr>
        <w:spacing w:before="100" w:after="100"/>
        <w:jc w:val="both"/>
      </w:pPr>
      <w:r>
        <w:t>RFC 9110 §9.2.2 (HTTP Semantics) definiert Idempotenz präzise: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2D405292" w14:textId="77777777">
        <w:tblPrEx>
          <w:tblCellMar>
            <w:top w:w="0" w:type="dxa"/>
            <w:bottom w:w="0" w:type="dxa"/>
          </w:tblCellMar>
        </w:tblPrEx>
        <w:tc>
          <w:tcPr>
            <w:tcW w:w="9026" w:type="dxa"/>
            <w:tcBorders>
              <w:top w:val="single" w:sz="8" w:space="0" w:color="2E75B6"/>
              <w:left w:val="single" w:sz="8" w:space="0" w:color="2E75B6"/>
              <w:bottom w:val="single" w:sz="4" w:space="0" w:color="BBBBBB"/>
              <w:right w:val="single" w:sz="4" w:space="0" w:color="BBBBBB"/>
            </w:tcBorders>
            <w:shd w:val="clear" w:color="auto" w:fill="D5E8F0"/>
            <w:tcMar>
              <w:top w:w="120" w:type="dxa"/>
              <w:left w:w="200" w:type="dxa"/>
              <w:bottom w:w="120" w:type="dxa"/>
              <w:right w:w="200" w:type="dxa"/>
            </w:tcMar>
          </w:tcPr>
          <w:p w14:paraId="36EFEC12" w14:textId="77777777" w:rsidR="0053310B" w:rsidRDefault="00000000">
            <w:pPr>
              <w:spacing w:before="100" w:after="100"/>
              <w:jc w:val="both"/>
            </w:pPr>
            <w:r>
              <w:rPr>
                <w:i/>
                <w:iCs/>
                <w:color w:val="1A3A5C"/>
              </w:rPr>
              <w:t>"A request method is considered 'idempotent' if the intended effect on the server of multiple identical requests with that method is the same as the effect for a single such request." (RFC 9110 §9.2.2)</w:t>
            </w:r>
          </w:p>
        </w:tc>
      </w:tr>
    </w:tbl>
    <w:p w14:paraId="17AC7153" w14:textId="77777777" w:rsidR="0053310B" w:rsidRDefault="0053310B">
      <w:pPr>
        <w:spacing w:before="80"/>
      </w:pPr>
    </w:p>
    <w:p w14:paraId="4D843F2A" w14:textId="77777777" w:rsidR="0053310B" w:rsidRDefault="00000000">
      <w:pPr>
        <w:spacing w:before="100" w:after="100"/>
        <w:jc w:val="both"/>
      </w:pPr>
      <w:r>
        <w:t>Idempotenz beschreibt also ausschließlich das Verhalten des Servers bei wiederholter Ausführung identischer Requests. Konkret:</w:t>
      </w:r>
    </w:p>
    <w:p w14:paraId="65780912" w14:textId="77777777" w:rsidR="0053310B" w:rsidRDefault="00000000">
      <w:pPr>
        <w:pStyle w:val="Listenabsatz"/>
        <w:numPr>
          <w:ilvl w:val="0"/>
          <w:numId w:val="2"/>
        </w:numPr>
        <w:spacing w:before="60" w:after="60"/>
      </w:pPr>
      <w:r>
        <w:rPr>
          <w:b/>
          <w:bCs/>
        </w:rPr>
        <w:t xml:space="preserve">GET, HEAD, OPTIONS, TRACE: </w:t>
      </w:r>
      <w:r>
        <w:t>per Definition idempotent und safe (keine Seiteneffekte).</w:t>
      </w:r>
    </w:p>
    <w:p w14:paraId="4900D713" w14:textId="77777777" w:rsidR="0053310B" w:rsidRDefault="00000000">
      <w:pPr>
        <w:pStyle w:val="Listenabsatz"/>
        <w:numPr>
          <w:ilvl w:val="0"/>
          <w:numId w:val="2"/>
        </w:numPr>
        <w:spacing w:before="60" w:after="60"/>
      </w:pPr>
      <w:r>
        <w:rPr>
          <w:b/>
          <w:bCs/>
        </w:rPr>
        <w:t xml:space="preserve">PUT, DELETE: </w:t>
      </w:r>
      <w:r>
        <w:t>idempotent – gleiche Wiederholung erzeugt denselben Endzustand.</w:t>
      </w:r>
    </w:p>
    <w:p w14:paraId="4047BE15" w14:textId="77777777" w:rsidR="0053310B" w:rsidRDefault="00000000">
      <w:pPr>
        <w:pStyle w:val="Listenabsatz"/>
        <w:numPr>
          <w:ilvl w:val="0"/>
          <w:numId w:val="2"/>
        </w:numPr>
        <w:spacing w:before="60" w:after="60"/>
      </w:pPr>
      <w:r>
        <w:rPr>
          <w:b/>
          <w:bCs/>
        </w:rPr>
        <w:t xml:space="preserve">POST: </w:t>
      </w:r>
      <w:r>
        <w:t>per Definition NICHT idempotent – jeder Request kann einen neuen Zustand erzeugen.</w:t>
      </w:r>
    </w:p>
    <w:p w14:paraId="1B53FEBA" w14:textId="77777777" w:rsidR="0053310B" w:rsidRDefault="00000000">
      <w:pPr>
        <w:pStyle w:val="berschrift2"/>
      </w:pPr>
      <w:r>
        <w:rPr>
          <w:color w:val="1A3A5C"/>
        </w:rPr>
        <w:t>2.2 Anwendung von Idempotenz auf MaLo-Ident: Nicht zutreffend</w:t>
      </w:r>
    </w:p>
    <w:p w14:paraId="005FE9E9" w14:textId="77777777" w:rsidR="0053310B" w:rsidRDefault="00000000">
      <w:pPr>
        <w:spacing w:before="100" w:after="100"/>
        <w:jc w:val="both"/>
      </w:pPr>
      <w:r>
        <w:t>Der Dienst POST /maloId/request führt eine Abfrageidentifikation durch – er fragt Stammdaten ab. Es findet keine Zustandsänderung auf dem Server statt. Konkret:</w:t>
      </w:r>
    </w:p>
    <w:p w14:paraId="7A9D35EE" w14:textId="77777777" w:rsidR="0053310B" w:rsidRDefault="00000000">
      <w:pPr>
        <w:pStyle w:val="Listenabsatz"/>
        <w:numPr>
          <w:ilvl w:val="0"/>
          <w:numId w:val="2"/>
        </w:numPr>
        <w:spacing w:before="60" w:after="60"/>
      </w:pPr>
      <w:r>
        <w:t>Die MaLo-ID einer Marktlokation existiert unabhängig von der API-Anfrage.</w:t>
      </w:r>
    </w:p>
    <w:p w14:paraId="7C2AE4B1" w14:textId="77777777" w:rsidR="0053310B" w:rsidRDefault="00000000">
      <w:pPr>
        <w:pStyle w:val="Listenabsatz"/>
        <w:numPr>
          <w:ilvl w:val="0"/>
          <w:numId w:val="2"/>
        </w:numPr>
        <w:spacing w:before="60" w:after="60"/>
      </w:pPr>
      <w:r>
        <w:t>Ein wiederholter Aufruf mit identischen Parametern liefert dasselbe Ergebnis – nicht weil der Server idempotent reagiert, sondern weil die Daten unverändert sind.</w:t>
      </w:r>
    </w:p>
    <w:p w14:paraId="149464D9" w14:textId="77777777" w:rsidR="0053310B" w:rsidRDefault="00000000">
      <w:pPr>
        <w:pStyle w:val="Listenabsatz"/>
        <w:numPr>
          <w:ilvl w:val="0"/>
          <w:numId w:val="2"/>
        </w:numPr>
        <w:spacing w:before="60" w:after="60"/>
      </w:pPr>
      <w:r>
        <w:t>Es gibt keinen Serverzustand, der durch mehrfache Ausführung überschrieben werden könnte.</w:t>
      </w:r>
    </w:p>
    <w:p w14:paraId="1BED86C4" w14:textId="77777777" w:rsidR="0053310B" w:rsidRDefault="0053310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7D846DFD" w14:textId="77777777">
        <w:tblPrEx>
          <w:tblCellMar>
            <w:top w:w="0" w:type="dxa"/>
            <w:bottom w:w="0" w:type="dxa"/>
          </w:tblCellMar>
        </w:tblPrEx>
        <w:tc>
          <w:tcPr>
            <w:tcW w:w="9026" w:type="dxa"/>
            <w:tcBorders>
              <w:top w:val="single" w:sz="8" w:space="0" w:color="2E75B6"/>
              <w:left w:val="single" w:sz="8" w:space="0" w:color="2E75B6"/>
              <w:bottom w:val="single" w:sz="4" w:space="0" w:color="BBBBBB"/>
              <w:right w:val="single" w:sz="4" w:space="0" w:color="BBBBBB"/>
            </w:tcBorders>
            <w:shd w:val="clear" w:color="auto" w:fill="FDEDEC"/>
            <w:tcMar>
              <w:top w:w="120" w:type="dxa"/>
              <w:left w:w="200" w:type="dxa"/>
              <w:bottom w:w="120" w:type="dxa"/>
              <w:right w:w="200" w:type="dxa"/>
            </w:tcMar>
          </w:tcPr>
          <w:p w14:paraId="0257CDF2" w14:textId="77777777" w:rsidR="0053310B" w:rsidRDefault="00000000">
            <w:pPr>
              <w:spacing w:before="100" w:after="100"/>
              <w:jc w:val="both"/>
            </w:pPr>
            <w:r>
              <w:rPr>
                <w:i/>
                <w:iCs/>
                <w:color w:val="C0392B"/>
              </w:rPr>
              <w:t>Fazit: MaLo-Ident ist strukturell eine Leseoperation (semantisch äquivalent zu GET). Idempotenz ist für Leseoperationen trivial und konzeptionell nicht relevant. Die Bezeichnung von initialTransactionId als 'Idempotenzschlüssel' ist sachlich falsch und erzeugt Missverständnisse bei Implementierern.</w:t>
            </w:r>
          </w:p>
        </w:tc>
      </w:tr>
    </w:tbl>
    <w:p w14:paraId="5C7C8224" w14:textId="77777777" w:rsidR="0053310B" w:rsidRDefault="00000000">
      <w:pPr>
        <w:pStyle w:val="berschrift2"/>
      </w:pPr>
      <w:r>
        <w:rPr>
          <w:color w:val="1A3A5C"/>
        </w:rPr>
        <w:t>2.3 Was die transactionId/initialTransactionId tatsächlich ist: Anfrage-Korrelation</w:t>
      </w:r>
    </w:p>
    <w:p w14:paraId="2F9979F8" w14:textId="77777777" w:rsidR="0053310B" w:rsidRDefault="00000000">
      <w:pPr>
        <w:spacing w:before="100" w:after="100"/>
        <w:jc w:val="both"/>
      </w:pPr>
      <w:r>
        <w:t>Das tatsächliche Ziel, das mit den drei IDs (transactionId, initialTransactionId, referenceId) verfolgt wird, ist:</w:t>
      </w:r>
    </w:p>
    <w:p w14:paraId="2DE8DF3C" w14:textId="77777777" w:rsidR="0053310B" w:rsidRDefault="00000000">
      <w:pPr>
        <w:pStyle w:val="Listenabsatz"/>
        <w:numPr>
          <w:ilvl w:val="0"/>
          <w:numId w:val="3"/>
        </w:numPr>
        <w:spacing w:before="60" w:after="60"/>
      </w:pPr>
      <w:r>
        <w:t>Die Korrelation einer Anfrage mit ihrer asynchronen Antwort (Request-Response-Matching).</w:t>
      </w:r>
    </w:p>
    <w:p w14:paraId="59C8C6DB" w14:textId="77777777" w:rsidR="0053310B" w:rsidRDefault="00000000">
      <w:pPr>
        <w:pStyle w:val="Listenabsatz"/>
        <w:numPr>
          <w:ilvl w:val="0"/>
          <w:numId w:val="3"/>
        </w:numPr>
        <w:spacing w:before="60" w:after="60"/>
      </w:pPr>
      <w:r>
        <w:t>Die Verfolgung von Wiederholungsversuchen (Retry-Chaining) innerhalb einer Anfragekette.</w:t>
      </w:r>
    </w:p>
    <w:p w14:paraId="06819308" w14:textId="77777777" w:rsidR="0053310B" w:rsidRDefault="00000000">
      <w:pPr>
        <w:pStyle w:val="Listenabsatz"/>
        <w:numPr>
          <w:ilvl w:val="0"/>
          <w:numId w:val="3"/>
        </w:numPr>
        <w:spacing w:before="60" w:after="60"/>
      </w:pPr>
      <w:r>
        <w:t>Die Bestimmung, wie viele Aufrufe ein Ergebnis benötigte (Laufzeitermittlung, Auditierung).</w:t>
      </w:r>
    </w:p>
    <w:p w14:paraId="33F25AB8" w14:textId="77777777" w:rsidR="0053310B" w:rsidRDefault="0053310B">
      <w:pPr>
        <w:spacing w:before="80"/>
      </w:pPr>
    </w:p>
    <w:p w14:paraId="738F2340" w14:textId="77777777" w:rsidR="0053310B" w:rsidRDefault="00000000">
      <w:pPr>
        <w:spacing w:before="100" w:after="100"/>
        <w:jc w:val="both"/>
      </w:pPr>
      <w:r>
        <w:t>Dies ist kein Idempotenz-Muster, sondern ein distributed tracing / Korrelations-Muster. Der Unterschied ist fundamental: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3381"/>
        <w:gridCol w:w="3382"/>
      </w:tblGrid>
      <w:tr w:rsidR="0053310B" w14:paraId="257E7FF8" w14:textId="77777777">
        <w:tblPrEx>
          <w:tblCellMar>
            <w:top w:w="0" w:type="dxa"/>
            <w:bottom w:w="0" w:type="dxa"/>
          </w:tblCellMar>
        </w:tblPrEx>
        <w:trPr>
          <w:tblHeader/>
        </w:trPr>
        <w:tc>
          <w:tcPr>
            <w:tcW w:w="2263"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5548495B" w14:textId="77777777" w:rsidR="0053310B" w:rsidRDefault="00000000">
            <w:pPr>
              <w:spacing w:before="100" w:after="100"/>
              <w:jc w:val="both"/>
            </w:pPr>
            <w:r>
              <w:rPr>
                <w:b/>
                <w:bCs/>
                <w:color w:val="FFFFFF"/>
                <w:sz w:val="20"/>
                <w:szCs w:val="20"/>
              </w:rPr>
              <w:t>Konzept</w:t>
            </w:r>
          </w:p>
        </w:tc>
        <w:tc>
          <w:tcPr>
            <w:tcW w:w="3381"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513312AE" w14:textId="77777777" w:rsidR="0053310B" w:rsidRDefault="00000000">
            <w:pPr>
              <w:spacing w:before="100" w:after="100"/>
              <w:jc w:val="both"/>
            </w:pPr>
            <w:r>
              <w:rPr>
                <w:b/>
                <w:bCs/>
                <w:color w:val="FFFFFF"/>
                <w:sz w:val="20"/>
                <w:szCs w:val="20"/>
              </w:rPr>
              <w:t>Idempotenz (RFC 9110)</w:t>
            </w:r>
          </w:p>
        </w:tc>
        <w:tc>
          <w:tcPr>
            <w:tcW w:w="3382"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2F608942" w14:textId="77777777" w:rsidR="0053310B" w:rsidRDefault="00000000">
            <w:pPr>
              <w:spacing w:before="100" w:after="100"/>
              <w:jc w:val="both"/>
            </w:pPr>
            <w:r>
              <w:rPr>
                <w:b/>
                <w:bCs/>
                <w:color w:val="FFFFFF"/>
                <w:sz w:val="20"/>
                <w:szCs w:val="20"/>
              </w:rPr>
              <w:t>Anfrage-Korrelation (W3C Trace Context)</w:t>
            </w:r>
          </w:p>
        </w:tc>
      </w:tr>
      <w:tr w:rsidR="0053310B" w14:paraId="01FF45D9" w14:textId="77777777">
        <w:tblPrEx>
          <w:tblCellMar>
            <w:top w:w="0" w:type="dxa"/>
            <w:bottom w:w="0" w:type="dxa"/>
          </w:tblCellMar>
        </w:tblPrEx>
        <w:tc>
          <w:tcPr>
            <w:tcW w:w="226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1002284" w14:textId="77777777" w:rsidR="0053310B" w:rsidRDefault="00000000">
            <w:pPr>
              <w:spacing w:before="100" w:after="100"/>
              <w:jc w:val="both"/>
            </w:pPr>
            <w:r>
              <w:rPr>
                <w:b/>
                <w:bCs/>
              </w:rPr>
              <w:t>Ziel</w:t>
            </w:r>
          </w:p>
        </w:tc>
        <w:tc>
          <w:tcPr>
            <w:tcW w:w="3381"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D38D81F" w14:textId="77777777" w:rsidR="0053310B" w:rsidRDefault="00000000">
            <w:pPr>
              <w:spacing w:before="100" w:after="100"/>
              <w:jc w:val="both"/>
            </w:pPr>
            <w:r>
              <w:t>Schutz vor doppelter Ausführung bei zustandsändernden Operationen</w:t>
            </w:r>
          </w:p>
        </w:tc>
        <w:tc>
          <w:tcPr>
            <w:tcW w:w="3382"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8C829FB" w14:textId="77777777" w:rsidR="0053310B" w:rsidRDefault="00000000">
            <w:pPr>
              <w:spacing w:before="100" w:after="100"/>
              <w:jc w:val="both"/>
            </w:pPr>
            <w:r>
              <w:t>Verfolgung von Anfragen über Systemgrenzen hinweg</w:t>
            </w:r>
          </w:p>
        </w:tc>
      </w:tr>
      <w:tr w:rsidR="0053310B" w14:paraId="6D0E4CAB" w14:textId="77777777">
        <w:tblPrEx>
          <w:tblCellMar>
            <w:top w:w="0" w:type="dxa"/>
            <w:bottom w:w="0" w:type="dxa"/>
          </w:tblCellMar>
        </w:tblPrEx>
        <w:tc>
          <w:tcPr>
            <w:tcW w:w="226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9274A22" w14:textId="77777777" w:rsidR="0053310B" w:rsidRDefault="00000000">
            <w:pPr>
              <w:spacing w:before="100" w:after="100"/>
              <w:jc w:val="both"/>
            </w:pPr>
            <w:r>
              <w:rPr>
                <w:b/>
                <w:bCs/>
              </w:rPr>
              <w:t>Relevant bei</w:t>
            </w:r>
          </w:p>
        </w:tc>
        <w:tc>
          <w:tcPr>
            <w:tcW w:w="338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353CBF4" w14:textId="77777777" w:rsidR="0053310B" w:rsidRDefault="00000000">
            <w:pPr>
              <w:spacing w:before="100" w:after="100"/>
              <w:jc w:val="both"/>
            </w:pPr>
            <w:r>
              <w:t>POST/PATCH mit Seiteneffekten (z.B. Lieferantenwechsel anlegen)</w:t>
            </w:r>
          </w:p>
        </w:tc>
        <w:tc>
          <w:tcPr>
            <w:tcW w:w="338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0C412B4" w14:textId="77777777" w:rsidR="0053310B" w:rsidRDefault="00000000">
            <w:pPr>
              <w:spacing w:before="100" w:after="100"/>
              <w:jc w:val="both"/>
            </w:pPr>
            <w:r>
              <w:t>Jeder Request, insb. asynchrone und Retry-Szenarien</w:t>
            </w:r>
          </w:p>
        </w:tc>
      </w:tr>
      <w:tr w:rsidR="0053310B" w14:paraId="72DDA635" w14:textId="77777777">
        <w:tblPrEx>
          <w:tblCellMar>
            <w:top w:w="0" w:type="dxa"/>
            <w:bottom w:w="0" w:type="dxa"/>
          </w:tblCellMar>
        </w:tblPrEx>
        <w:tc>
          <w:tcPr>
            <w:tcW w:w="226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8A02EAF" w14:textId="77777777" w:rsidR="0053310B" w:rsidRDefault="00000000">
            <w:pPr>
              <w:spacing w:before="100" w:after="100"/>
              <w:jc w:val="both"/>
            </w:pPr>
            <w:r>
              <w:rPr>
                <w:b/>
                <w:bCs/>
              </w:rPr>
              <w:t>Relevant für MaLo-Ident</w:t>
            </w:r>
          </w:p>
        </w:tc>
        <w:tc>
          <w:tcPr>
            <w:tcW w:w="3381"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142BE570" w14:textId="77777777" w:rsidR="0053310B" w:rsidRDefault="00000000">
            <w:pPr>
              <w:spacing w:before="100" w:after="100"/>
              <w:jc w:val="both"/>
            </w:pPr>
            <w:r>
              <w:rPr>
                <w:b/>
                <w:bCs/>
                <w:color w:val="C0392B"/>
              </w:rPr>
              <w:t>Nein – keine Zustandsänderung</w:t>
            </w:r>
          </w:p>
        </w:tc>
        <w:tc>
          <w:tcPr>
            <w:tcW w:w="3382" w:type="dxa"/>
            <w:tcBorders>
              <w:top w:val="single" w:sz="4" w:space="0" w:color="BBBBBB"/>
              <w:left w:val="single" w:sz="4" w:space="0" w:color="BBBBBB"/>
              <w:bottom w:val="single" w:sz="4" w:space="0" w:color="BBBBBB"/>
              <w:right w:val="single" w:sz="4" w:space="0" w:color="BBBBBB"/>
            </w:tcBorders>
            <w:shd w:val="clear" w:color="auto" w:fill="E8F8E8"/>
            <w:tcMar>
              <w:top w:w="80" w:type="dxa"/>
              <w:left w:w="120" w:type="dxa"/>
              <w:bottom w:w="80" w:type="dxa"/>
              <w:right w:w="120" w:type="dxa"/>
            </w:tcMar>
          </w:tcPr>
          <w:p w14:paraId="730DC8CF" w14:textId="77777777" w:rsidR="0053310B" w:rsidRDefault="00000000">
            <w:pPr>
              <w:spacing w:before="100" w:after="100"/>
              <w:jc w:val="both"/>
            </w:pPr>
            <w:r>
              <w:rPr>
                <w:b/>
                <w:bCs/>
                <w:color w:val="1E8449"/>
              </w:rPr>
              <w:t>Ja – für Retry-Tracking und Laufzeitmessung</w:t>
            </w:r>
          </w:p>
        </w:tc>
      </w:tr>
      <w:tr w:rsidR="0053310B" w14:paraId="15B54776" w14:textId="77777777">
        <w:tblPrEx>
          <w:tblCellMar>
            <w:top w:w="0" w:type="dxa"/>
            <w:bottom w:w="0" w:type="dxa"/>
          </w:tblCellMar>
        </w:tblPrEx>
        <w:tc>
          <w:tcPr>
            <w:tcW w:w="226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C3E2695" w14:textId="77777777" w:rsidR="0053310B" w:rsidRDefault="00000000">
            <w:pPr>
              <w:spacing w:before="100" w:after="100"/>
              <w:jc w:val="both"/>
            </w:pPr>
            <w:r>
              <w:rPr>
                <w:b/>
                <w:bCs/>
              </w:rPr>
              <w:t>Standard</w:t>
            </w:r>
          </w:p>
        </w:tc>
        <w:tc>
          <w:tcPr>
            <w:tcW w:w="3381"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75AE830" w14:textId="77777777" w:rsidR="0053310B" w:rsidRDefault="00000000">
            <w:pPr>
              <w:spacing w:before="100" w:after="100"/>
              <w:jc w:val="both"/>
            </w:pPr>
            <w:hyperlink r:id="rId12" w:anchor="section-9.2.2" w:history="1">
              <w:r>
                <w:rPr>
                  <w:color w:val="2E75B6"/>
                  <w:u w:val="single"/>
                </w:rPr>
                <w:t>RFC 9110 §9.2.2</w:t>
              </w:r>
            </w:hyperlink>
          </w:p>
        </w:tc>
        <w:tc>
          <w:tcPr>
            <w:tcW w:w="3382"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358A4CE9" w14:textId="77777777" w:rsidR="0053310B" w:rsidRDefault="00000000">
            <w:pPr>
              <w:spacing w:before="100" w:after="100"/>
              <w:jc w:val="both"/>
            </w:pPr>
            <w:hyperlink r:id="rId13" w:history="1">
              <w:r>
                <w:rPr>
                  <w:color w:val="2E75B6"/>
                  <w:u w:val="single"/>
                </w:rPr>
                <w:t>W3C Trace Context Level 2</w:t>
              </w:r>
            </w:hyperlink>
          </w:p>
        </w:tc>
      </w:tr>
    </w:tbl>
    <w:p w14:paraId="668331E9" w14:textId="77777777" w:rsidR="0053310B" w:rsidRDefault="00000000">
      <w:pPr>
        <w:pStyle w:val="berschrift2"/>
      </w:pPr>
      <w:r>
        <w:rPr>
          <w:color w:val="1A3A5C"/>
        </w:rPr>
        <w:t>2.4 Wann ist Idempotenz sinnvoll? – Gegenbeispiel Lieferantenwechsel-API</w:t>
      </w:r>
    </w:p>
    <w:p w14:paraId="521EB2C0" w14:textId="77777777" w:rsidR="0053310B" w:rsidRDefault="00000000">
      <w:pPr>
        <w:spacing w:before="100" w:after="100"/>
        <w:jc w:val="both"/>
      </w:pPr>
      <w:r>
        <w:t>Zur Klarstellung: Idempotenzschlüssel sind für andere APIs im MaBiS-Hub-Kontext durchaus relevant – dort, wo zustandsändernde Operationen stattfinden:</w:t>
      </w:r>
    </w:p>
    <w:p w14:paraId="7EBC5A4B" w14:textId="77777777" w:rsidR="0053310B" w:rsidRDefault="00000000">
      <w:pPr>
        <w:pStyle w:val="Listenabsatz"/>
        <w:numPr>
          <w:ilvl w:val="0"/>
          <w:numId w:val="2"/>
        </w:numPr>
        <w:spacing w:before="60" w:after="60"/>
      </w:pPr>
      <w:r>
        <w:t>POST /lieferantenwechsel – Anlegen eines Wechselvorgangs: Muss idempotent sein, da Netzausfall nach erfolgreicher Verarbeitung sonst zu Doppelanlage führt.</w:t>
      </w:r>
    </w:p>
    <w:p w14:paraId="1AE0FAB1" w14:textId="77777777" w:rsidR="0053310B" w:rsidRDefault="00000000">
      <w:pPr>
        <w:pStyle w:val="Listenabsatz"/>
        <w:numPr>
          <w:ilvl w:val="0"/>
          <w:numId w:val="2"/>
        </w:numPr>
        <w:spacing w:before="60" w:after="60"/>
      </w:pPr>
      <w:r>
        <w:t>POST /zaehlerwechsel – Beauftragung eines Gerätewechsels: Wiederholung darf nicht zwei Geräte bestellen.</w:t>
      </w:r>
    </w:p>
    <w:p w14:paraId="43FE0D20" w14:textId="77777777" w:rsidR="0053310B" w:rsidRDefault="0053310B">
      <w:pPr>
        <w:spacing w:before="80"/>
      </w:pPr>
    </w:p>
    <w:p w14:paraId="044A60A4" w14:textId="77777777" w:rsidR="0053310B" w:rsidRDefault="00000000">
      <w:pPr>
        <w:spacing w:before="100" w:after="100"/>
        <w:jc w:val="both"/>
      </w:pPr>
      <w:r>
        <w:t xml:space="preserve">Für diese Anwendungsfälle ist das Stripe-Idempotency-Key-Pattern (vgl. </w:t>
      </w:r>
      <w:hyperlink r:id="rId14" w:history="1">
        <w:r>
          <w:rPr>
            <w:color w:val="2E75B6"/>
            <w:u w:val="single"/>
          </w:rPr>
          <w:t>Stripe API Idempotency</w:t>
        </w:r>
      </w:hyperlink>
      <w:r>
        <w:t xml:space="preserve">) ein bewährtes Muster: Ein </w:t>
      </w:r>
      <w:r>
        <w:rPr>
          <w:rFonts w:ascii="Courier New" w:eastAsia="Courier New" w:hAnsi="Courier New" w:cs="Courier New"/>
          <w:color w:val="2E4057"/>
          <w:sz w:val="20"/>
          <w:szCs w:val="20"/>
        </w:rPr>
        <w:t>Idempotency-Key</w:t>
      </w:r>
      <w:r>
        <w:t>-Header verhindert Doppelverarbeitung ohne proprietäre Transaktionsketten.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51B0074B"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346A2927" w14:textId="77777777" w:rsidR="0053310B" w:rsidRDefault="00000000">
            <w:r>
              <w:rPr>
                <w:rFonts w:ascii="Courier New" w:eastAsia="Courier New" w:hAnsi="Courier New" w:cs="Courier New"/>
                <w:color w:val="D4D4D4"/>
                <w:sz w:val="18"/>
                <w:szCs w:val="18"/>
              </w:rPr>
              <w:t># Idempotenz-Pattern (korrekt, für zustandsändernde Operationen)</w:t>
            </w:r>
          </w:p>
          <w:p w14:paraId="67B99222" w14:textId="77777777" w:rsidR="0053310B" w:rsidRDefault="00000000">
            <w:r>
              <w:rPr>
                <w:rFonts w:ascii="Courier New" w:eastAsia="Courier New" w:hAnsi="Courier New" w:cs="Courier New"/>
                <w:color w:val="D4D4D4"/>
                <w:sz w:val="18"/>
                <w:szCs w:val="18"/>
              </w:rPr>
              <w:t>POST /lieferantenwechsel HTTP/2</w:t>
            </w:r>
          </w:p>
          <w:p w14:paraId="552821CE" w14:textId="77777777" w:rsidR="0053310B" w:rsidRDefault="00000000">
            <w:r>
              <w:rPr>
                <w:rFonts w:ascii="Courier New" w:eastAsia="Courier New" w:hAnsi="Courier New" w:cs="Courier New"/>
                <w:color w:val="D4D4D4"/>
                <w:sz w:val="18"/>
                <w:szCs w:val="18"/>
              </w:rPr>
              <w:t>Idempotency-Key: 550e8400-e29b-41d4-a716-446655440000</w:t>
            </w:r>
          </w:p>
          <w:p w14:paraId="7FA5B48C" w14:textId="77777777" w:rsidR="0053310B" w:rsidRDefault="00000000">
            <w:r>
              <w:rPr>
                <w:rFonts w:ascii="Courier New" w:eastAsia="Courier New" w:hAnsi="Courier New" w:cs="Courier New"/>
                <w:color w:val="D4D4D4"/>
                <w:sz w:val="18"/>
                <w:szCs w:val="18"/>
              </w:rPr>
              <w:t>Content-Type: application/json</w:t>
            </w:r>
          </w:p>
          <w:p w14:paraId="130C6176" w14:textId="77777777" w:rsidR="0053310B" w:rsidRDefault="0053310B"/>
          <w:p w14:paraId="5D03B66B" w14:textId="77777777" w:rsidR="0053310B" w:rsidRDefault="00000000">
            <w:r>
              <w:rPr>
                <w:rFonts w:ascii="Courier New" w:eastAsia="Courier New" w:hAnsi="Courier New" w:cs="Courier New"/>
                <w:color w:val="D4D4D4"/>
                <w:sz w:val="18"/>
                <w:szCs w:val="18"/>
              </w:rPr>
              <w:t># Server: Wenn Idempotency-Key bereits verarbeitet → gleiche Response zurück</w:t>
            </w:r>
          </w:p>
          <w:p w14:paraId="727A1CCE" w14:textId="77777777" w:rsidR="0053310B" w:rsidRDefault="00000000">
            <w:r>
              <w:rPr>
                <w:rFonts w:ascii="Courier New" w:eastAsia="Courier New" w:hAnsi="Courier New" w:cs="Courier New"/>
                <w:color w:val="D4D4D4"/>
                <w:sz w:val="18"/>
                <w:szCs w:val="18"/>
              </w:rPr>
              <w:t># Kein zweiter Datensatz, kein Fehler</w:t>
            </w:r>
          </w:p>
        </w:tc>
      </w:tr>
    </w:tbl>
    <w:p w14:paraId="691496D8" w14:textId="77777777" w:rsidR="0053310B" w:rsidRDefault="00000000">
      <w:pPr>
        <w:pStyle w:val="berschrift2"/>
      </w:pPr>
      <w:r>
        <w:rPr>
          <w:color w:val="1A3A5C"/>
        </w:rPr>
        <w:t>2.5 Die moderne Lösung: W3C Trace Context und OpenTelemetry</w:t>
      </w:r>
    </w:p>
    <w:p w14:paraId="55EBCB10" w14:textId="77777777" w:rsidR="0053310B" w:rsidRDefault="00000000">
      <w:pPr>
        <w:spacing w:before="100" w:after="100"/>
        <w:jc w:val="both"/>
      </w:pPr>
      <w:r>
        <w:t xml:space="preserve">Für das, was MaLo-Ident tatsächlich benötigt – Anfrage-Korrelation, Retry-Verfolgung, Laufzeitmessung – gibt es einen etablierten, breiten Industriestandard: den </w:t>
      </w:r>
      <w:r>
        <w:rPr>
          <w:b/>
          <w:bCs/>
        </w:rPr>
        <w:t>W3C Trace Context</w:t>
      </w:r>
      <w:r>
        <w:t xml:space="preserve"> (W3C Recommendation, Level 2,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5FB8F25A"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51DA028C" w14:textId="77777777" w:rsidR="0053310B" w:rsidRDefault="00000000">
            <w:r>
              <w:rPr>
                <w:rFonts w:ascii="Courier New" w:eastAsia="Courier New" w:hAnsi="Courier New" w:cs="Courier New"/>
                <w:color w:val="D4D4D4"/>
                <w:sz w:val="18"/>
                <w:szCs w:val="18"/>
              </w:rPr>
              <w:t># Anfrage mit W3C Trace Context</w:t>
            </w:r>
          </w:p>
          <w:p w14:paraId="33A0979E" w14:textId="77777777" w:rsidR="0053310B" w:rsidRDefault="00000000">
            <w:r>
              <w:rPr>
                <w:rFonts w:ascii="Courier New" w:eastAsia="Courier New" w:hAnsi="Courier New" w:cs="Courier New"/>
                <w:color w:val="D4D4D4"/>
                <w:sz w:val="18"/>
                <w:szCs w:val="18"/>
              </w:rPr>
              <w:t>POST /maloId/request HTTP/2</w:t>
            </w:r>
          </w:p>
          <w:p w14:paraId="32E54B4F" w14:textId="77777777" w:rsidR="0053310B" w:rsidRDefault="00000000">
            <w:r>
              <w:rPr>
                <w:rFonts w:ascii="Courier New" w:eastAsia="Courier New" w:hAnsi="Courier New" w:cs="Courier New"/>
                <w:color w:val="D4D4D4"/>
                <w:sz w:val="18"/>
                <w:szCs w:val="18"/>
              </w:rPr>
              <w:lastRenderedPageBreak/>
              <w:t>traceparent: 00-0af7651916cd43dd8448eb211c80319c-b7ad6b7169203331-01</w:t>
            </w:r>
          </w:p>
          <w:p w14:paraId="2186F768" w14:textId="77777777" w:rsidR="0053310B" w:rsidRDefault="00000000">
            <w:r>
              <w:rPr>
                <w:rFonts w:ascii="Courier New" w:eastAsia="Courier New" w:hAnsi="Courier New" w:cs="Courier New"/>
                <w:color w:val="D4D4D4"/>
                <w:sz w:val="18"/>
                <w:szCs w:val="18"/>
              </w:rPr>
              <w:t># Format: Version-TraceID(16B)-SpanID(8B)-Flags</w:t>
            </w:r>
          </w:p>
          <w:p w14:paraId="51CE253A" w14:textId="77777777" w:rsidR="0053310B" w:rsidRDefault="00000000">
            <w:r>
              <w:rPr>
                <w:rFonts w:ascii="Courier New" w:eastAsia="Courier New" w:hAnsi="Courier New" w:cs="Courier New"/>
                <w:color w:val="D4D4D4"/>
                <w:sz w:val="18"/>
                <w:szCs w:val="18"/>
              </w:rPr>
              <w:t>#</w:t>
            </w:r>
          </w:p>
          <w:p w14:paraId="6C76F0BE" w14:textId="77777777" w:rsidR="0053310B" w:rsidRDefault="00000000">
            <w:r>
              <w:rPr>
                <w:rFonts w:ascii="Courier New" w:eastAsia="Courier New" w:hAnsi="Courier New" w:cs="Courier New"/>
                <w:color w:val="D4D4D4"/>
                <w:sz w:val="18"/>
                <w:szCs w:val="18"/>
              </w:rPr>
              <w:t># Bei Retry: NEUE SpanID, gleiche TraceID</w:t>
            </w:r>
          </w:p>
          <w:p w14:paraId="29FE9E96" w14:textId="77777777" w:rsidR="0053310B" w:rsidRDefault="00000000">
            <w:r>
              <w:rPr>
                <w:rFonts w:ascii="Courier New" w:eastAsia="Courier New" w:hAnsi="Courier New" w:cs="Courier New"/>
                <w:color w:val="D4D4D4"/>
                <w:sz w:val="18"/>
                <w:szCs w:val="18"/>
              </w:rPr>
              <w:t>traceparent: 00-0af7651916cd43dd8448eb211c80319c-c6f2d7b8fae14521-01</w:t>
            </w:r>
          </w:p>
          <w:p w14:paraId="2816BA2F" w14:textId="77777777" w:rsidR="0053310B" w:rsidRDefault="00000000">
            <w:r>
              <w:rPr>
                <w:rFonts w:ascii="Courier New" w:eastAsia="Courier New" w:hAnsi="Courier New" w:cs="Courier New"/>
                <w:color w:val="D4D4D4"/>
                <w:sz w:val="18"/>
                <w:szCs w:val="18"/>
              </w:rPr>
              <w:t>#                  ^gleiche TraceID^      ^neue SpanID^</w:t>
            </w:r>
          </w:p>
          <w:p w14:paraId="0AF160D0" w14:textId="77777777" w:rsidR="0053310B" w:rsidRDefault="0053310B"/>
          <w:p w14:paraId="691BC6D4" w14:textId="77777777" w:rsidR="0053310B" w:rsidRDefault="00000000">
            <w:r>
              <w:rPr>
                <w:rFonts w:ascii="Courier New" w:eastAsia="Courier New" w:hAnsi="Courier New" w:cs="Courier New"/>
                <w:color w:val="D4D4D4"/>
                <w:sz w:val="18"/>
                <w:szCs w:val="18"/>
              </w:rPr>
              <w:t># Optionale Metadaten (Vendor-Extension)</w:t>
            </w:r>
          </w:p>
          <w:p w14:paraId="69A7A6DA" w14:textId="77777777" w:rsidR="0053310B" w:rsidRDefault="00000000">
            <w:r>
              <w:rPr>
                <w:rFonts w:ascii="Courier New" w:eastAsia="Courier New" w:hAnsi="Courier New" w:cs="Courier New"/>
                <w:color w:val="D4D4D4"/>
                <w:sz w:val="18"/>
                <w:szCs w:val="18"/>
              </w:rPr>
              <w:t>tracestate: edienergy=retry:2,senderId:1234567890123</w:t>
            </w:r>
          </w:p>
        </w:tc>
      </w:tr>
    </w:tbl>
    <w:p w14:paraId="55365BE2" w14:textId="77777777" w:rsidR="0053310B" w:rsidRDefault="0053310B">
      <w:pPr>
        <w:spacing w:before="80"/>
      </w:pPr>
    </w:p>
    <w:p w14:paraId="216FCA3D" w14:textId="77777777" w:rsidR="0053310B" w:rsidRDefault="00000000">
      <w:pPr>
        <w:spacing w:before="100" w:after="100"/>
        <w:jc w:val="both"/>
      </w:pPr>
      <w:r>
        <w:t>Die TraceID entspricht der initialTransactionId, die SpanID der transactionId – aber standardisiert, werkzeugunterstützt und ohne proprietäre Semantik. OpenTelemetry (CNCF-Standard) bietet für alle relevanten Sprachen fertige Instrumentierungsbibliotheken:</w:t>
      </w:r>
    </w:p>
    <w:p w14:paraId="58AE5788" w14:textId="77777777" w:rsidR="0053310B" w:rsidRDefault="00000000">
      <w:pPr>
        <w:pStyle w:val="Listenabsatz"/>
        <w:numPr>
          <w:ilvl w:val="0"/>
          <w:numId w:val="2"/>
        </w:numPr>
        <w:spacing w:before="60" w:after="60"/>
      </w:pPr>
      <w:hyperlink r:id="rId15" w:history="1">
        <w:r>
          <w:rPr>
            <w:color w:val="2E75B6"/>
            <w:u w:val="single"/>
          </w:rPr>
          <w:t>OpenTelemetry Java SDK</w:t>
        </w:r>
      </w:hyperlink>
      <w:r>
        <w:t xml:space="preserve"> – für SAP IS-U, ERP-Systeme</w:t>
      </w:r>
    </w:p>
    <w:p w14:paraId="3360E049" w14:textId="77777777" w:rsidR="0053310B" w:rsidRDefault="00000000">
      <w:pPr>
        <w:pStyle w:val="Listenabsatz"/>
        <w:numPr>
          <w:ilvl w:val="0"/>
          <w:numId w:val="2"/>
        </w:numPr>
        <w:spacing w:before="60" w:after="60"/>
      </w:pPr>
      <w:hyperlink r:id="rId16" w:history="1">
        <w:r>
          <w:rPr>
            <w:color w:val="2E75B6"/>
            <w:u w:val="single"/>
          </w:rPr>
          <w:t>OpenTelemetry .NET SDK</w:t>
        </w:r>
      </w:hyperlink>
      <w:r>
        <w:t xml:space="preserve"> – für Microsoft-basierte Systeme</w:t>
      </w:r>
    </w:p>
    <w:p w14:paraId="26892F3B" w14:textId="77777777" w:rsidR="0053310B" w:rsidRDefault="00000000">
      <w:pPr>
        <w:pStyle w:val="Listenabsatz"/>
        <w:numPr>
          <w:ilvl w:val="0"/>
          <w:numId w:val="2"/>
        </w:numPr>
        <w:spacing w:before="60" w:after="60"/>
      </w:pPr>
      <w:hyperlink r:id="rId17" w:history="1">
        <w:r>
          <w:rPr>
            <w:color w:val="2E75B6"/>
            <w:u w:val="single"/>
          </w:rPr>
          <w:t>OpenTelemetry Python SDK</w:t>
        </w:r>
      </w:hyperlink>
      <w:r>
        <w:t xml:space="preserve"> – für Automatisierungslösungen</w:t>
      </w:r>
    </w:p>
    <w:p w14:paraId="77E5B4AF" w14:textId="77777777" w:rsidR="0053310B" w:rsidRDefault="0053310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50274CBA" w14:textId="77777777">
        <w:tblPrEx>
          <w:tblCellMar>
            <w:top w:w="0" w:type="dxa"/>
            <w:bottom w:w="0" w:type="dxa"/>
          </w:tblCellMar>
        </w:tblPrEx>
        <w:tc>
          <w:tcPr>
            <w:tcW w:w="9026" w:type="dxa"/>
            <w:tcBorders>
              <w:top w:val="single" w:sz="8" w:space="0" w:color="2E75B6"/>
              <w:left w:val="single" w:sz="8" w:space="0" w:color="2E75B6"/>
              <w:bottom w:val="single" w:sz="4" w:space="0" w:color="BBBBBB"/>
              <w:right w:val="single" w:sz="4" w:space="0" w:color="BBBBBB"/>
            </w:tcBorders>
            <w:shd w:val="clear" w:color="auto" w:fill="D5E8F0"/>
            <w:tcMar>
              <w:top w:w="120" w:type="dxa"/>
              <w:left w:w="200" w:type="dxa"/>
              <w:bottom w:w="120" w:type="dxa"/>
              <w:right w:w="200" w:type="dxa"/>
            </w:tcMar>
          </w:tcPr>
          <w:p w14:paraId="42519E00" w14:textId="77777777" w:rsidR="0053310B" w:rsidRDefault="00000000">
            <w:pPr>
              <w:spacing w:before="100" w:after="100"/>
              <w:jc w:val="both"/>
            </w:pPr>
            <w:r>
              <w:rPr>
                <w:i/>
                <w:iCs/>
                <w:color w:val="1A3A5C"/>
              </w:rPr>
              <w:t>Das Interoperabilitätsproblem, das die Präsentation 'Nutzung der transactionId, initialTransactionId und referenceId V2' beschreibt – unterschiedliche Implementierungen von Variante 1 und Variante 2 – wäre mit W3C Trace Context nicht entstanden. Die traceparent-Spezifikation ist eindeutig, maschinell validierbar und weltweit in tausenden Produktionssystemen erprobt.</w:t>
            </w:r>
          </w:p>
        </w:tc>
      </w:tr>
    </w:tbl>
    <w:p w14:paraId="0EB75689" w14:textId="77777777" w:rsidR="0053310B" w:rsidRDefault="00000000">
      <w:r>
        <w:br w:type="page"/>
      </w:r>
    </w:p>
    <w:p w14:paraId="2A7F8CE1" w14:textId="77777777" w:rsidR="0053310B" w:rsidRDefault="00000000">
      <w:pPr>
        <w:pStyle w:val="berschrift1"/>
      </w:pPr>
      <w:r>
        <w:lastRenderedPageBreak/>
        <w:t>3. Rückgabewerte: Nicht-standardisierte Callback-Endpunkte</w:t>
      </w:r>
    </w:p>
    <w:p w14:paraId="7A4C55AC" w14:textId="77777777" w:rsidR="0053310B" w:rsidRDefault="0053310B">
      <w:pPr>
        <w:pBdr>
          <w:bottom w:val="single" w:sz="6" w:space="1" w:color="2E75B6"/>
        </w:pBdr>
        <w:spacing w:before="160" w:after="160"/>
      </w:pPr>
    </w:p>
    <w:p w14:paraId="5D7FA1B1" w14:textId="77777777" w:rsidR="0053310B" w:rsidRDefault="00000000">
      <w:pPr>
        <w:pStyle w:val="berschrift2"/>
      </w:pPr>
      <w:r>
        <w:rPr>
          <w:color w:val="1A3A5C"/>
        </w:rPr>
        <w:t>3.1 Befund: Das Positive/Negative-Endpunkt-Muster</w:t>
      </w:r>
    </w:p>
    <w:p w14:paraId="046AE709" w14:textId="77777777" w:rsidR="0053310B" w:rsidRDefault="00000000">
      <w:pPr>
        <w:spacing w:before="100" w:after="100"/>
        <w:jc w:val="both"/>
      </w:pPr>
      <w:r>
        <w:t>Die maloIdentV2-API definiert drei separate Endpunkte: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3BFB61CC"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142DEEAF" w14:textId="77777777" w:rsidR="0053310B" w:rsidRDefault="00000000">
            <w:r>
              <w:rPr>
                <w:rFonts w:ascii="Courier New" w:eastAsia="Courier New" w:hAnsi="Courier New" w:cs="Courier New"/>
                <w:color w:val="D4D4D4"/>
                <w:sz w:val="18"/>
                <w:szCs w:val="18"/>
              </w:rPr>
              <w:t>POST /maloId/request/v2                       # Anfrage</w:t>
            </w:r>
          </w:p>
          <w:p w14:paraId="412A5BB5" w14:textId="77777777" w:rsidR="0053310B" w:rsidRDefault="00000000">
            <w:r>
              <w:rPr>
                <w:rFonts w:ascii="Courier New" w:eastAsia="Courier New" w:hAnsi="Courier New" w:cs="Courier New"/>
                <w:color w:val="D4D4D4"/>
                <w:sz w:val="18"/>
                <w:szCs w:val="18"/>
              </w:rPr>
              <w:t>POST /maloId/dataForMarketLocationPositive/v2  # Positive Rückmeldung</w:t>
            </w:r>
          </w:p>
          <w:p w14:paraId="110D0812" w14:textId="77777777" w:rsidR="0053310B" w:rsidRDefault="00000000">
            <w:r>
              <w:rPr>
                <w:rFonts w:ascii="Courier New" w:eastAsia="Courier New" w:hAnsi="Courier New" w:cs="Courier New"/>
                <w:color w:val="D4D4D4"/>
                <w:sz w:val="18"/>
                <w:szCs w:val="18"/>
              </w:rPr>
              <w:t>POST /maloId/dataForMarketLocationNegative/v2  # Negative Rückmeldung</w:t>
            </w:r>
          </w:p>
        </w:tc>
      </w:tr>
    </w:tbl>
    <w:p w14:paraId="35E39EFC" w14:textId="77777777" w:rsidR="0053310B" w:rsidRDefault="0053310B">
      <w:pPr>
        <w:spacing w:before="80"/>
      </w:pPr>
    </w:p>
    <w:p w14:paraId="7856F525" w14:textId="77777777" w:rsidR="0053310B" w:rsidRDefault="00000000">
      <w:pPr>
        <w:spacing w:before="100" w:after="100"/>
        <w:jc w:val="both"/>
      </w:pPr>
      <w:r>
        <w:t>Dieses Design verstößt gegen mehrere grundlegende REST-Prinzipien und RFC-Standards:</w:t>
      </w:r>
    </w:p>
    <w:p w14:paraId="3B079736" w14:textId="77777777" w:rsidR="0053310B" w:rsidRDefault="00000000">
      <w:pPr>
        <w:pStyle w:val="berschrift2"/>
      </w:pPr>
      <w:r>
        <w:rPr>
          <w:color w:val="1A3A5C"/>
        </w:rPr>
        <w:t>3.2 RFC 9110: HTTP-Semantik und Statuscodes</w:t>
      </w:r>
    </w:p>
    <w:p w14:paraId="2D40B561" w14:textId="77777777" w:rsidR="0053310B" w:rsidRDefault="00000000">
      <w:pPr>
        <w:spacing w:before="100" w:after="100"/>
        <w:jc w:val="both"/>
      </w:pPr>
      <w:r>
        <w:t>RFC 9110 §15 definiert ein vollständiges System von HTTP-Statuscodes, die genau für diesen Zweck – Erfolg und Misserfolg einer Operation zu kommunizieren – konzipiert wurden. Die Unterscheidung zwischen positiver und negativer Rückmeldung ist in HTTP bereits vollständig abgebildet: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4"/>
        <w:gridCol w:w="2553"/>
        <w:gridCol w:w="4799"/>
      </w:tblGrid>
      <w:tr w:rsidR="0053310B" w14:paraId="6C1B2F90" w14:textId="77777777">
        <w:tblPrEx>
          <w:tblCellMar>
            <w:top w:w="0" w:type="dxa"/>
            <w:bottom w:w="0" w:type="dxa"/>
          </w:tblCellMar>
        </w:tblPrEx>
        <w:trPr>
          <w:tblHeader/>
        </w:trPr>
        <w:tc>
          <w:tcPr>
            <w:tcW w:w="1400"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267B1E03" w14:textId="77777777" w:rsidR="0053310B" w:rsidRDefault="00000000">
            <w:pPr>
              <w:spacing w:before="100" w:after="100"/>
              <w:jc w:val="both"/>
            </w:pPr>
            <w:r>
              <w:rPr>
                <w:b/>
                <w:bCs/>
                <w:color w:val="FFFFFF"/>
                <w:sz w:val="20"/>
                <w:szCs w:val="20"/>
              </w:rPr>
              <w:t>HTTP Code</w:t>
            </w:r>
          </w:p>
        </w:tc>
        <w:tc>
          <w:tcPr>
            <w:tcW w:w="2600"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5C3B0F69" w14:textId="77777777" w:rsidR="0053310B" w:rsidRDefault="00000000">
            <w:pPr>
              <w:spacing w:before="100" w:after="100"/>
              <w:jc w:val="both"/>
            </w:pPr>
            <w:r>
              <w:rPr>
                <w:b/>
                <w:bCs/>
                <w:color w:val="FFFFFF"/>
                <w:sz w:val="20"/>
                <w:szCs w:val="20"/>
              </w:rPr>
              <w:t>Bedeutung (RFC 9110)</w:t>
            </w:r>
          </w:p>
        </w:tc>
        <w:tc>
          <w:tcPr>
            <w:tcW w:w="5026"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60CB236E" w14:textId="77777777" w:rsidR="0053310B" w:rsidRDefault="00000000">
            <w:pPr>
              <w:spacing w:before="100" w:after="100"/>
              <w:jc w:val="both"/>
            </w:pPr>
            <w:r>
              <w:rPr>
                <w:b/>
                <w:bCs/>
                <w:color w:val="FFFFFF"/>
                <w:sz w:val="20"/>
                <w:szCs w:val="20"/>
              </w:rPr>
              <w:t>Anwendung MaLo-Ident</w:t>
            </w:r>
          </w:p>
        </w:tc>
      </w:tr>
      <w:tr w:rsidR="0053310B" w14:paraId="5CC36C0E"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E8F8E8"/>
            <w:tcMar>
              <w:top w:w="80" w:type="dxa"/>
              <w:left w:w="120" w:type="dxa"/>
              <w:bottom w:w="80" w:type="dxa"/>
              <w:right w:w="120" w:type="dxa"/>
            </w:tcMar>
          </w:tcPr>
          <w:p w14:paraId="69FCAA23" w14:textId="77777777" w:rsidR="0053310B" w:rsidRDefault="00000000">
            <w:pPr>
              <w:spacing w:before="100" w:after="100"/>
              <w:jc w:val="both"/>
            </w:pPr>
            <w:r>
              <w:rPr>
                <w:b/>
                <w:bCs/>
                <w:color w:val="1E8449"/>
                <w:sz w:val="20"/>
                <w:szCs w:val="20"/>
              </w:rPr>
              <w:t>200 OK</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D17E040" w14:textId="77777777" w:rsidR="0053310B" w:rsidRDefault="00000000">
            <w:pPr>
              <w:spacing w:before="100" w:after="100"/>
              <w:jc w:val="both"/>
            </w:pPr>
            <w:r>
              <w:t>Request erfolgreich, Ergebnis im Body</w:t>
            </w:r>
          </w:p>
        </w:tc>
        <w:tc>
          <w:tcPr>
            <w:tcW w:w="5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3802C16E" w14:textId="77777777" w:rsidR="0053310B" w:rsidRDefault="00000000">
            <w:pPr>
              <w:spacing w:before="100" w:after="100"/>
              <w:jc w:val="both"/>
            </w:pPr>
            <w:r>
              <w:t>MaLo-ID gefunden – vollständige Standortdaten im Body</w:t>
            </w:r>
          </w:p>
        </w:tc>
      </w:tr>
      <w:tr w:rsidR="0053310B" w14:paraId="22A9CBDB"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50153FC8" w14:textId="77777777" w:rsidR="0053310B" w:rsidRDefault="00000000">
            <w:pPr>
              <w:spacing w:before="100" w:after="100"/>
              <w:jc w:val="both"/>
            </w:pPr>
            <w:r>
              <w:rPr>
                <w:b/>
                <w:bCs/>
                <w:color w:val="C0392B"/>
                <w:sz w:val="20"/>
                <w:szCs w:val="20"/>
              </w:rPr>
              <w:t>404 Not Found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A3CCEAB" w14:textId="77777777" w:rsidR="0053310B" w:rsidRDefault="00000000">
            <w:pPr>
              <w:spacing w:before="100" w:after="100"/>
              <w:jc w:val="both"/>
            </w:pPr>
            <w:r>
              <w:t>Ressource nicht gefunden</w:t>
            </w:r>
          </w:p>
        </w:tc>
        <w:tc>
          <w:tcPr>
            <w:tcW w:w="5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9D16F5A" w14:textId="77777777" w:rsidR="0053310B" w:rsidRDefault="00000000">
            <w:pPr>
              <w:spacing w:before="100" w:after="100"/>
              <w:jc w:val="both"/>
            </w:pPr>
            <w:r>
              <w:t>Keine MaLo-ID zu den Anfrageparametern gefunden</w:t>
            </w:r>
          </w:p>
        </w:tc>
      </w:tr>
      <w:tr w:rsidR="0053310B" w14:paraId="596F258B"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66FE4335" w14:textId="77777777" w:rsidR="0053310B" w:rsidRDefault="00000000">
            <w:pPr>
              <w:spacing w:before="100" w:after="100"/>
              <w:jc w:val="both"/>
            </w:pPr>
            <w:r>
              <w:rPr>
                <w:b/>
                <w:bCs/>
                <w:color w:val="C0392B"/>
                <w:sz w:val="20"/>
                <w:szCs w:val="20"/>
              </w:rPr>
              <w:t>422 Unprocessable</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4365405D" w14:textId="77777777" w:rsidR="0053310B" w:rsidRDefault="00000000">
            <w:pPr>
              <w:spacing w:before="100" w:after="100"/>
              <w:jc w:val="both"/>
            </w:pPr>
            <w:r>
              <w:t>Validierungsfehler</w:t>
            </w:r>
          </w:p>
        </w:tc>
        <w:tc>
          <w:tcPr>
            <w:tcW w:w="5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1E631025" w14:textId="77777777" w:rsidR="0053310B" w:rsidRDefault="00000000">
            <w:pPr>
              <w:spacing w:before="100" w:after="100"/>
              <w:jc w:val="both"/>
            </w:pPr>
            <w:r>
              <w:t>Adressparameter unvollständig oder nicht auflösbar</w:t>
            </w:r>
          </w:p>
        </w:tc>
      </w:tr>
      <w:tr w:rsidR="0053310B" w14:paraId="7F9E1AFD" w14:textId="77777777">
        <w:tblPrEx>
          <w:tblCellMar>
            <w:top w:w="0" w:type="dxa"/>
            <w:bottom w:w="0" w:type="dxa"/>
          </w:tblCellMar>
        </w:tblPrEx>
        <w:tc>
          <w:tcPr>
            <w:tcW w:w="14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20" w:type="dxa"/>
              <w:bottom w:w="80" w:type="dxa"/>
              <w:right w:w="120" w:type="dxa"/>
            </w:tcMar>
          </w:tcPr>
          <w:p w14:paraId="180037FD" w14:textId="77777777" w:rsidR="0053310B" w:rsidRDefault="00000000">
            <w:pPr>
              <w:spacing w:before="100" w:after="100"/>
              <w:jc w:val="both"/>
            </w:pPr>
            <w:r>
              <w:rPr>
                <w:b/>
                <w:bCs/>
                <w:color w:val="E67E22"/>
                <w:sz w:val="20"/>
                <w:szCs w:val="20"/>
              </w:rPr>
              <w:t>202 Accepted</w:t>
            </w:r>
          </w:p>
        </w:tc>
        <w:tc>
          <w:tcPr>
            <w:tcW w:w="2600"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5B70AD5D" w14:textId="77777777" w:rsidR="0053310B" w:rsidRDefault="00000000">
            <w:pPr>
              <w:spacing w:before="100" w:after="100"/>
              <w:jc w:val="both"/>
            </w:pPr>
            <w:r>
              <w:t>Annahme, asynchrone Verarbeitung</w:t>
            </w:r>
          </w:p>
        </w:tc>
        <w:tc>
          <w:tcPr>
            <w:tcW w:w="5026"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0CB7BB6E" w14:textId="77777777" w:rsidR="0053310B" w:rsidRDefault="00000000">
            <w:pPr>
              <w:spacing w:before="100" w:after="100"/>
              <w:jc w:val="both"/>
            </w:pPr>
            <w:r>
              <w:t>Nur wenn asynchrones Muster unvermeidbar – dann mit Webhook/Callback</w:t>
            </w:r>
          </w:p>
        </w:tc>
      </w:tr>
    </w:tbl>
    <w:p w14:paraId="6F7E464E" w14:textId="77777777" w:rsidR="0053310B" w:rsidRDefault="00000000">
      <w:pPr>
        <w:pStyle w:val="berschrift2"/>
      </w:pPr>
      <w:r>
        <w:rPr>
          <w:color w:val="1A3A5C"/>
        </w:rPr>
        <w:t>3.3 RFC 9457: Problem Details als Standard für Fehlerantworten</w:t>
      </w:r>
    </w:p>
    <w:p w14:paraId="5A5C1BD7" w14:textId="77777777" w:rsidR="0053310B" w:rsidRDefault="00000000">
      <w:pPr>
        <w:spacing w:before="100" w:after="100"/>
        <w:jc w:val="both"/>
      </w:pPr>
      <w:r>
        <w:t>RFC 9457 (Problem Details for HTTP APIs, Nottingham, 2023) definiert ein standardisiertes JSON-Format für Fehlerantworten. Es ersetzt proprietäre Fehlerkonstrukte vollständig: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49C8A9DB"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1AA4EA8A" w14:textId="77777777" w:rsidR="0053310B" w:rsidRDefault="00000000">
            <w:r>
              <w:rPr>
                <w:rFonts w:ascii="Courier New" w:eastAsia="Courier New" w:hAnsi="Courier New" w:cs="Courier New"/>
                <w:color w:val="D4D4D4"/>
                <w:sz w:val="18"/>
                <w:szCs w:val="18"/>
              </w:rPr>
              <w:t>HTTP/2 404 Not Found</w:t>
            </w:r>
          </w:p>
          <w:p w14:paraId="43C66508" w14:textId="77777777" w:rsidR="0053310B" w:rsidRDefault="00000000">
            <w:r>
              <w:rPr>
                <w:rFonts w:ascii="Courier New" w:eastAsia="Courier New" w:hAnsi="Courier New" w:cs="Courier New"/>
                <w:color w:val="D4D4D4"/>
                <w:sz w:val="18"/>
                <w:szCs w:val="18"/>
              </w:rPr>
              <w:t>Content-Type: application/problem+json</w:t>
            </w:r>
          </w:p>
          <w:p w14:paraId="2D1EC6E3" w14:textId="77777777" w:rsidR="0053310B" w:rsidRDefault="0053310B"/>
          <w:p w14:paraId="10C0CA49" w14:textId="77777777" w:rsidR="0053310B" w:rsidRDefault="00000000">
            <w:r>
              <w:rPr>
                <w:rFonts w:ascii="Courier New" w:eastAsia="Courier New" w:hAnsi="Courier New" w:cs="Courier New"/>
                <w:color w:val="D4D4D4"/>
                <w:sz w:val="18"/>
                <w:szCs w:val="18"/>
              </w:rPr>
              <w:t>{</w:t>
            </w:r>
          </w:p>
          <w:p w14:paraId="4F1D0180" w14:textId="77777777" w:rsidR="0053310B" w:rsidRDefault="00000000">
            <w:r>
              <w:rPr>
                <w:rFonts w:ascii="Courier New" w:eastAsia="Courier New" w:hAnsi="Courier New" w:cs="Courier New"/>
                <w:color w:val="D4D4D4"/>
                <w:sz w:val="18"/>
                <w:szCs w:val="18"/>
              </w:rPr>
              <w:t xml:space="preserve">  "type": "https://api.edienergy.de/problems/malo-not-found",</w:t>
            </w:r>
          </w:p>
          <w:p w14:paraId="26CF6112" w14:textId="77777777" w:rsidR="0053310B" w:rsidRDefault="00000000">
            <w:r>
              <w:rPr>
                <w:rFonts w:ascii="Courier New" w:eastAsia="Courier New" w:hAnsi="Courier New" w:cs="Courier New"/>
                <w:color w:val="D4D4D4"/>
                <w:sz w:val="18"/>
                <w:szCs w:val="18"/>
              </w:rPr>
              <w:t xml:space="preserve">  "title": "Marktlokation nicht gefunden",</w:t>
            </w:r>
          </w:p>
          <w:p w14:paraId="7CCBB3A5" w14:textId="77777777" w:rsidR="0053310B" w:rsidRDefault="00000000">
            <w:r>
              <w:rPr>
                <w:rFonts w:ascii="Courier New" w:eastAsia="Courier New" w:hAnsi="Courier New" w:cs="Courier New"/>
                <w:color w:val="D4D4D4"/>
                <w:sz w:val="18"/>
                <w:szCs w:val="18"/>
              </w:rPr>
              <w:t xml:space="preserve">  "status": 404,</w:t>
            </w:r>
          </w:p>
          <w:p w14:paraId="2DB7C56B" w14:textId="77777777" w:rsidR="0053310B" w:rsidRDefault="00000000">
            <w:r>
              <w:rPr>
                <w:rFonts w:ascii="Courier New" w:eastAsia="Courier New" w:hAnsi="Courier New" w:cs="Courier New"/>
                <w:color w:val="D4D4D4"/>
                <w:sz w:val="18"/>
                <w:szCs w:val="18"/>
              </w:rPr>
              <w:t xml:space="preserve">  "detail": "Keine Marktlokation unter der angegebenen Adresse identifizierbar.",</w:t>
            </w:r>
          </w:p>
          <w:p w14:paraId="7E1D52BD" w14:textId="77777777" w:rsidR="0053310B" w:rsidRDefault="00000000">
            <w:r>
              <w:rPr>
                <w:rFonts w:ascii="Courier New" w:eastAsia="Courier New" w:hAnsi="Courier New" w:cs="Courier New"/>
                <w:color w:val="D4D4D4"/>
                <w:sz w:val="18"/>
                <w:szCs w:val="18"/>
              </w:rPr>
              <w:t xml:space="preserve">  "instance": "/maloId/request",</w:t>
            </w:r>
          </w:p>
          <w:p w14:paraId="45FC17B1" w14:textId="77777777" w:rsidR="0053310B" w:rsidRDefault="00000000">
            <w:r>
              <w:rPr>
                <w:rFonts w:ascii="Courier New" w:eastAsia="Courier New" w:hAnsi="Courier New" w:cs="Courier New"/>
                <w:color w:val="D4D4D4"/>
                <w:sz w:val="18"/>
                <w:szCs w:val="18"/>
              </w:rPr>
              <w:t xml:space="preserve">  "responseCode": "A10",</w:t>
            </w:r>
          </w:p>
          <w:p w14:paraId="7325C507" w14:textId="77777777" w:rsidR="0053310B" w:rsidRDefault="00000000">
            <w:r>
              <w:rPr>
                <w:rFonts w:ascii="Courier New" w:eastAsia="Courier New" w:hAnsi="Courier New" w:cs="Courier New"/>
                <w:color w:val="D4D4D4"/>
                <w:sz w:val="18"/>
                <w:szCs w:val="18"/>
              </w:rPr>
              <w:t xml:space="preserve">  "traceId": "0af7651916cd43dd8448eb211c80319c"</w:t>
            </w:r>
          </w:p>
          <w:p w14:paraId="0B0494AF" w14:textId="77777777" w:rsidR="0053310B" w:rsidRDefault="00000000">
            <w:r>
              <w:rPr>
                <w:rFonts w:ascii="Courier New" w:eastAsia="Courier New" w:hAnsi="Courier New" w:cs="Courier New"/>
                <w:color w:val="D4D4D4"/>
                <w:sz w:val="18"/>
                <w:szCs w:val="18"/>
              </w:rPr>
              <w:lastRenderedPageBreak/>
              <w:t>}</w:t>
            </w:r>
          </w:p>
        </w:tc>
      </w:tr>
    </w:tbl>
    <w:p w14:paraId="32291DD0" w14:textId="77777777" w:rsidR="0053310B" w:rsidRDefault="00000000">
      <w:pPr>
        <w:pStyle w:val="berschrift2"/>
      </w:pPr>
      <w:r>
        <w:rPr>
          <w:color w:val="1A3A5C"/>
        </w:rPr>
        <w:lastRenderedPageBreak/>
        <w:t>3.4 Das asynchrone Callback-Pattern: RFC 8030 und OpenAPI Webhooks</w:t>
      </w:r>
    </w:p>
    <w:p w14:paraId="6E697393" w14:textId="77777777" w:rsidR="0053310B" w:rsidRDefault="00000000">
      <w:pPr>
        <w:spacing w:before="100" w:after="100"/>
        <w:jc w:val="both"/>
      </w:pPr>
      <w:r>
        <w:t>Falls das asynchrone Muster – Anfrage und Rückmeldung über separate HTTP-Calls – aus fachlichen Gründen beibehalten werden soll, gibt es hierfür etablierte Standards:</w:t>
      </w:r>
    </w:p>
    <w:p w14:paraId="5E83C563" w14:textId="77777777" w:rsidR="0053310B" w:rsidRDefault="00000000">
      <w:pPr>
        <w:pStyle w:val="Listenabsatz"/>
        <w:numPr>
          <w:ilvl w:val="0"/>
          <w:numId w:val="2"/>
        </w:numPr>
        <w:spacing w:before="60" w:after="60"/>
      </w:pPr>
      <w:r>
        <w:rPr>
          <w:b/>
          <w:bCs/>
        </w:rPr>
        <w:t xml:space="preserve">RFC 8030 (Generic Event Delivery Using HTTP Push): </w:t>
      </w:r>
      <w:r>
        <w:t>Definiert Push-Delivery-Mechanismus. Der Anfragesteller registriert einen Callback-Endpunkt, der Server liefert dort das Ergebnis.</w:t>
      </w:r>
    </w:p>
    <w:p w14:paraId="003851E4" w14:textId="77777777" w:rsidR="0053310B" w:rsidRDefault="00000000">
      <w:pPr>
        <w:pStyle w:val="Listenabsatz"/>
        <w:numPr>
          <w:ilvl w:val="0"/>
          <w:numId w:val="2"/>
        </w:numPr>
        <w:spacing w:before="60" w:after="60"/>
      </w:pPr>
      <w:r>
        <w:rPr>
          <w:b/>
          <w:bCs/>
        </w:rPr>
        <w:t xml:space="preserve">OpenAPI 3.x Webhooks/Callbacks: </w:t>
      </w:r>
      <w:r>
        <w:t>Definiert Callback-Muster direkt in der API-Spezifikation, maschinell verständlich.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6E3FF2F7" w14:textId="77777777">
        <w:tblPrEx>
          <w:tblCellMar>
            <w:top w:w="0" w:type="dxa"/>
            <w:bottom w:w="0" w:type="dxa"/>
          </w:tblCellMar>
        </w:tblPrEx>
        <w:tc>
          <w:tcPr>
            <w:tcW w:w="9026" w:type="dxa"/>
            <w:tcBorders>
              <w:top w:val="single" w:sz="4" w:space="0" w:color="BBBBBB"/>
              <w:left w:val="single" w:sz="4" w:space="0" w:color="BBBBBB"/>
              <w:bottom w:val="single" w:sz="4" w:space="0" w:color="BBBBBB"/>
              <w:right w:val="single" w:sz="4" w:space="0" w:color="BBBBBB"/>
            </w:tcBorders>
            <w:shd w:val="clear" w:color="auto" w:fill="1E1E1E"/>
            <w:tcMar>
              <w:top w:w="120" w:type="dxa"/>
              <w:left w:w="200" w:type="dxa"/>
              <w:bottom w:w="120" w:type="dxa"/>
              <w:right w:w="200" w:type="dxa"/>
            </w:tcMar>
          </w:tcPr>
          <w:p w14:paraId="0BAA5306" w14:textId="77777777" w:rsidR="0053310B" w:rsidRDefault="00000000">
            <w:r>
              <w:rPr>
                <w:rFonts w:ascii="Courier New" w:eastAsia="Courier New" w:hAnsi="Courier New" w:cs="Courier New"/>
                <w:color w:val="D4D4D4"/>
                <w:sz w:val="18"/>
                <w:szCs w:val="18"/>
              </w:rPr>
              <w:t># OpenAPI 3.x – korrekte Callback-Definition</w:t>
            </w:r>
          </w:p>
          <w:p w14:paraId="203FD3B1" w14:textId="77777777" w:rsidR="0053310B" w:rsidRDefault="00000000">
            <w:r>
              <w:rPr>
                <w:rFonts w:ascii="Courier New" w:eastAsia="Courier New" w:hAnsi="Courier New" w:cs="Courier New"/>
                <w:color w:val="D4D4D4"/>
                <w:sz w:val="18"/>
                <w:szCs w:val="18"/>
              </w:rPr>
              <w:t>paths:</w:t>
            </w:r>
          </w:p>
          <w:p w14:paraId="4BA8EC3B" w14:textId="77777777" w:rsidR="0053310B" w:rsidRDefault="00000000">
            <w:r>
              <w:rPr>
                <w:rFonts w:ascii="Courier New" w:eastAsia="Courier New" w:hAnsi="Courier New" w:cs="Courier New"/>
                <w:color w:val="D4D4D4"/>
                <w:sz w:val="18"/>
                <w:szCs w:val="18"/>
              </w:rPr>
              <w:t xml:space="preserve">  /maloId/request:</w:t>
            </w:r>
          </w:p>
          <w:p w14:paraId="2A7B7435" w14:textId="77777777" w:rsidR="0053310B" w:rsidRDefault="00000000">
            <w:r>
              <w:rPr>
                <w:rFonts w:ascii="Courier New" w:eastAsia="Courier New" w:hAnsi="Courier New" w:cs="Courier New"/>
                <w:color w:val="D4D4D4"/>
                <w:sz w:val="18"/>
                <w:szCs w:val="18"/>
              </w:rPr>
              <w:t xml:space="preserve">    post:</w:t>
            </w:r>
          </w:p>
          <w:p w14:paraId="5D25CC1A" w14:textId="77777777" w:rsidR="0053310B" w:rsidRDefault="00000000">
            <w:r>
              <w:rPr>
                <w:rFonts w:ascii="Courier New" w:eastAsia="Courier New" w:hAnsi="Courier New" w:cs="Courier New"/>
                <w:color w:val="D4D4D4"/>
                <w:sz w:val="18"/>
                <w:szCs w:val="18"/>
              </w:rPr>
              <w:t xml:space="preserve">      requestBody:</w:t>
            </w:r>
          </w:p>
          <w:p w14:paraId="0E13D9CA" w14:textId="77777777" w:rsidR="0053310B" w:rsidRDefault="00000000">
            <w:r>
              <w:rPr>
                <w:rFonts w:ascii="Courier New" w:eastAsia="Courier New" w:hAnsi="Courier New" w:cs="Courier New"/>
                <w:color w:val="D4D4D4"/>
                <w:sz w:val="18"/>
                <w:szCs w:val="18"/>
              </w:rPr>
              <w:t xml:space="preserve">        content:</w:t>
            </w:r>
          </w:p>
          <w:p w14:paraId="2A96D3C8" w14:textId="77777777" w:rsidR="0053310B" w:rsidRDefault="00000000">
            <w:r>
              <w:rPr>
                <w:rFonts w:ascii="Courier New" w:eastAsia="Courier New" w:hAnsi="Courier New" w:cs="Courier New"/>
                <w:color w:val="D4D4D4"/>
                <w:sz w:val="18"/>
                <w:szCs w:val="18"/>
              </w:rPr>
              <w:t xml:space="preserve">          application/json:</w:t>
            </w:r>
          </w:p>
          <w:p w14:paraId="77475860" w14:textId="77777777" w:rsidR="0053310B" w:rsidRDefault="00000000">
            <w:r>
              <w:rPr>
                <w:rFonts w:ascii="Courier New" w:eastAsia="Courier New" w:hAnsi="Courier New" w:cs="Courier New"/>
                <w:color w:val="D4D4D4"/>
                <w:sz w:val="18"/>
                <w:szCs w:val="18"/>
              </w:rPr>
              <w:t xml:space="preserve">            schema:</w:t>
            </w:r>
          </w:p>
          <w:p w14:paraId="071647F9" w14:textId="77777777" w:rsidR="0053310B" w:rsidRDefault="00000000">
            <w:r>
              <w:rPr>
                <w:rFonts w:ascii="Courier New" w:eastAsia="Courier New" w:hAnsi="Courier New" w:cs="Courier New"/>
                <w:color w:val="D4D4D4"/>
                <w:sz w:val="18"/>
                <w:szCs w:val="18"/>
              </w:rPr>
              <w:t xml:space="preserve">              $ref: '#/components/schemas/MaloIdentRequest'</w:t>
            </w:r>
          </w:p>
          <w:p w14:paraId="7CD3E0EA" w14:textId="77777777" w:rsidR="0053310B" w:rsidRDefault="00000000">
            <w:r>
              <w:rPr>
                <w:rFonts w:ascii="Courier New" w:eastAsia="Courier New" w:hAnsi="Courier New" w:cs="Courier New"/>
                <w:color w:val="D4D4D4"/>
                <w:sz w:val="18"/>
                <w:szCs w:val="18"/>
              </w:rPr>
              <w:t xml:space="preserve">      callbacks:</w:t>
            </w:r>
          </w:p>
          <w:p w14:paraId="67685975" w14:textId="77777777" w:rsidR="0053310B" w:rsidRDefault="00000000">
            <w:r>
              <w:rPr>
                <w:rFonts w:ascii="Courier New" w:eastAsia="Courier New" w:hAnsi="Courier New" w:cs="Courier New"/>
                <w:color w:val="D4D4D4"/>
                <w:sz w:val="18"/>
                <w:szCs w:val="18"/>
              </w:rPr>
              <w:t xml:space="preserve">        maloIdentResult:</w:t>
            </w:r>
          </w:p>
          <w:p w14:paraId="293CBF70" w14:textId="77777777" w:rsidR="0053310B" w:rsidRDefault="00000000">
            <w:r>
              <w:rPr>
                <w:rFonts w:ascii="Courier New" w:eastAsia="Courier New" w:hAnsi="Courier New" w:cs="Courier New"/>
                <w:color w:val="D4D4D4"/>
                <w:sz w:val="18"/>
                <w:szCs w:val="18"/>
              </w:rPr>
              <w:t xml:space="preserve">          '{$request.body#/callbackUrl}':</w:t>
            </w:r>
          </w:p>
          <w:p w14:paraId="1A88EEAD" w14:textId="77777777" w:rsidR="0053310B" w:rsidRDefault="00000000">
            <w:r>
              <w:rPr>
                <w:rFonts w:ascii="Courier New" w:eastAsia="Courier New" w:hAnsi="Courier New" w:cs="Courier New"/>
                <w:color w:val="D4D4D4"/>
                <w:sz w:val="18"/>
                <w:szCs w:val="18"/>
              </w:rPr>
              <w:t xml:space="preserve">            post:</w:t>
            </w:r>
          </w:p>
          <w:p w14:paraId="1239252A" w14:textId="77777777" w:rsidR="0053310B" w:rsidRDefault="00000000">
            <w:r>
              <w:rPr>
                <w:rFonts w:ascii="Courier New" w:eastAsia="Courier New" w:hAnsi="Courier New" w:cs="Courier New"/>
                <w:color w:val="D4D4D4"/>
                <w:sz w:val="18"/>
                <w:szCs w:val="18"/>
              </w:rPr>
              <w:t xml:space="preserve">              requestBody:</w:t>
            </w:r>
          </w:p>
          <w:p w14:paraId="35536638" w14:textId="77777777" w:rsidR="0053310B" w:rsidRDefault="00000000">
            <w:r>
              <w:rPr>
                <w:rFonts w:ascii="Courier New" w:eastAsia="Courier New" w:hAnsi="Courier New" w:cs="Courier New"/>
                <w:color w:val="D4D4D4"/>
                <w:sz w:val="18"/>
                <w:szCs w:val="18"/>
              </w:rPr>
              <w:t xml:space="preserve">                content:</w:t>
            </w:r>
          </w:p>
          <w:p w14:paraId="5B854164" w14:textId="77777777" w:rsidR="0053310B" w:rsidRDefault="00000000">
            <w:r>
              <w:rPr>
                <w:rFonts w:ascii="Courier New" w:eastAsia="Courier New" w:hAnsi="Courier New" w:cs="Courier New"/>
                <w:color w:val="D4D4D4"/>
                <w:sz w:val="18"/>
                <w:szCs w:val="18"/>
              </w:rPr>
              <w:t xml:space="preserve">                  application/json:</w:t>
            </w:r>
          </w:p>
          <w:p w14:paraId="222A8B5F" w14:textId="77777777" w:rsidR="0053310B" w:rsidRDefault="00000000">
            <w:r>
              <w:rPr>
                <w:rFonts w:ascii="Courier New" w:eastAsia="Courier New" w:hAnsi="Courier New" w:cs="Courier New"/>
                <w:color w:val="D4D4D4"/>
                <w:sz w:val="18"/>
                <w:szCs w:val="18"/>
              </w:rPr>
              <w:t xml:space="preserve">                    schema:</w:t>
            </w:r>
          </w:p>
          <w:p w14:paraId="55318085" w14:textId="77777777" w:rsidR="0053310B" w:rsidRDefault="00000000">
            <w:r>
              <w:rPr>
                <w:rFonts w:ascii="Courier New" w:eastAsia="Courier New" w:hAnsi="Courier New" w:cs="Courier New"/>
                <w:color w:val="D4D4D4"/>
                <w:sz w:val="18"/>
                <w:szCs w:val="18"/>
              </w:rPr>
              <w:t xml:space="preserve">                      oneOf:</w:t>
            </w:r>
          </w:p>
          <w:p w14:paraId="671C5351" w14:textId="77777777" w:rsidR="0053310B" w:rsidRDefault="00000000">
            <w:r>
              <w:rPr>
                <w:rFonts w:ascii="Courier New" w:eastAsia="Courier New" w:hAnsi="Courier New" w:cs="Courier New"/>
                <w:color w:val="D4D4D4"/>
                <w:sz w:val="18"/>
                <w:szCs w:val="18"/>
              </w:rPr>
              <w:t xml:space="preserve">                        - $ref: '#/components/schemas/MaloIdentSuccess'</w:t>
            </w:r>
          </w:p>
          <w:p w14:paraId="44B544EF" w14:textId="77777777" w:rsidR="0053310B" w:rsidRDefault="00000000">
            <w:r>
              <w:rPr>
                <w:rFonts w:ascii="Courier New" w:eastAsia="Courier New" w:hAnsi="Courier New" w:cs="Courier New"/>
                <w:color w:val="D4D4D4"/>
                <w:sz w:val="18"/>
                <w:szCs w:val="18"/>
              </w:rPr>
              <w:t xml:space="preserve">                        - $ref: '#/components/schemas/MaloIdentError'</w:t>
            </w:r>
          </w:p>
          <w:p w14:paraId="79225DFC" w14:textId="77777777" w:rsidR="0053310B" w:rsidRDefault="00000000">
            <w:r>
              <w:rPr>
                <w:rFonts w:ascii="Courier New" w:eastAsia="Courier New" w:hAnsi="Courier New" w:cs="Courier New"/>
                <w:color w:val="D4D4D4"/>
                <w:sz w:val="18"/>
                <w:szCs w:val="18"/>
              </w:rPr>
              <w:t xml:space="preserve">              responses:</w:t>
            </w:r>
          </w:p>
          <w:p w14:paraId="367C9298" w14:textId="77777777" w:rsidR="0053310B" w:rsidRDefault="00000000">
            <w:r>
              <w:rPr>
                <w:rFonts w:ascii="Courier New" w:eastAsia="Courier New" w:hAnsi="Courier New" w:cs="Courier New"/>
                <w:color w:val="D4D4D4"/>
                <w:sz w:val="18"/>
                <w:szCs w:val="18"/>
              </w:rPr>
              <w:t xml:space="preserve">                '200':</w:t>
            </w:r>
          </w:p>
          <w:p w14:paraId="6410A968" w14:textId="77777777" w:rsidR="0053310B" w:rsidRDefault="00000000">
            <w:r>
              <w:rPr>
                <w:rFonts w:ascii="Courier New" w:eastAsia="Courier New" w:hAnsi="Courier New" w:cs="Courier New"/>
                <w:color w:val="D4D4D4"/>
                <w:sz w:val="18"/>
                <w:szCs w:val="18"/>
              </w:rPr>
              <w:t xml:space="preserve">                  description: Callback erfolgreich empfangen</w:t>
            </w:r>
          </w:p>
        </w:tc>
      </w:tr>
    </w:tbl>
    <w:p w14:paraId="2658D50F" w14:textId="77777777" w:rsidR="0053310B" w:rsidRDefault="0053310B">
      <w:pPr>
        <w:spacing w:before="80"/>
      </w:pPr>
    </w:p>
    <w:p w14:paraId="38F26682" w14:textId="77777777" w:rsidR="0053310B" w:rsidRDefault="00000000">
      <w:pPr>
        <w:spacing w:before="100" w:after="100"/>
        <w:jc w:val="both"/>
      </w:pPr>
      <w:r>
        <w:t xml:space="preserve">Entscheidend: Die Trennung in </w:t>
      </w:r>
      <w:r>
        <w:rPr>
          <w:rFonts w:ascii="Courier New" w:eastAsia="Courier New" w:hAnsi="Courier New" w:cs="Courier New"/>
          <w:color w:val="2E4057"/>
          <w:sz w:val="20"/>
          <w:szCs w:val="20"/>
        </w:rPr>
        <w:t>Positive</w:t>
      </w:r>
      <w:r>
        <w:t xml:space="preserve"> und </w:t>
      </w:r>
      <w:r>
        <w:rPr>
          <w:rFonts w:ascii="Courier New" w:eastAsia="Courier New" w:hAnsi="Courier New" w:cs="Courier New"/>
          <w:color w:val="2E4057"/>
          <w:sz w:val="20"/>
          <w:szCs w:val="20"/>
        </w:rPr>
        <w:t>Negative</w:t>
      </w:r>
      <w:r>
        <w:t xml:space="preserve"> als separate Endpunkte ist nicht notwendig. Ein einziger Callback-Endpunkt empfängt beide Ergebnistypen, unterschieden durch HTTP-Statuscode und RFC 9457 Problem Details.</w:t>
      </w:r>
    </w:p>
    <w:p w14:paraId="46535CB2" w14:textId="77777777" w:rsidR="0053310B" w:rsidRDefault="00000000">
      <w:r>
        <w:br w:type="page"/>
      </w:r>
    </w:p>
    <w:p w14:paraId="0717FFD8" w14:textId="77777777" w:rsidR="0053310B" w:rsidRDefault="00000000">
      <w:pPr>
        <w:pStyle w:val="berschrift1"/>
      </w:pPr>
      <w:r>
        <w:lastRenderedPageBreak/>
        <w:t>4. RFC-Fehlerkorrektur in der API-Guideline v1.0a</w:t>
      </w:r>
    </w:p>
    <w:p w14:paraId="3EBEB984" w14:textId="77777777" w:rsidR="0053310B" w:rsidRDefault="0053310B">
      <w:pPr>
        <w:pBdr>
          <w:bottom w:val="single" w:sz="6" w:space="1" w:color="2E75B6"/>
        </w:pBdr>
        <w:spacing w:before="160" w:after="160"/>
      </w:pPr>
    </w:p>
    <w:p w14:paraId="35DFD1B3" w14:textId="77777777" w:rsidR="0053310B" w:rsidRDefault="00000000">
      <w:pPr>
        <w:spacing w:before="100" w:after="100"/>
        <w:jc w:val="both"/>
      </w:pPr>
      <w:r>
        <w:t>Die API-Guideline v1.0a enthält mehrere fehlerhafte oder veraltete RFC-Referenzen: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263"/>
        <w:gridCol w:w="2263"/>
        <w:gridCol w:w="2237"/>
      </w:tblGrid>
      <w:tr w:rsidR="0053310B" w14:paraId="6D231D5F" w14:textId="77777777">
        <w:tblPrEx>
          <w:tblCellMar>
            <w:top w:w="0" w:type="dxa"/>
            <w:bottom w:w="0" w:type="dxa"/>
          </w:tblCellMar>
        </w:tblPrEx>
        <w:trPr>
          <w:tblHeader/>
        </w:trPr>
        <w:tc>
          <w:tcPr>
            <w:tcW w:w="2263"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667C8436" w14:textId="77777777" w:rsidR="0053310B" w:rsidRDefault="00000000">
            <w:pPr>
              <w:spacing w:before="100" w:after="100"/>
              <w:jc w:val="both"/>
            </w:pPr>
            <w:r>
              <w:rPr>
                <w:b/>
                <w:bCs/>
                <w:color w:val="FFFFFF"/>
                <w:sz w:val="20"/>
                <w:szCs w:val="20"/>
              </w:rPr>
              <w:t>Dokument / Abschnitt</w:t>
            </w:r>
          </w:p>
        </w:tc>
        <w:tc>
          <w:tcPr>
            <w:tcW w:w="2263"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51E8F0B2" w14:textId="77777777" w:rsidR="0053310B" w:rsidRDefault="00000000">
            <w:pPr>
              <w:spacing w:before="100" w:after="100"/>
              <w:jc w:val="both"/>
            </w:pPr>
            <w:r>
              <w:rPr>
                <w:b/>
                <w:bCs/>
                <w:color w:val="FFFFFF"/>
                <w:sz w:val="20"/>
                <w:szCs w:val="20"/>
              </w:rPr>
              <w:t>Verwendete Referenz</w:t>
            </w:r>
          </w:p>
        </w:tc>
        <w:tc>
          <w:tcPr>
            <w:tcW w:w="2263"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7066B7C6" w14:textId="77777777" w:rsidR="0053310B" w:rsidRDefault="00000000">
            <w:pPr>
              <w:spacing w:before="100" w:after="100"/>
              <w:jc w:val="both"/>
            </w:pPr>
            <w:r>
              <w:rPr>
                <w:b/>
                <w:bCs/>
                <w:color w:val="FFFFFF"/>
                <w:sz w:val="20"/>
                <w:szCs w:val="20"/>
              </w:rPr>
              <w:t>Fehler / Status</w:t>
            </w:r>
          </w:p>
        </w:tc>
        <w:tc>
          <w:tcPr>
            <w:tcW w:w="2237"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2FA52257" w14:textId="77777777" w:rsidR="0053310B" w:rsidRDefault="00000000">
            <w:pPr>
              <w:spacing w:before="100" w:after="100"/>
              <w:jc w:val="both"/>
            </w:pPr>
            <w:r>
              <w:rPr>
                <w:b/>
                <w:bCs/>
                <w:color w:val="FFFFFF"/>
                <w:sz w:val="20"/>
                <w:szCs w:val="20"/>
              </w:rPr>
              <w:t>Korrekte Referenz</w:t>
            </w:r>
          </w:p>
        </w:tc>
      </w:tr>
      <w:tr w:rsidR="0053310B" w14:paraId="677EBE08" w14:textId="77777777">
        <w:tblPrEx>
          <w:tblCellMar>
            <w:top w:w="0" w:type="dxa"/>
            <w:bottom w:w="0" w:type="dxa"/>
          </w:tblCellMar>
        </w:tblPrEx>
        <w:tc>
          <w:tcPr>
            <w:tcW w:w="226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72AC76F" w14:textId="77777777" w:rsidR="0053310B" w:rsidRDefault="00000000">
            <w:pPr>
              <w:spacing w:before="100" w:after="100"/>
              <w:jc w:val="both"/>
            </w:pPr>
            <w:r>
              <w:t>Guideline §3.1.4 URL-Länge</w:t>
            </w:r>
          </w:p>
        </w:tc>
        <w:tc>
          <w:tcPr>
            <w:tcW w:w="2263"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3F31EC54" w14:textId="77777777" w:rsidR="0053310B" w:rsidRDefault="00000000">
            <w:pPr>
              <w:spacing w:before="100" w:after="100"/>
              <w:jc w:val="both"/>
            </w:pPr>
            <w:r>
              <w:rPr>
                <w:color w:val="C0392B"/>
              </w:rPr>
              <w:t>RFC 7230 §3.1.1</w:t>
            </w:r>
          </w:p>
        </w:tc>
        <w:tc>
          <w:tcPr>
            <w:tcW w:w="2263"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794427DB" w14:textId="77777777" w:rsidR="0053310B" w:rsidRDefault="00000000">
            <w:pPr>
              <w:spacing w:before="100" w:after="100"/>
              <w:jc w:val="both"/>
            </w:pPr>
            <w:r>
              <w:rPr>
                <w:color w:val="C0392B"/>
              </w:rPr>
              <w:t>Obsoleted durch RFC 9112 (Juni 2022)</w:t>
            </w:r>
          </w:p>
        </w:tc>
        <w:tc>
          <w:tcPr>
            <w:tcW w:w="2237" w:type="dxa"/>
            <w:tcBorders>
              <w:top w:val="single" w:sz="4" w:space="0" w:color="BBBBBB"/>
              <w:left w:val="single" w:sz="4" w:space="0" w:color="BBBBBB"/>
              <w:bottom w:val="single" w:sz="4" w:space="0" w:color="BBBBBB"/>
              <w:right w:val="single" w:sz="4" w:space="0" w:color="BBBBBB"/>
            </w:tcBorders>
            <w:shd w:val="clear" w:color="auto" w:fill="E8F8E8"/>
            <w:tcMar>
              <w:top w:w="80" w:type="dxa"/>
              <w:left w:w="120" w:type="dxa"/>
              <w:bottom w:w="80" w:type="dxa"/>
              <w:right w:w="120" w:type="dxa"/>
            </w:tcMar>
          </w:tcPr>
          <w:p w14:paraId="46B9F87D" w14:textId="77777777" w:rsidR="0053310B" w:rsidRDefault="00000000">
            <w:pPr>
              <w:spacing w:before="100" w:after="100"/>
              <w:jc w:val="both"/>
            </w:pPr>
            <w:r>
              <w:rPr>
                <w:color w:val="1E8449"/>
              </w:rPr>
              <w:t>RFC 9112 §3 (HTTP/1.1 Syntax)</w:t>
            </w:r>
          </w:p>
        </w:tc>
      </w:tr>
      <w:tr w:rsidR="0053310B" w14:paraId="0FD7E44D" w14:textId="77777777">
        <w:tblPrEx>
          <w:tblCellMar>
            <w:top w:w="0" w:type="dxa"/>
            <w:bottom w:w="0" w:type="dxa"/>
          </w:tblCellMar>
        </w:tblPrEx>
        <w:tc>
          <w:tcPr>
            <w:tcW w:w="226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44D24F5" w14:textId="77777777" w:rsidR="0053310B" w:rsidRDefault="00000000">
            <w:pPr>
              <w:spacing w:before="100" w:after="100"/>
              <w:jc w:val="both"/>
            </w:pPr>
            <w:r>
              <w:t>OpenAPI-Spec: transactionId format</w:t>
            </w:r>
          </w:p>
        </w:tc>
        <w:tc>
          <w:tcPr>
            <w:tcW w:w="2263"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1E8F7BA2" w14:textId="77777777" w:rsidR="0053310B" w:rsidRDefault="00000000">
            <w:pPr>
              <w:spacing w:before="100" w:after="100"/>
              <w:jc w:val="both"/>
            </w:pPr>
            <w:r>
              <w:rPr>
                <w:color w:val="C0392B"/>
              </w:rPr>
              <w:t>format: UUID RFC4122 (als String-Wert im YAML)</w:t>
            </w:r>
          </w:p>
        </w:tc>
        <w:tc>
          <w:tcPr>
            <w:tcW w:w="2263"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0186CB46" w14:textId="77777777" w:rsidR="0053310B" w:rsidRDefault="00000000">
            <w:pPr>
              <w:spacing w:before="100" w:after="100"/>
              <w:jc w:val="both"/>
            </w:pPr>
            <w:r>
              <w:rPr>
                <w:color w:val="C0392B"/>
              </w:rPr>
              <w:t>OpenAPI-Format-Wert muss 'uuid' sein, nicht 'UUID RFC4122'</w:t>
            </w:r>
          </w:p>
        </w:tc>
        <w:tc>
          <w:tcPr>
            <w:tcW w:w="2237" w:type="dxa"/>
            <w:tcBorders>
              <w:top w:val="single" w:sz="4" w:space="0" w:color="BBBBBB"/>
              <w:left w:val="single" w:sz="4" w:space="0" w:color="BBBBBB"/>
              <w:bottom w:val="single" w:sz="4" w:space="0" w:color="BBBBBB"/>
              <w:right w:val="single" w:sz="4" w:space="0" w:color="BBBBBB"/>
            </w:tcBorders>
            <w:shd w:val="clear" w:color="auto" w:fill="E8F8E8"/>
            <w:tcMar>
              <w:top w:w="80" w:type="dxa"/>
              <w:left w:w="120" w:type="dxa"/>
              <w:bottom w:w="80" w:type="dxa"/>
              <w:right w:w="120" w:type="dxa"/>
            </w:tcMar>
          </w:tcPr>
          <w:p w14:paraId="2B30F29B" w14:textId="77777777" w:rsidR="0053310B" w:rsidRDefault="00000000">
            <w:pPr>
              <w:spacing w:before="100" w:after="100"/>
              <w:jc w:val="both"/>
            </w:pPr>
            <w:r>
              <w:rPr>
                <w:color w:val="1E8449"/>
              </w:rPr>
              <w:t>format: uuid (OpenAPI 3.0 §4.8, RFC 4122)</w:t>
            </w:r>
          </w:p>
        </w:tc>
      </w:tr>
      <w:tr w:rsidR="0053310B" w14:paraId="3B47E9A9" w14:textId="77777777">
        <w:tblPrEx>
          <w:tblCellMar>
            <w:top w:w="0" w:type="dxa"/>
            <w:bottom w:w="0" w:type="dxa"/>
          </w:tblCellMar>
        </w:tblPrEx>
        <w:tc>
          <w:tcPr>
            <w:tcW w:w="226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685E2198" w14:textId="77777777" w:rsidR="0053310B" w:rsidRDefault="00000000">
            <w:pPr>
              <w:spacing w:before="100" w:after="100"/>
              <w:jc w:val="both"/>
            </w:pPr>
            <w:r>
              <w:t>Guideline §3.3 byte/binary</w:t>
            </w:r>
          </w:p>
        </w:tc>
        <w:tc>
          <w:tcPr>
            <w:tcW w:w="2263" w:type="dxa"/>
            <w:tcBorders>
              <w:top w:val="single" w:sz="4" w:space="0" w:color="BBBBBB"/>
              <w:left w:val="single" w:sz="4" w:space="0" w:color="BBBBBB"/>
              <w:bottom w:val="single" w:sz="4" w:space="0" w:color="BBBBBB"/>
              <w:right w:val="single" w:sz="4" w:space="0" w:color="BBBBBB"/>
            </w:tcBorders>
            <w:shd w:val="clear" w:color="auto" w:fill="FEF9E7"/>
            <w:tcMar>
              <w:top w:w="80" w:type="dxa"/>
              <w:left w:w="120" w:type="dxa"/>
              <w:bottom w:w="80" w:type="dxa"/>
              <w:right w:w="120" w:type="dxa"/>
            </w:tcMar>
          </w:tcPr>
          <w:p w14:paraId="7E3BAE93" w14:textId="77777777" w:rsidR="0053310B" w:rsidRDefault="00000000">
            <w:pPr>
              <w:spacing w:before="100" w:after="100"/>
              <w:jc w:val="both"/>
            </w:pPr>
            <w:r>
              <w:rPr>
                <w:color w:val="E67E22"/>
              </w:rPr>
              <w:t>RFC 7493 §4.4</w:t>
            </w:r>
          </w:p>
        </w:tc>
        <w:tc>
          <w:tcPr>
            <w:tcW w:w="2263" w:type="dxa"/>
            <w:tcBorders>
              <w:top w:val="single" w:sz="4" w:space="0" w:color="BBBBBB"/>
              <w:left w:val="single" w:sz="4" w:space="0" w:color="BBBBBB"/>
              <w:bottom w:val="single" w:sz="4" w:space="0" w:color="BBBBBB"/>
              <w:right w:val="single" w:sz="4" w:space="0" w:color="BBBBBB"/>
            </w:tcBorders>
            <w:shd w:val="clear" w:color="auto" w:fill="FEF9E7"/>
            <w:tcMar>
              <w:top w:w="80" w:type="dxa"/>
              <w:left w:w="120" w:type="dxa"/>
              <w:bottom w:w="80" w:type="dxa"/>
              <w:right w:w="120" w:type="dxa"/>
            </w:tcMar>
          </w:tcPr>
          <w:p w14:paraId="52A54A91" w14:textId="77777777" w:rsidR="0053310B" w:rsidRDefault="00000000">
            <w:pPr>
              <w:spacing w:before="100" w:after="100"/>
              <w:jc w:val="both"/>
            </w:pPr>
            <w:r>
              <w:rPr>
                <w:color w:val="E67E22"/>
              </w:rPr>
              <w:t>Korrekte RFC, aber OpenAPI 3.1 präferiert JSON Schema draft-2020-12</w:t>
            </w:r>
          </w:p>
        </w:tc>
        <w:tc>
          <w:tcPr>
            <w:tcW w:w="2237" w:type="dxa"/>
            <w:tcBorders>
              <w:top w:val="single" w:sz="4" w:space="0" w:color="BBBBBB"/>
              <w:left w:val="single" w:sz="4" w:space="0" w:color="BBBBBB"/>
              <w:bottom w:val="single" w:sz="4" w:space="0" w:color="BBBBBB"/>
              <w:right w:val="single" w:sz="4" w:space="0" w:color="BBBBBB"/>
            </w:tcBorders>
            <w:shd w:val="clear" w:color="auto" w:fill="E8F8E8"/>
            <w:tcMar>
              <w:top w:w="80" w:type="dxa"/>
              <w:left w:w="120" w:type="dxa"/>
              <w:bottom w:w="80" w:type="dxa"/>
              <w:right w:w="120" w:type="dxa"/>
            </w:tcMar>
          </w:tcPr>
          <w:p w14:paraId="2A2A7E9C" w14:textId="77777777" w:rsidR="0053310B" w:rsidRDefault="00000000">
            <w:pPr>
              <w:spacing w:before="100" w:after="100"/>
              <w:jc w:val="both"/>
            </w:pPr>
            <w:r>
              <w:rPr>
                <w:color w:val="1E8449"/>
              </w:rPr>
              <w:t>RFC 4648 §5 (Base64url) bei OAS 3.1+</w:t>
            </w:r>
          </w:p>
        </w:tc>
      </w:tr>
      <w:tr w:rsidR="0053310B" w14:paraId="7998EBD0" w14:textId="77777777">
        <w:tblPrEx>
          <w:tblCellMar>
            <w:top w:w="0" w:type="dxa"/>
            <w:bottom w:w="0" w:type="dxa"/>
          </w:tblCellMar>
        </w:tblPrEx>
        <w:tc>
          <w:tcPr>
            <w:tcW w:w="2263"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50DBBAB5" w14:textId="77777777" w:rsidR="0053310B" w:rsidRDefault="00000000">
            <w:pPr>
              <w:spacing w:before="100" w:after="100"/>
              <w:jc w:val="both"/>
            </w:pPr>
            <w:r>
              <w:t>Guideline §3.3 ipv4</w:t>
            </w:r>
          </w:p>
        </w:tc>
        <w:tc>
          <w:tcPr>
            <w:tcW w:w="2263"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18968214" w14:textId="77777777" w:rsidR="0053310B" w:rsidRDefault="00000000">
            <w:pPr>
              <w:spacing w:before="100" w:after="100"/>
              <w:jc w:val="both"/>
            </w:pPr>
            <w:r>
              <w:rPr>
                <w:color w:val="C0392B"/>
              </w:rPr>
              <w:t>RFC 2673 (Link defekt: /2673 statt /rfc2673)</w:t>
            </w:r>
          </w:p>
        </w:tc>
        <w:tc>
          <w:tcPr>
            <w:tcW w:w="2263"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61090850" w14:textId="77777777" w:rsidR="0053310B" w:rsidRDefault="00000000">
            <w:pPr>
              <w:spacing w:before="100" w:after="100"/>
              <w:jc w:val="both"/>
            </w:pPr>
            <w:r>
              <w:rPr>
                <w:color w:val="C0392B"/>
              </w:rPr>
              <w:t>Defekter Link im Dokument, zudem RFC 2673 ist obsoleted</w:t>
            </w:r>
          </w:p>
        </w:tc>
        <w:tc>
          <w:tcPr>
            <w:tcW w:w="2237" w:type="dxa"/>
            <w:tcBorders>
              <w:top w:val="single" w:sz="4" w:space="0" w:color="BBBBBB"/>
              <w:left w:val="single" w:sz="4" w:space="0" w:color="BBBBBB"/>
              <w:bottom w:val="single" w:sz="4" w:space="0" w:color="BBBBBB"/>
              <w:right w:val="single" w:sz="4" w:space="0" w:color="BBBBBB"/>
            </w:tcBorders>
            <w:shd w:val="clear" w:color="auto" w:fill="E8F8E8"/>
            <w:tcMar>
              <w:top w:w="80" w:type="dxa"/>
              <w:left w:w="120" w:type="dxa"/>
              <w:bottom w:w="80" w:type="dxa"/>
              <w:right w:w="120" w:type="dxa"/>
            </w:tcMar>
          </w:tcPr>
          <w:p w14:paraId="3290D71B" w14:textId="77777777" w:rsidR="0053310B" w:rsidRDefault="00000000">
            <w:pPr>
              <w:spacing w:before="100" w:after="100"/>
              <w:jc w:val="both"/>
            </w:pPr>
            <w:r>
              <w:rPr>
                <w:color w:val="1E8449"/>
              </w:rPr>
              <w:t>RFC 791 (IPv4), RFC 4001 (inet address MIB)</w:t>
            </w:r>
          </w:p>
        </w:tc>
      </w:tr>
      <w:tr w:rsidR="0053310B" w14:paraId="328938BC" w14:textId="77777777">
        <w:tblPrEx>
          <w:tblCellMar>
            <w:top w:w="0" w:type="dxa"/>
            <w:bottom w:w="0" w:type="dxa"/>
          </w:tblCellMar>
        </w:tblPrEx>
        <w:tc>
          <w:tcPr>
            <w:tcW w:w="2263" w:type="dxa"/>
            <w:tcBorders>
              <w:top w:val="single" w:sz="4" w:space="0" w:color="BBBBBB"/>
              <w:left w:val="single" w:sz="4" w:space="0" w:color="BBBBBB"/>
              <w:bottom w:val="single" w:sz="4" w:space="0" w:color="BBBBBB"/>
              <w:right w:val="single" w:sz="4" w:space="0" w:color="BBBBBB"/>
            </w:tcBorders>
            <w:tcMar>
              <w:top w:w="80" w:type="dxa"/>
              <w:left w:w="120" w:type="dxa"/>
              <w:bottom w:w="80" w:type="dxa"/>
              <w:right w:w="120" w:type="dxa"/>
            </w:tcMar>
          </w:tcPr>
          <w:p w14:paraId="7A9B95ED" w14:textId="77777777" w:rsidR="0053310B" w:rsidRDefault="00000000">
            <w:pPr>
              <w:spacing w:before="100" w:after="100"/>
              <w:jc w:val="both"/>
            </w:pPr>
            <w:r>
              <w:t>maloIdentV1.yaml: 'format: UUID RFC4122'</w:t>
            </w:r>
          </w:p>
        </w:tc>
        <w:tc>
          <w:tcPr>
            <w:tcW w:w="2263"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3DD39F9B" w14:textId="77777777" w:rsidR="0053310B" w:rsidRDefault="00000000">
            <w:pPr>
              <w:spacing w:before="100" w:after="100"/>
              <w:jc w:val="both"/>
            </w:pPr>
            <w:r>
              <w:rPr>
                <w:color w:val="C0392B"/>
              </w:rPr>
              <w:t>Kein valider OpenAPI-Formatwert</w:t>
            </w:r>
          </w:p>
        </w:tc>
        <w:tc>
          <w:tcPr>
            <w:tcW w:w="2263"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7A9ED68C" w14:textId="77777777" w:rsidR="0053310B" w:rsidRDefault="00000000">
            <w:pPr>
              <w:spacing w:before="100" w:after="100"/>
              <w:jc w:val="both"/>
            </w:pPr>
            <w:r>
              <w:rPr>
                <w:color w:val="C0392B"/>
              </w:rPr>
              <w:t>Bricht Code-Generierung in allen OpenAPI-Tools</w:t>
            </w:r>
          </w:p>
        </w:tc>
        <w:tc>
          <w:tcPr>
            <w:tcW w:w="2237" w:type="dxa"/>
            <w:tcBorders>
              <w:top w:val="single" w:sz="4" w:space="0" w:color="BBBBBB"/>
              <w:left w:val="single" w:sz="4" w:space="0" w:color="BBBBBB"/>
              <w:bottom w:val="single" w:sz="4" w:space="0" w:color="BBBBBB"/>
              <w:right w:val="single" w:sz="4" w:space="0" w:color="BBBBBB"/>
            </w:tcBorders>
            <w:shd w:val="clear" w:color="auto" w:fill="E8F8E8"/>
            <w:tcMar>
              <w:top w:w="80" w:type="dxa"/>
              <w:left w:w="120" w:type="dxa"/>
              <w:bottom w:w="80" w:type="dxa"/>
              <w:right w:w="120" w:type="dxa"/>
            </w:tcMar>
          </w:tcPr>
          <w:p w14:paraId="3A999F83" w14:textId="77777777" w:rsidR="0053310B" w:rsidRDefault="00000000">
            <w:pPr>
              <w:spacing w:before="100" w:after="100"/>
              <w:jc w:val="both"/>
            </w:pPr>
            <w:r>
              <w:rPr>
                <w:color w:val="1E8449"/>
              </w:rPr>
              <w:t>format: uuid</w:t>
            </w:r>
          </w:p>
        </w:tc>
      </w:tr>
    </w:tbl>
    <w:p w14:paraId="55525D76" w14:textId="77777777" w:rsidR="0053310B" w:rsidRDefault="00000000">
      <w:r>
        <w:br w:type="page"/>
      </w:r>
    </w:p>
    <w:p w14:paraId="53D8578D" w14:textId="77777777" w:rsidR="0053310B" w:rsidRDefault="00000000">
      <w:pPr>
        <w:pStyle w:val="berschrift1"/>
      </w:pPr>
      <w:r>
        <w:lastRenderedPageBreak/>
        <w:t>5. Gesamtbewertung der handwerklichen Qualität</w:t>
      </w:r>
    </w:p>
    <w:p w14:paraId="2DA39457" w14:textId="77777777" w:rsidR="0053310B" w:rsidRDefault="0053310B">
      <w:pPr>
        <w:pBdr>
          <w:bottom w:val="single" w:sz="6" w:space="1" w:color="2E75B6"/>
        </w:pBdr>
        <w:spacing w:before="160" w:after="160"/>
      </w:pPr>
    </w:p>
    <w:p w14:paraId="777E9875" w14:textId="77777777" w:rsidR="0053310B" w:rsidRDefault="00000000">
      <w:pPr>
        <w:pStyle w:val="berschrift2"/>
      </w:pPr>
      <w:r>
        <w:rPr>
          <w:color w:val="1A3A5C"/>
        </w:rPr>
        <w:t>5.1 Zur Interoperabilitätskrise im Markt</w:t>
      </w:r>
    </w:p>
    <w:p w14:paraId="4EABABF3" w14:textId="77777777" w:rsidR="0053310B" w:rsidRDefault="00000000">
      <w:pPr>
        <w:spacing w:before="100" w:after="100"/>
        <w:jc w:val="both"/>
      </w:pPr>
      <w:r>
        <w:t>Die in der Präsentation 'Nutzung der transactionId, initialTransactionId und referenceId V2' (Änderungsantrag 08/12/2025) dokumentierten Interoperabilitätsprobleme sind kein Zufall. Sie sind die direkte und vorhersehbare Konsequenz einer Spezifikation, die:</w:t>
      </w:r>
    </w:p>
    <w:p w14:paraId="2AF07567" w14:textId="77777777" w:rsidR="0053310B" w:rsidRDefault="00000000">
      <w:pPr>
        <w:pStyle w:val="Listenabsatz"/>
        <w:numPr>
          <w:ilvl w:val="0"/>
          <w:numId w:val="2"/>
        </w:numPr>
        <w:spacing w:before="60" w:after="60"/>
      </w:pPr>
      <w:r>
        <w:t>Konzepte falsch benennt (Idempotenz statt Korrelation), was zu gegensätzlichen Implementierungsstrategien führt.</w:t>
      </w:r>
    </w:p>
    <w:p w14:paraId="65D4A803" w14:textId="77777777" w:rsidR="0053310B" w:rsidRDefault="00000000">
      <w:pPr>
        <w:pStyle w:val="Listenabsatz"/>
        <w:numPr>
          <w:ilvl w:val="0"/>
          <w:numId w:val="2"/>
        </w:numPr>
        <w:spacing w:before="60" w:after="60"/>
      </w:pPr>
      <w:r>
        <w:t>Mehrdeutige MUST-Anforderungen formuliert (wie die referenceId-Regel für Retry-Antworten), die zwei gleichwertige und inkompatible Interpretationen erlauben (Variante 1 und Variante 2).</w:t>
      </w:r>
    </w:p>
    <w:p w14:paraId="2A3E72C1" w14:textId="77777777" w:rsidR="0053310B" w:rsidRDefault="00000000">
      <w:pPr>
        <w:pStyle w:val="Listenabsatz"/>
        <w:numPr>
          <w:ilvl w:val="0"/>
          <w:numId w:val="2"/>
        </w:numPr>
        <w:spacing w:before="60" w:after="60"/>
      </w:pPr>
      <w:r>
        <w:t>Kein maschinenlesbares Regelwerk bereitstellt – alle Korrelationsregeln sind in Freitext, nicht in der OpenAPI-Spezifikation kodiert.</w:t>
      </w:r>
    </w:p>
    <w:p w14:paraId="38C50CA9" w14:textId="77777777" w:rsidR="0053310B" w:rsidRDefault="0053310B">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53310B" w14:paraId="248D84F4" w14:textId="77777777">
        <w:tblPrEx>
          <w:tblCellMar>
            <w:top w:w="0" w:type="dxa"/>
            <w:bottom w:w="0" w:type="dxa"/>
          </w:tblCellMar>
        </w:tblPrEx>
        <w:tc>
          <w:tcPr>
            <w:tcW w:w="9026" w:type="dxa"/>
            <w:tcBorders>
              <w:top w:val="single" w:sz="8" w:space="0" w:color="2E75B6"/>
              <w:left w:val="single" w:sz="8" w:space="0" w:color="2E75B6"/>
              <w:bottom w:val="single" w:sz="4" w:space="0" w:color="BBBBBB"/>
              <w:right w:val="single" w:sz="4" w:space="0" w:color="BBBBBB"/>
            </w:tcBorders>
            <w:shd w:val="clear" w:color="auto" w:fill="FDEDEC"/>
            <w:tcMar>
              <w:top w:w="120" w:type="dxa"/>
              <w:left w:w="200" w:type="dxa"/>
              <w:bottom w:w="120" w:type="dxa"/>
              <w:right w:w="200" w:type="dxa"/>
            </w:tcMar>
          </w:tcPr>
          <w:p w14:paraId="7A839239" w14:textId="77777777" w:rsidR="0053310B" w:rsidRDefault="00000000">
            <w:pPr>
              <w:spacing w:before="100" w:after="100"/>
              <w:jc w:val="both"/>
            </w:pPr>
            <w:r>
              <w:rPr>
                <w:i/>
                <w:iCs/>
                <w:color w:val="C0392B"/>
              </w:rPr>
              <w:t>Eine Spezifikation, die zu 'dramatischen Missverständnissen' führt und deren Fehler mit 'Die Implementierer sind zu dumm' kommentiert werden, ist keine gute Spezifikation. Es ist die Pflicht eines Standards, eindeutig, vollständig und maschinell validierbar zu sein. Schlechte Spezifikationen erzeugen schlechte Implementierungen – dieser Zusammenhang ist in der Softwareentwicklung seit Jahrzehnten empirisch belegt.</w:t>
            </w:r>
          </w:p>
        </w:tc>
      </w:tr>
    </w:tbl>
    <w:p w14:paraId="64323C03" w14:textId="77777777" w:rsidR="0053310B" w:rsidRDefault="00000000">
      <w:pPr>
        <w:pStyle w:val="berschrift2"/>
      </w:pPr>
      <w:r>
        <w:rPr>
          <w:color w:val="1A3A5C"/>
        </w:rPr>
        <w:t>5.2 Bewertungsmatrix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800"/>
        <w:gridCol w:w="3726"/>
      </w:tblGrid>
      <w:tr w:rsidR="0053310B" w14:paraId="5D56D052" w14:textId="77777777">
        <w:tblPrEx>
          <w:tblCellMar>
            <w:top w:w="0" w:type="dxa"/>
            <w:bottom w:w="0" w:type="dxa"/>
          </w:tblCellMar>
        </w:tblPrEx>
        <w:trPr>
          <w:tblHeader/>
        </w:trPr>
        <w:tc>
          <w:tcPr>
            <w:tcW w:w="3500"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763521D8" w14:textId="77777777" w:rsidR="0053310B" w:rsidRDefault="00000000">
            <w:pPr>
              <w:spacing w:before="100" w:after="100"/>
              <w:jc w:val="both"/>
            </w:pPr>
            <w:r>
              <w:rPr>
                <w:b/>
                <w:bCs/>
                <w:color w:val="FFFFFF"/>
                <w:sz w:val="20"/>
                <w:szCs w:val="20"/>
              </w:rPr>
              <w:t>Kriterium</w:t>
            </w:r>
          </w:p>
        </w:tc>
        <w:tc>
          <w:tcPr>
            <w:tcW w:w="1800"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6F6044BE" w14:textId="77777777" w:rsidR="0053310B" w:rsidRDefault="00000000">
            <w:pPr>
              <w:spacing w:before="100" w:after="100"/>
              <w:jc w:val="both"/>
            </w:pPr>
            <w:r>
              <w:rPr>
                <w:b/>
                <w:bCs/>
                <w:color w:val="FFFFFF"/>
                <w:sz w:val="20"/>
                <w:szCs w:val="20"/>
              </w:rPr>
              <w:t>Bewertung</w:t>
            </w:r>
          </w:p>
        </w:tc>
        <w:tc>
          <w:tcPr>
            <w:tcW w:w="3726" w:type="dxa"/>
            <w:tcBorders>
              <w:top w:val="single" w:sz="4" w:space="0" w:color="BBBBBB"/>
              <w:left w:val="single" w:sz="4" w:space="0" w:color="BBBBBB"/>
              <w:bottom w:val="single" w:sz="4" w:space="0" w:color="BBBBBB"/>
              <w:right w:val="single" w:sz="4" w:space="0" w:color="BBBBBB"/>
            </w:tcBorders>
            <w:shd w:val="clear" w:color="auto" w:fill="1A3A5C"/>
            <w:tcMar>
              <w:top w:w="100" w:type="dxa"/>
              <w:left w:w="120" w:type="dxa"/>
              <w:bottom w:w="100" w:type="dxa"/>
              <w:right w:w="120" w:type="dxa"/>
            </w:tcMar>
          </w:tcPr>
          <w:p w14:paraId="5B3A0ECE" w14:textId="77777777" w:rsidR="0053310B" w:rsidRDefault="00000000">
            <w:pPr>
              <w:spacing w:before="100" w:after="100"/>
              <w:jc w:val="both"/>
            </w:pPr>
            <w:r>
              <w:rPr>
                <w:b/>
                <w:bCs/>
                <w:color w:val="FFFFFF"/>
                <w:sz w:val="20"/>
                <w:szCs w:val="20"/>
              </w:rPr>
              <w:t>Befund</w:t>
            </w:r>
          </w:p>
        </w:tc>
      </w:tr>
      <w:tr w:rsidR="0053310B" w14:paraId="374D270E"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682D1AC" w14:textId="77777777" w:rsidR="0053310B" w:rsidRDefault="00000000">
            <w:pPr>
              <w:spacing w:before="100" w:after="100"/>
              <w:jc w:val="both"/>
            </w:pPr>
            <w:r>
              <w:t>RFC-Konformität</w:t>
            </w:r>
          </w:p>
        </w:tc>
        <w:tc>
          <w:tcPr>
            <w:tcW w:w="1800"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43B2A54D" w14:textId="77777777" w:rsidR="0053310B" w:rsidRDefault="00000000">
            <w:pPr>
              <w:spacing w:before="100" w:after="100"/>
              <w:jc w:val="both"/>
            </w:pPr>
            <w:r>
              <w:rPr>
                <w:b/>
                <w:bCs/>
                <w:color w:val="C0392B"/>
                <w:sz w:val="20"/>
                <w:szCs w:val="20"/>
              </w:rPr>
              <w:t>❌ Ungenügend</w:t>
            </w:r>
          </w:p>
        </w:tc>
        <w:tc>
          <w:tcPr>
            <w:tcW w:w="37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77C5171" w14:textId="77777777" w:rsidR="0053310B" w:rsidRDefault="00000000">
            <w:pPr>
              <w:spacing w:before="100" w:after="100"/>
              <w:jc w:val="both"/>
            </w:pPr>
            <w:r>
              <w:t>Veraltete RFCs, defekte Links, falsche Formatwerte</w:t>
            </w:r>
          </w:p>
        </w:tc>
      </w:tr>
      <w:tr w:rsidR="0053310B" w14:paraId="452576C7"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25E0171C" w14:textId="77777777" w:rsidR="0053310B" w:rsidRDefault="00000000">
            <w:pPr>
              <w:spacing w:before="100" w:after="100"/>
              <w:jc w:val="both"/>
            </w:pPr>
            <w:r>
              <w:t>API-Design-Reife</w:t>
            </w:r>
          </w:p>
        </w:tc>
        <w:tc>
          <w:tcPr>
            <w:tcW w:w="1800"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20E34A8A" w14:textId="77777777" w:rsidR="0053310B" w:rsidRDefault="00000000">
            <w:pPr>
              <w:spacing w:before="100" w:after="100"/>
              <w:jc w:val="both"/>
            </w:pPr>
            <w:r>
              <w:rPr>
                <w:b/>
                <w:bCs/>
                <w:color w:val="C0392B"/>
                <w:sz w:val="20"/>
                <w:szCs w:val="20"/>
              </w:rPr>
              <w:t>❌ Ungenügend</w:t>
            </w:r>
          </w:p>
        </w:tc>
        <w:tc>
          <w:tcPr>
            <w:tcW w:w="37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AF60E8" w14:textId="77777777" w:rsidR="0053310B" w:rsidRDefault="00000000">
            <w:pPr>
              <w:spacing w:before="100" w:after="100"/>
              <w:jc w:val="both"/>
            </w:pPr>
            <w:r>
              <w:t>URI-Versionierung, semantisch falsche Endpunktnamen</w:t>
            </w:r>
          </w:p>
        </w:tc>
      </w:tr>
      <w:tr w:rsidR="0053310B" w14:paraId="5B7C4CD8"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494A899B" w14:textId="77777777" w:rsidR="0053310B" w:rsidRDefault="00000000">
            <w:pPr>
              <w:spacing w:before="100" w:after="100"/>
              <w:jc w:val="both"/>
            </w:pPr>
            <w:r>
              <w:t>Konzeptionelle Korrektheit</w:t>
            </w:r>
          </w:p>
        </w:tc>
        <w:tc>
          <w:tcPr>
            <w:tcW w:w="1800"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4B8DECEE" w14:textId="77777777" w:rsidR="0053310B" w:rsidRDefault="00000000">
            <w:pPr>
              <w:spacing w:before="100" w:after="100"/>
              <w:jc w:val="both"/>
            </w:pPr>
            <w:r>
              <w:rPr>
                <w:b/>
                <w:bCs/>
                <w:color w:val="C0392B"/>
                <w:sz w:val="20"/>
                <w:szCs w:val="20"/>
              </w:rPr>
              <w:t>❌ Ungenügend</w:t>
            </w:r>
          </w:p>
        </w:tc>
        <w:tc>
          <w:tcPr>
            <w:tcW w:w="37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1EC73656" w14:textId="77777777" w:rsidR="0053310B" w:rsidRDefault="00000000">
            <w:pPr>
              <w:spacing w:before="100" w:after="100"/>
              <w:jc w:val="both"/>
            </w:pPr>
            <w:r>
              <w:t>Idempotenz-Fehlorientierung ist fundamental</w:t>
            </w:r>
          </w:p>
        </w:tc>
      </w:tr>
      <w:tr w:rsidR="0053310B" w14:paraId="534045E2"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4A9CDEDF" w14:textId="77777777" w:rsidR="0053310B" w:rsidRDefault="00000000">
            <w:pPr>
              <w:spacing w:before="100" w:after="100"/>
              <w:jc w:val="both"/>
            </w:pPr>
            <w:r>
              <w:t>Eindeutigkeit der Spezifikation</w:t>
            </w:r>
          </w:p>
        </w:tc>
        <w:tc>
          <w:tcPr>
            <w:tcW w:w="18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20" w:type="dxa"/>
              <w:bottom w:w="80" w:type="dxa"/>
              <w:right w:w="120" w:type="dxa"/>
            </w:tcMar>
          </w:tcPr>
          <w:p w14:paraId="7F1EFA22" w14:textId="77777777" w:rsidR="0053310B" w:rsidRDefault="00000000">
            <w:pPr>
              <w:spacing w:before="100" w:after="100"/>
              <w:jc w:val="both"/>
            </w:pPr>
            <w:r>
              <w:rPr>
                <w:b/>
                <w:bCs/>
                <w:color w:val="E67E22"/>
                <w:sz w:val="20"/>
                <w:szCs w:val="20"/>
              </w:rPr>
              <w:t>⚠️ Mangelhaft</w:t>
            </w:r>
          </w:p>
        </w:tc>
        <w:tc>
          <w:tcPr>
            <w:tcW w:w="37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626EE47C" w14:textId="77777777" w:rsidR="0053310B" w:rsidRDefault="00000000">
            <w:pPr>
              <w:spacing w:before="100" w:after="100"/>
              <w:jc w:val="both"/>
            </w:pPr>
            <w:r>
              <w:t>Zwei legale Implementierungen für referenceId bei Retry</w:t>
            </w:r>
          </w:p>
        </w:tc>
      </w:tr>
      <w:tr w:rsidR="0053310B" w14:paraId="11B5E5C9"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63C5CAF6" w14:textId="77777777" w:rsidR="0053310B" w:rsidRDefault="00000000">
            <w:pPr>
              <w:spacing w:before="100" w:after="100"/>
              <w:jc w:val="both"/>
            </w:pPr>
            <w:r>
              <w:t>Maschinelle Validierbarkeit</w:t>
            </w:r>
          </w:p>
        </w:tc>
        <w:tc>
          <w:tcPr>
            <w:tcW w:w="1800" w:type="dxa"/>
            <w:tcBorders>
              <w:top w:val="single" w:sz="4" w:space="0" w:color="BBBBBB"/>
              <w:left w:val="single" w:sz="4" w:space="0" w:color="BBBBBB"/>
              <w:bottom w:val="single" w:sz="4" w:space="0" w:color="BBBBBB"/>
              <w:right w:val="single" w:sz="4" w:space="0" w:color="BBBBBB"/>
            </w:tcBorders>
            <w:shd w:val="clear" w:color="auto" w:fill="FEF9E7"/>
            <w:tcMar>
              <w:top w:w="80" w:type="dxa"/>
              <w:left w:w="120" w:type="dxa"/>
              <w:bottom w:w="80" w:type="dxa"/>
              <w:right w:w="120" w:type="dxa"/>
            </w:tcMar>
          </w:tcPr>
          <w:p w14:paraId="360833BB" w14:textId="77777777" w:rsidR="0053310B" w:rsidRDefault="00000000">
            <w:pPr>
              <w:spacing w:before="100" w:after="100"/>
              <w:jc w:val="both"/>
            </w:pPr>
            <w:r>
              <w:rPr>
                <w:b/>
                <w:bCs/>
                <w:color w:val="E67E22"/>
                <w:sz w:val="20"/>
                <w:szCs w:val="20"/>
              </w:rPr>
              <w:t>⚠️ Mangelhaft</w:t>
            </w:r>
          </w:p>
        </w:tc>
        <w:tc>
          <w:tcPr>
            <w:tcW w:w="37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73B56A24" w14:textId="77777777" w:rsidR="0053310B" w:rsidRDefault="00000000">
            <w:pPr>
              <w:spacing w:before="100" w:after="100"/>
              <w:jc w:val="both"/>
            </w:pPr>
            <w:r>
              <w:t>Korrelationsregeln nur in Freitext, nicht in Schema</w:t>
            </w:r>
          </w:p>
        </w:tc>
      </w:tr>
      <w:tr w:rsidR="0053310B" w14:paraId="119F954E"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0A3D097E" w14:textId="77777777" w:rsidR="0053310B" w:rsidRDefault="00000000">
            <w:pPr>
              <w:spacing w:before="100" w:after="100"/>
              <w:jc w:val="both"/>
            </w:pPr>
            <w:r>
              <w:t>Interoperabilität im Markt</w:t>
            </w:r>
          </w:p>
        </w:tc>
        <w:tc>
          <w:tcPr>
            <w:tcW w:w="1800"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62A1E676" w14:textId="77777777" w:rsidR="0053310B" w:rsidRDefault="00000000">
            <w:pPr>
              <w:spacing w:before="100" w:after="100"/>
              <w:jc w:val="both"/>
            </w:pPr>
            <w:r>
              <w:rPr>
                <w:b/>
                <w:bCs/>
                <w:color w:val="C0392B"/>
                <w:sz w:val="20"/>
                <w:szCs w:val="20"/>
              </w:rPr>
              <w:t>❌ Ungenügend</w:t>
            </w:r>
          </w:p>
        </w:tc>
        <w:tc>
          <w:tcPr>
            <w:tcW w:w="3726" w:type="dxa"/>
            <w:tcBorders>
              <w:top w:val="single" w:sz="4" w:space="0" w:color="BBBBBB"/>
              <w:left w:val="single" w:sz="4" w:space="0" w:color="BBBBBB"/>
              <w:bottom w:val="single" w:sz="4" w:space="0" w:color="BBBBBB"/>
              <w:right w:val="single" w:sz="4" w:space="0" w:color="BBBBBB"/>
            </w:tcBorders>
            <w:shd w:val="clear" w:color="auto" w:fill="F2F2F2"/>
            <w:tcMar>
              <w:top w:w="80" w:type="dxa"/>
              <w:left w:w="120" w:type="dxa"/>
              <w:bottom w:w="80" w:type="dxa"/>
              <w:right w:w="120" w:type="dxa"/>
            </w:tcMar>
          </w:tcPr>
          <w:p w14:paraId="781325D7" w14:textId="77777777" w:rsidR="0053310B" w:rsidRDefault="00000000">
            <w:pPr>
              <w:spacing w:before="100" w:after="100"/>
              <w:jc w:val="both"/>
            </w:pPr>
            <w:r>
              <w:t>Dokumentierte Inkompatibilitäten bei allen Marktteilnehmern</w:t>
            </w:r>
          </w:p>
        </w:tc>
      </w:tr>
      <w:tr w:rsidR="0053310B" w14:paraId="106BB1AD" w14:textId="77777777">
        <w:tblPrEx>
          <w:tblCellMar>
            <w:top w:w="0" w:type="dxa"/>
            <w:bottom w:w="0" w:type="dxa"/>
          </w:tblCellMar>
        </w:tblPrEx>
        <w:tc>
          <w:tcPr>
            <w:tcW w:w="3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22F8FE7" w14:textId="77777777" w:rsidR="0053310B" w:rsidRDefault="00000000">
            <w:pPr>
              <w:spacing w:before="100" w:after="100"/>
              <w:jc w:val="both"/>
            </w:pPr>
            <w:r>
              <w:t>Eignung für KRITIS-Infrastruktur</w:t>
            </w:r>
          </w:p>
        </w:tc>
        <w:tc>
          <w:tcPr>
            <w:tcW w:w="1800" w:type="dxa"/>
            <w:tcBorders>
              <w:top w:val="single" w:sz="4" w:space="0" w:color="BBBBBB"/>
              <w:left w:val="single" w:sz="4" w:space="0" w:color="BBBBBB"/>
              <w:bottom w:val="single" w:sz="4" w:space="0" w:color="BBBBBB"/>
              <w:right w:val="single" w:sz="4" w:space="0" w:color="BBBBBB"/>
            </w:tcBorders>
            <w:shd w:val="clear" w:color="auto" w:fill="FDEDEC"/>
            <w:tcMar>
              <w:top w:w="80" w:type="dxa"/>
              <w:left w:w="120" w:type="dxa"/>
              <w:bottom w:w="80" w:type="dxa"/>
              <w:right w:w="120" w:type="dxa"/>
            </w:tcMar>
          </w:tcPr>
          <w:p w14:paraId="65B05E18" w14:textId="77777777" w:rsidR="0053310B" w:rsidRDefault="00000000">
            <w:pPr>
              <w:spacing w:before="100" w:after="100"/>
              <w:jc w:val="both"/>
            </w:pPr>
            <w:r>
              <w:rPr>
                <w:b/>
                <w:bCs/>
                <w:color w:val="C0392B"/>
                <w:sz w:val="20"/>
                <w:szCs w:val="20"/>
              </w:rPr>
              <w:t>❌ Kritisch</w:t>
            </w:r>
          </w:p>
        </w:tc>
        <w:tc>
          <w:tcPr>
            <w:tcW w:w="3726"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tcPr>
          <w:p w14:paraId="3A169C01" w14:textId="77777777" w:rsidR="0053310B" w:rsidRDefault="00000000">
            <w:pPr>
              <w:spacing w:before="100" w:after="100"/>
              <w:jc w:val="both"/>
            </w:pPr>
            <w:r>
              <w:t>Spezifikationsmängel in kritischer Infrastruktur nicht akzeptabel</w:t>
            </w:r>
          </w:p>
        </w:tc>
      </w:tr>
    </w:tbl>
    <w:p w14:paraId="0E8BEF20" w14:textId="77777777" w:rsidR="0053310B" w:rsidRDefault="00000000">
      <w:pPr>
        <w:pStyle w:val="berschrift2"/>
      </w:pPr>
      <w:r>
        <w:rPr>
          <w:color w:val="1A3A5C"/>
        </w:rPr>
        <w:lastRenderedPageBreak/>
        <w:t>5.3 Empfehlung: Einbindung unabhängiger Spezialisten</w:t>
      </w:r>
    </w:p>
    <w:p w14:paraId="296157B9" w14:textId="77777777" w:rsidR="0053310B" w:rsidRDefault="00000000">
      <w:pPr>
        <w:spacing w:before="100" w:after="100"/>
        <w:jc w:val="both"/>
      </w:pPr>
      <w:r>
        <w:t>Für eine Infrastruktur, die die Energieversorgung von 83 Millionen Menschen betrifft und über 900 Marktteilnehmer verbindet, sind die vorliegenden konzeptionellen Mängel nicht tolerierbar. Wir empfehlen dringend:</w:t>
      </w:r>
    </w:p>
    <w:p w14:paraId="166F176C" w14:textId="77777777" w:rsidR="0053310B" w:rsidRDefault="00000000">
      <w:pPr>
        <w:pStyle w:val="Listenabsatz"/>
        <w:numPr>
          <w:ilvl w:val="0"/>
          <w:numId w:val="3"/>
        </w:numPr>
        <w:spacing w:before="60" w:after="60"/>
      </w:pPr>
      <w:r>
        <w:rPr>
          <w:b/>
          <w:bCs/>
        </w:rPr>
        <w:t xml:space="preserve">Unabhängige technische Überprüfung </w:t>
      </w:r>
      <w:r>
        <w:t>der EDI@Energy API-Guideline und aller darauf basierenden OpenAPI-Spezifikationen durch ein von Marktinteressen unabhängiges Institut.</w:t>
      </w:r>
    </w:p>
    <w:p w14:paraId="3EE23B17" w14:textId="77777777" w:rsidR="0053310B" w:rsidRDefault="00000000">
      <w:pPr>
        <w:pStyle w:val="Listenabsatz"/>
        <w:numPr>
          <w:ilvl w:val="0"/>
          <w:numId w:val="3"/>
        </w:numPr>
        <w:spacing w:before="60" w:after="60"/>
      </w:pPr>
      <w:r>
        <w:rPr>
          <w:b/>
          <w:bCs/>
        </w:rPr>
        <w:t xml:space="preserve">Fraunhofer FOKUS Berlin </w:t>
      </w:r>
      <w:hyperlink r:id="rId18" w:history="1">
        <w:r>
          <w:rPr>
            <w:color w:val="2E75B6"/>
            <w:u w:val="single"/>
          </w:rPr>
          <w:t>(www.fokus.fraunhofer.de)</w:t>
        </w:r>
      </w:hyperlink>
      <w:r>
        <w:t xml:space="preserve"> verfügt über ausgewiesene Expertise in Anwendungen für kritische Infrastrukturen und öffentliche digitale Infrastruktur in Deutschland.</w:t>
      </w:r>
    </w:p>
    <w:p w14:paraId="0801A552" w14:textId="77777777" w:rsidR="0053310B" w:rsidRDefault="00000000">
      <w:pPr>
        <w:pStyle w:val="Listenabsatz"/>
        <w:numPr>
          <w:ilvl w:val="0"/>
          <w:numId w:val="3"/>
        </w:numPr>
        <w:spacing w:before="60" w:after="60"/>
      </w:pPr>
      <w:r>
        <w:rPr>
          <w:b/>
          <w:bCs/>
        </w:rPr>
        <w:t xml:space="preserve">IETF-konforme Überarbeitung: </w:t>
      </w:r>
      <w:r>
        <w:t>Alle RFC-Referenzen müssen auf aktuelle, nicht-obsolete Standards aktualisiert werden. Die Versionierungsstrategie ist auf Header-basierte Content Negotiation umzustellen.</w:t>
      </w:r>
    </w:p>
    <w:p w14:paraId="422FE499" w14:textId="77777777" w:rsidR="0053310B" w:rsidRDefault="00000000">
      <w:pPr>
        <w:pStyle w:val="Listenabsatz"/>
        <w:numPr>
          <w:ilvl w:val="0"/>
          <w:numId w:val="3"/>
        </w:numPr>
        <w:spacing w:before="60" w:after="60"/>
      </w:pPr>
      <w:r>
        <w:rPr>
          <w:b/>
          <w:bCs/>
        </w:rPr>
        <w:t xml:space="preserve">Einführung von W3C Trace Context </w:t>
      </w:r>
      <w:r>
        <w:t>als Ersatz für das proprietäre transactionId/initialTransactionId-Muster, ergänzt durch standardisierte Idempotenz-Schlüssel (</w:t>
      </w:r>
      <w:r>
        <w:rPr>
          <w:rFonts w:ascii="Courier New" w:eastAsia="Courier New" w:hAnsi="Courier New" w:cs="Courier New"/>
          <w:color w:val="2E4057"/>
          <w:sz w:val="20"/>
          <w:szCs w:val="20"/>
        </w:rPr>
        <w:t>Idempotency-Key</w:t>
      </w:r>
      <w:r>
        <w:t>) für zustandsändernde APIs.</w:t>
      </w:r>
    </w:p>
    <w:p w14:paraId="4261A90F" w14:textId="77777777" w:rsidR="0053310B" w:rsidRDefault="00000000">
      <w:pPr>
        <w:pStyle w:val="Listenabsatz"/>
        <w:numPr>
          <w:ilvl w:val="0"/>
          <w:numId w:val="3"/>
        </w:numPr>
        <w:spacing w:before="60" w:after="60"/>
      </w:pPr>
      <w:r>
        <w:rPr>
          <w:b/>
          <w:bCs/>
        </w:rPr>
        <w:t xml:space="preserve">Pilotvalidierung: </w:t>
      </w:r>
      <w:r>
        <w:t>Vor breitflächiger Einführung der MaBiS-Hub-APIs sollte ein unabhängiger API-Konformitätstest mit mindestens 10 verschiedenen Marktteilnehmern durchgeführt werden.</w:t>
      </w:r>
    </w:p>
    <w:p w14:paraId="379F785F" w14:textId="77777777" w:rsidR="0053310B" w:rsidRDefault="0053310B">
      <w:pPr>
        <w:spacing w:before="160"/>
      </w:pPr>
    </w:p>
    <w:p w14:paraId="7BD998C5" w14:textId="77777777" w:rsidR="0053310B" w:rsidRDefault="0053310B">
      <w:pPr>
        <w:pBdr>
          <w:bottom w:val="single" w:sz="6" w:space="1" w:color="2E75B6"/>
        </w:pBdr>
        <w:spacing w:before="160" w:after="160"/>
      </w:pPr>
    </w:p>
    <w:p w14:paraId="65C6A99C" w14:textId="77777777" w:rsidR="0053310B" w:rsidRDefault="00000000">
      <w:pPr>
        <w:pStyle w:val="berschrift1"/>
      </w:pPr>
      <w:r>
        <w:t>Quellen und Referenzen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26"/>
        <w:gridCol w:w="2500"/>
      </w:tblGrid>
      <w:tr w:rsidR="0053310B" w14:paraId="50A5D1AD" w14:textId="77777777">
        <w:tblPrEx>
          <w:tblCellMar>
            <w:top w:w="0" w:type="dxa"/>
            <w:bottom w:w="0" w:type="dxa"/>
          </w:tblCellMar>
        </w:tblPrEx>
        <w:trPr>
          <w:tblHeader/>
        </w:trPr>
        <w:tc>
          <w:tcPr>
            <w:tcW w:w="20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20" w:type="dxa"/>
              <w:bottom w:w="80" w:type="dxa"/>
              <w:right w:w="120" w:type="dxa"/>
            </w:tcMar>
          </w:tcPr>
          <w:p w14:paraId="1165C32E" w14:textId="77777777" w:rsidR="0053310B" w:rsidRDefault="00000000">
            <w:pPr>
              <w:spacing w:before="100" w:after="100"/>
              <w:jc w:val="both"/>
            </w:pPr>
            <w:r>
              <w:rPr>
                <w:b/>
                <w:bCs/>
                <w:color w:val="FFFFFF"/>
                <w:sz w:val="20"/>
                <w:szCs w:val="20"/>
              </w:rPr>
              <w:t>Referenz</w:t>
            </w:r>
          </w:p>
        </w:tc>
        <w:tc>
          <w:tcPr>
            <w:tcW w:w="4526" w:type="dxa"/>
            <w:tcBorders>
              <w:top w:val="single" w:sz="4" w:space="0" w:color="BBBBBB"/>
              <w:left w:val="single" w:sz="4" w:space="0" w:color="BBBBBB"/>
              <w:bottom w:val="single" w:sz="4" w:space="0" w:color="BBBBBB"/>
              <w:right w:val="single" w:sz="4" w:space="0" w:color="BBBBBB"/>
            </w:tcBorders>
            <w:shd w:val="clear" w:color="auto" w:fill="1A3A5C"/>
            <w:tcMar>
              <w:top w:w="80" w:type="dxa"/>
              <w:left w:w="120" w:type="dxa"/>
              <w:bottom w:w="80" w:type="dxa"/>
              <w:right w:w="120" w:type="dxa"/>
            </w:tcMar>
          </w:tcPr>
          <w:p w14:paraId="07FD78B5" w14:textId="77777777" w:rsidR="0053310B" w:rsidRDefault="00000000">
            <w:pPr>
              <w:spacing w:before="100" w:after="100"/>
              <w:jc w:val="both"/>
            </w:pPr>
            <w:r>
              <w:rPr>
                <w:b/>
                <w:bCs/>
                <w:color w:val="FFFFFF"/>
                <w:sz w:val="20"/>
                <w:szCs w:val="20"/>
              </w:rPr>
              <w:t>Titel</w:t>
            </w:r>
          </w:p>
        </w:tc>
        <w:tc>
          <w:tcPr>
            <w:tcW w:w="2500" w:type="dxa"/>
            <w:tcBorders>
              <w:top w:val="single" w:sz="4" w:space="0" w:color="BBBBBB"/>
              <w:left w:val="single" w:sz="4" w:space="0" w:color="BBBBBB"/>
              <w:bottom w:val="single" w:sz="4" w:space="0" w:color="BBBBBB"/>
              <w:right w:val="single" w:sz="4" w:space="0" w:color="BBBBBB"/>
            </w:tcBorders>
            <w:shd w:val="clear" w:color="auto" w:fill="1A3A5C"/>
            <w:tcMar>
              <w:top w:w="80" w:type="dxa"/>
              <w:left w:w="120" w:type="dxa"/>
              <w:bottom w:w="80" w:type="dxa"/>
              <w:right w:w="120" w:type="dxa"/>
            </w:tcMar>
          </w:tcPr>
          <w:p w14:paraId="220C65B0" w14:textId="77777777" w:rsidR="0053310B" w:rsidRDefault="00000000">
            <w:pPr>
              <w:spacing w:before="100" w:after="100"/>
              <w:jc w:val="both"/>
            </w:pPr>
            <w:r>
              <w:rPr>
                <w:b/>
                <w:bCs/>
                <w:color w:val="FFFFFF"/>
                <w:sz w:val="20"/>
                <w:szCs w:val="20"/>
              </w:rPr>
              <w:t>Link</w:t>
            </w:r>
          </w:p>
        </w:tc>
      </w:tr>
      <w:tr w:rsidR="0053310B" w14:paraId="7125378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469B14B" w14:textId="77777777" w:rsidR="0053310B" w:rsidRDefault="00000000">
            <w:pPr>
              <w:spacing w:before="100" w:after="100"/>
              <w:jc w:val="both"/>
            </w:pPr>
            <w:r>
              <w:rPr>
                <w:b/>
                <w:bCs/>
              </w:rPr>
              <w:t>RFC 3986</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5C33CBF" w14:textId="77777777" w:rsidR="0053310B" w:rsidRDefault="00000000">
            <w:pPr>
              <w:spacing w:before="100" w:after="100"/>
              <w:jc w:val="both"/>
            </w:pPr>
            <w:r>
              <w:rPr>
                <w:sz w:val="20"/>
                <w:szCs w:val="20"/>
              </w:rPr>
              <w:t>URI: Generic Syntax (Berners-Lee, 2005)</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DFE5590" w14:textId="77777777" w:rsidR="0053310B" w:rsidRDefault="00000000">
            <w:pPr>
              <w:spacing w:before="100" w:after="100"/>
              <w:jc w:val="both"/>
            </w:pPr>
            <w:hyperlink r:id="rId19" w:history="1">
              <w:r>
                <w:rPr>
                  <w:color w:val="2E75B6"/>
                  <w:u w:val="single"/>
                </w:rPr>
                <w:t>Link</w:t>
              </w:r>
            </w:hyperlink>
          </w:p>
        </w:tc>
      </w:tr>
      <w:tr w:rsidR="0053310B" w14:paraId="6960073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BD0E594" w14:textId="77777777" w:rsidR="0053310B" w:rsidRDefault="00000000">
            <w:pPr>
              <w:spacing w:before="100" w:after="100"/>
              <w:jc w:val="both"/>
            </w:pPr>
            <w:r>
              <w:rPr>
                <w:b/>
                <w:bCs/>
              </w:rPr>
              <w:t>RFC 4122</w:t>
            </w:r>
          </w:p>
        </w:tc>
        <w:tc>
          <w:tcPr>
            <w:tcW w:w="4526"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58043203" w14:textId="77777777" w:rsidR="0053310B" w:rsidRDefault="00000000">
            <w:pPr>
              <w:spacing w:before="100" w:after="100"/>
              <w:jc w:val="both"/>
            </w:pPr>
            <w:r>
              <w:rPr>
                <w:sz w:val="20"/>
                <w:szCs w:val="20"/>
              </w:rPr>
              <w:t>UUID Format (Leach et al., 2005)</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3FF6F5D" w14:textId="77777777" w:rsidR="0053310B" w:rsidRDefault="00000000">
            <w:pPr>
              <w:spacing w:before="100" w:after="100"/>
              <w:jc w:val="both"/>
            </w:pPr>
            <w:hyperlink r:id="rId20" w:history="1">
              <w:r>
                <w:rPr>
                  <w:color w:val="2E75B6"/>
                  <w:u w:val="single"/>
                </w:rPr>
                <w:t>Link</w:t>
              </w:r>
            </w:hyperlink>
          </w:p>
        </w:tc>
      </w:tr>
      <w:tr w:rsidR="0053310B" w14:paraId="4F9F71CA"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400DCC9" w14:textId="77777777" w:rsidR="0053310B" w:rsidRDefault="00000000">
            <w:pPr>
              <w:spacing w:before="100" w:after="100"/>
              <w:jc w:val="both"/>
            </w:pPr>
            <w:r>
              <w:rPr>
                <w:b/>
                <w:bCs/>
              </w:rPr>
              <w:t>RFC 4648</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022D9C5" w14:textId="77777777" w:rsidR="0053310B" w:rsidRDefault="00000000">
            <w:pPr>
              <w:spacing w:before="100" w:after="100"/>
              <w:jc w:val="both"/>
            </w:pPr>
            <w:r>
              <w:rPr>
                <w:sz w:val="20"/>
                <w:szCs w:val="20"/>
              </w:rPr>
              <w:t>Base64url Encoding (Josefsson, 2006)</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40930BB" w14:textId="77777777" w:rsidR="0053310B" w:rsidRDefault="00000000">
            <w:pPr>
              <w:spacing w:before="100" w:after="100"/>
              <w:jc w:val="both"/>
            </w:pPr>
            <w:hyperlink r:id="rId21" w:history="1">
              <w:r>
                <w:rPr>
                  <w:color w:val="2E75B6"/>
                  <w:u w:val="single"/>
                </w:rPr>
                <w:t>Link</w:t>
              </w:r>
            </w:hyperlink>
          </w:p>
        </w:tc>
      </w:tr>
      <w:tr w:rsidR="0053310B" w14:paraId="677B0B05"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2DD35E4" w14:textId="77777777" w:rsidR="0053310B" w:rsidRDefault="00000000">
            <w:pPr>
              <w:spacing w:before="100" w:after="100"/>
              <w:jc w:val="both"/>
            </w:pPr>
            <w:r>
              <w:rPr>
                <w:b/>
                <w:bCs/>
              </w:rPr>
              <w:t>RFC 6838</w:t>
            </w:r>
          </w:p>
        </w:tc>
        <w:tc>
          <w:tcPr>
            <w:tcW w:w="4526"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B6927B2" w14:textId="77777777" w:rsidR="0053310B" w:rsidRDefault="00000000">
            <w:pPr>
              <w:spacing w:before="100" w:after="100"/>
              <w:jc w:val="both"/>
            </w:pPr>
            <w:r>
              <w:rPr>
                <w:sz w:val="20"/>
                <w:szCs w:val="20"/>
              </w:rPr>
              <w:t>Media Type Registration (Freed et al., 2013)</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C24B686" w14:textId="77777777" w:rsidR="0053310B" w:rsidRDefault="00000000">
            <w:pPr>
              <w:spacing w:before="100" w:after="100"/>
              <w:jc w:val="both"/>
            </w:pPr>
            <w:hyperlink r:id="rId22" w:history="1">
              <w:r>
                <w:rPr>
                  <w:color w:val="2E75B6"/>
                  <w:u w:val="single"/>
                </w:rPr>
                <w:t>Link</w:t>
              </w:r>
            </w:hyperlink>
          </w:p>
        </w:tc>
      </w:tr>
      <w:tr w:rsidR="0053310B" w14:paraId="646516C5"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6629E92" w14:textId="77777777" w:rsidR="0053310B" w:rsidRDefault="00000000">
            <w:pPr>
              <w:spacing w:before="100" w:after="100"/>
              <w:jc w:val="both"/>
            </w:pPr>
            <w:r>
              <w:rPr>
                <w:b/>
                <w:bCs/>
              </w:rPr>
              <w:t>RFC 7493</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06A4C7D" w14:textId="77777777" w:rsidR="0053310B" w:rsidRDefault="00000000">
            <w:pPr>
              <w:spacing w:before="100" w:after="100"/>
              <w:jc w:val="both"/>
            </w:pPr>
            <w:r>
              <w:rPr>
                <w:sz w:val="20"/>
                <w:szCs w:val="20"/>
              </w:rPr>
              <w:t>I-JSON (Bray, 2015)</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9051E38" w14:textId="77777777" w:rsidR="0053310B" w:rsidRDefault="00000000">
            <w:pPr>
              <w:spacing w:before="100" w:after="100"/>
              <w:jc w:val="both"/>
            </w:pPr>
            <w:hyperlink r:id="rId23" w:history="1">
              <w:r>
                <w:rPr>
                  <w:color w:val="2E75B6"/>
                  <w:u w:val="single"/>
                </w:rPr>
                <w:t>Link</w:t>
              </w:r>
            </w:hyperlink>
          </w:p>
        </w:tc>
      </w:tr>
      <w:tr w:rsidR="0053310B" w14:paraId="2B5F2B05"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52767E6" w14:textId="77777777" w:rsidR="0053310B" w:rsidRDefault="00000000">
            <w:pPr>
              <w:spacing w:before="100" w:after="100"/>
              <w:jc w:val="both"/>
            </w:pPr>
            <w:r>
              <w:rPr>
                <w:b/>
                <w:bCs/>
              </w:rPr>
              <w:t>RFC 8030</w:t>
            </w:r>
          </w:p>
        </w:tc>
        <w:tc>
          <w:tcPr>
            <w:tcW w:w="4526"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3C99E59" w14:textId="77777777" w:rsidR="0053310B" w:rsidRDefault="00000000">
            <w:pPr>
              <w:spacing w:before="100" w:after="100"/>
              <w:jc w:val="both"/>
            </w:pPr>
            <w:r>
              <w:rPr>
                <w:sz w:val="20"/>
                <w:szCs w:val="20"/>
              </w:rPr>
              <w:t>Generic Event Delivery Using HTTP Push (Thomson, 2016)</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8CC943A" w14:textId="77777777" w:rsidR="0053310B" w:rsidRDefault="00000000">
            <w:pPr>
              <w:spacing w:before="100" w:after="100"/>
              <w:jc w:val="both"/>
            </w:pPr>
            <w:hyperlink r:id="rId24" w:history="1">
              <w:r>
                <w:rPr>
                  <w:color w:val="2E75B6"/>
                  <w:u w:val="single"/>
                </w:rPr>
                <w:t>Link</w:t>
              </w:r>
            </w:hyperlink>
          </w:p>
        </w:tc>
      </w:tr>
      <w:tr w:rsidR="0053310B" w14:paraId="24963FEA"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D023043" w14:textId="77777777" w:rsidR="0053310B" w:rsidRDefault="00000000">
            <w:pPr>
              <w:spacing w:before="100" w:after="100"/>
              <w:jc w:val="both"/>
            </w:pPr>
            <w:r>
              <w:rPr>
                <w:b/>
                <w:bCs/>
              </w:rPr>
              <w:t>RFC 9110</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8026530" w14:textId="77777777" w:rsidR="0053310B" w:rsidRDefault="00000000">
            <w:pPr>
              <w:spacing w:before="100" w:after="100"/>
              <w:jc w:val="both"/>
            </w:pPr>
            <w:r>
              <w:rPr>
                <w:sz w:val="20"/>
                <w:szCs w:val="20"/>
              </w:rPr>
              <w:t>HTTP Semantics (Fielding et al., 2022)</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EF0BD2C" w14:textId="77777777" w:rsidR="0053310B" w:rsidRDefault="00000000">
            <w:pPr>
              <w:spacing w:before="100" w:after="100"/>
              <w:jc w:val="both"/>
            </w:pPr>
            <w:hyperlink r:id="rId25" w:history="1">
              <w:r>
                <w:rPr>
                  <w:color w:val="2E75B6"/>
                  <w:u w:val="single"/>
                </w:rPr>
                <w:t>Link</w:t>
              </w:r>
            </w:hyperlink>
          </w:p>
        </w:tc>
      </w:tr>
      <w:tr w:rsidR="0053310B" w14:paraId="47242A05"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31EC275" w14:textId="77777777" w:rsidR="0053310B" w:rsidRDefault="00000000">
            <w:pPr>
              <w:spacing w:before="100" w:after="100"/>
              <w:jc w:val="both"/>
            </w:pPr>
            <w:r>
              <w:rPr>
                <w:b/>
                <w:bCs/>
              </w:rPr>
              <w:t>RFC 9111</w:t>
            </w:r>
          </w:p>
        </w:tc>
        <w:tc>
          <w:tcPr>
            <w:tcW w:w="4526"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E16E329" w14:textId="77777777" w:rsidR="0053310B" w:rsidRDefault="00000000">
            <w:pPr>
              <w:spacing w:before="100" w:after="100"/>
              <w:jc w:val="both"/>
            </w:pPr>
            <w:r>
              <w:rPr>
                <w:sz w:val="20"/>
                <w:szCs w:val="20"/>
              </w:rPr>
              <w:t>HTTP Caching (Fielding et al., 2022)</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F1581E0" w14:textId="77777777" w:rsidR="0053310B" w:rsidRDefault="00000000">
            <w:pPr>
              <w:spacing w:before="100" w:after="100"/>
              <w:jc w:val="both"/>
            </w:pPr>
            <w:hyperlink r:id="rId26" w:history="1">
              <w:r>
                <w:rPr>
                  <w:color w:val="2E75B6"/>
                  <w:u w:val="single"/>
                </w:rPr>
                <w:t>Link</w:t>
              </w:r>
            </w:hyperlink>
          </w:p>
        </w:tc>
      </w:tr>
      <w:tr w:rsidR="0053310B" w14:paraId="292E5AE6"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16CCBC5" w14:textId="77777777" w:rsidR="0053310B" w:rsidRDefault="00000000">
            <w:pPr>
              <w:spacing w:before="100" w:after="100"/>
              <w:jc w:val="both"/>
            </w:pPr>
            <w:r>
              <w:rPr>
                <w:b/>
                <w:bCs/>
              </w:rPr>
              <w:t>RFC 9112</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5D2291F" w14:textId="77777777" w:rsidR="0053310B" w:rsidRDefault="00000000">
            <w:pPr>
              <w:spacing w:before="100" w:after="100"/>
              <w:jc w:val="both"/>
            </w:pPr>
            <w:r>
              <w:rPr>
                <w:sz w:val="20"/>
                <w:szCs w:val="20"/>
              </w:rPr>
              <w:t>HTTP/1.1 (Fielding et al., 2022) – ersetzt RFC 7230</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A805AF5" w14:textId="77777777" w:rsidR="0053310B" w:rsidRDefault="00000000">
            <w:pPr>
              <w:spacing w:before="100" w:after="100"/>
              <w:jc w:val="both"/>
            </w:pPr>
            <w:hyperlink r:id="rId27" w:history="1">
              <w:r>
                <w:rPr>
                  <w:color w:val="2E75B6"/>
                  <w:u w:val="single"/>
                </w:rPr>
                <w:t>Link</w:t>
              </w:r>
            </w:hyperlink>
          </w:p>
        </w:tc>
      </w:tr>
      <w:tr w:rsidR="0053310B" w14:paraId="32B1963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261E0A0" w14:textId="77777777" w:rsidR="0053310B" w:rsidRDefault="00000000">
            <w:pPr>
              <w:spacing w:before="100" w:after="100"/>
              <w:jc w:val="both"/>
            </w:pPr>
            <w:r>
              <w:rPr>
                <w:b/>
                <w:bCs/>
              </w:rPr>
              <w:lastRenderedPageBreak/>
              <w:t>RFC 9421</w:t>
            </w:r>
          </w:p>
        </w:tc>
        <w:tc>
          <w:tcPr>
            <w:tcW w:w="4526"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FF3475F" w14:textId="77777777" w:rsidR="0053310B" w:rsidRDefault="00000000">
            <w:pPr>
              <w:spacing w:before="100" w:after="100"/>
              <w:jc w:val="both"/>
            </w:pPr>
            <w:r>
              <w:rPr>
                <w:sz w:val="20"/>
                <w:szCs w:val="20"/>
              </w:rPr>
              <w:t>HTTP Message Signatures (Backman et al., 2024)</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305DB0F" w14:textId="77777777" w:rsidR="0053310B" w:rsidRDefault="00000000">
            <w:pPr>
              <w:spacing w:before="100" w:after="100"/>
              <w:jc w:val="both"/>
            </w:pPr>
            <w:hyperlink r:id="rId28" w:history="1">
              <w:r>
                <w:rPr>
                  <w:color w:val="2E75B6"/>
                  <w:u w:val="single"/>
                </w:rPr>
                <w:t>Link</w:t>
              </w:r>
            </w:hyperlink>
          </w:p>
        </w:tc>
      </w:tr>
      <w:tr w:rsidR="0053310B" w14:paraId="5EE9B942"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1DD2FB8" w14:textId="77777777" w:rsidR="0053310B" w:rsidRDefault="00000000">
            <w:pPr>
              <w:spacing w:before="100" w:after="100"/>
              <w:jc w:val="both"/>
            </w:pPr>
            <w:r>
              <w:rPr>
                <w:b/>
                <w:bCs/>
              </w:rPr>
              <w:t>RFC 9457</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7D7CA152" w14:textId="77777777" w:rsidR="0053310B" w:rsidRDefault="00000000">
            <w:pPr>
              <w:spacing w:before="100" w:after="100"/>
              <w:jc w:val="both"/>
            </w:pPr>
            <w:r>
              <w:rPr>
                <w:sz w:val="20"/>
                <w:szCs w:val="20"/>
              </w:rPr>
              <w:t>Problem Details for HTTP APIs (Nottingham, 2023)</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3145D42E" w14:textId="77777777" w:rsidR="0053310B" w:rsidRDefault="00000000">
            <w:pPr>
              <w:spacing w:before="100" w:after="100"/>
              <w:jc w:val="both"/>
            </w:pPr>
            <w:hyperlink r:id="rId29" w:history="1">
              <w:r>
                <w:rPr>
                  <w:color w:val="2E75B6"/>
                  <w:u w:val="single"/>
                </w:rPr>
                <w:t>Link</w:t>
              </w:r>
            </w:hyperlink>
          </w:p>
        </w:tc>
      </w:tr>
      <w:tr w:rsidR="0053310B" w14:paraId="44AA8D0E"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774FCEE" w14:textId="77777777" w:rsidR="0053310B" w:rsidRDefault="00000000">
            <w:pPr>
              <w:spacing w:before="100" w:after="100"/>
              <w:jc w:val="both"/>
            </w:pPr>
            <w:r>
              <w:rPr>
                <w:b/>
                <w:bCs/>
              </w:rPr>
              <w:t>W3C Trace Context</w:t>
            </w:r>
          </w:p>
        </w:tc>
        <w:tc>
          <w:tcPr>
            <w:tcW w:w="4526"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E181C23" w14:textId="77777777" w:rsidR="0053310B" w:rsidRDefault="00000000">
            <w:pPr>
              <w:spacing w:before="100" w:after="100"/>
              <w:jc w:val="both"/>
            </w:pPr>
            <w:r>
              <w:rPr>
                <w:sz w:val="20"/>
                <w:szCs w:val="20"/>
              </w:rPr>
              <w:t>Distributed Tracing, Level 2 (W3C, 2023)</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2DFC5736" w14:textId="77777777" w:rsidR="0053310B" w:rsidRDefault="00000000">
            <w:pPr>
              <w:spacing w:before="100" w:after="100"/>
              <w:jc w:val="both"/>
            </w:pPr>
            <w:hyperlink r:id="rId30" w:history="1">
              <w:r>
                <w:rPr>
                  <w:color w:val="2E75B6"/>
                  <w:u w:val="single"/>
                </w:rPr>
                <w:t>Link</w:t>
              </w:r>
            </w:hyperlink>
          </w:p>
        </w:tc>
      </w:tr>
      <w:tr w:rsidR="0053310B" w14:paraId="443AC82B"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DF23524" w14:textId="77777777" w:rsidR="0053310B" w:rsidRDefault="00000000">
            <w:pPr>
              <w:spacing w:before="100" w:after="100"/>
              <w:jc w:val="both"/>
            </w:pPr>
            <w:r>
              <w:rPr>
                <w:b/>
                <w:bCs/>
              </w:rPr>
              <w:t>OpenTelemetry</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FED84DD" w14:textId="77777777" w:rsidR="0053310B" w:rsidRDefault="00000000">
            <w:pPr>
              <w:spacing w:before="100" w:after="100"/>
              <w:jc w:val="both"/>
            </w:pPr>
            <w:r>
              <w:rPr>
                <w:sz w:val="20"/>
                <w:szCs w:val="20"/>
              </w:rPr>
              <w:t>CNCF Observability Framework</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460EE382" w14:textId="77777777" w:rsidR="0053310B" w:rsidRDefault="00000000">
            <w:pPr>
              <w:spacing w:before="100" w:after="100"/>
              <w:jc w:val="both"/>
            </w:pPr>
            <w:hyperlink r:id="rId31" w:history="1">
              <w:r>
                <w:rPr>
                  <w:color w:val="2E75B6"/>
                  <w:u w:val="single"/>
                </w:rPr>
                <w:t>Link</w:t>
              </w:r>
            </w:hyperlink>
          </w:p>
        </w:tc>
      </w:tr>
      <w:tr w:rsidR="0053310B" w14:paraId="46640064"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1E1E0093" w14:textId="77777777" w:rsidR="0053310B" w:rsidRDefault="00000000">
            <w:pPr>
              <w:spacing w:before="100" w:after="100"/>
              <w:jc w:val="both"/>
            </w:pPr>
            <w:r>
              <w:rPr>
                <w:b/>
                <w:bCs/>
              </w:rPr>
              <w:t>OpenAPI 3.1</w:t>
            </w:r>
          </w:p>
        </w:tc>
        <w:tc>
          <w:tcPr>
            <w:tcW w:w="4526"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0008D0E9" w14:textId="77777777" w:rsidR="0053310B" w:rsidRDefault="00000000">
            <w:pPr>
              <w:spacing w:before="100" w:after="100"/>
              <w:jc w:val="both"/>
            </w:pPr>
            <w:r>
              <w:rPr>
                <w:sz w:val="20"/>
                <w:szCs w:val="20"/>
              </w:rPr>
              <w:t>OpenAPI Specification (OAI, 2021)</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6D433563" w14:textId="77777777" w:rsidR="0053310B" w:rsidRDefault="00000000">
            <w:pPr>
              <w:spacing w:before="100" w:after="100"/>
              <w:jc w:val="both"/>
            </w:pPr>
            <w:hyperlink r:id="rId32" w:history="1">
              <w:r>
                <w:rPr>
                  <w:color w:val="2E75B6"/>
                  <w:u w:val="single"/>
                </w:rPr>
                <w:t>Link</w:t>
              </w:r>
            </w:hyperlink>
          </w:p>
        </w:tc>
      </w:tr>
      <w:tr w:rsidR="0053310B" w14:paraId="5CCB1AB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056FD353" w14:textId="77777777" w:rsidR="0053310B" w:rsidRDefault="00000000">
            <w:pPr>
              <w:spacing w:before="100" w:after="100"/>
              <w:jc w:val="both"/>
            </w:pPr>
            <w:r>
              <w:rPr>
                <w:b/>
                <w:bCs/>
              </w:rPr>
              <w:t>Zalando Guidelines</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E0AC635" w14:textId="77777777" w:rsidR="0053310B" w:rsidRDefault="00000000">
            <w:pPr>
              <w:spacing w:before="100" w:after="100"/>
              <w:jc w:val="both"/>
            </w:pPr>
            <w:r>
              <w:rPr>
                <w:sz w:val="20"/>
                <w:szCs w:val="20"/>
              </w:rPr>
              <w:t>RESTful API Guidelines (Zalando SE)</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E62BBCA" w14:textId="77777777" w:rsidR="0053310B" w:rsidRDefault="00000000">
            <w:pPr>
              <w:spacing w:before="100" w:after="100"/>
              <w:jc w:val="both"/>
            </w:pPr>
            <w:hyperlink r:id="rId33" w:history="1">
              <w:r>
                <w:rPr>
                  <w:color w:val="2E75B6"/>
                  <w:u w:val="single"/>
                </w:rPr>
                <w:t>Link</w:t>
              </w:r>
            </w:hyperlink>
          </w:p>
        </w:tc>
      </w:tr>
      <w:tr w:rsidR="0053310B" w14:paraId="29FEB901"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76CD7CEE" w14:textId="77777777" w:rsidR="0053310B" w:rsidRDefault="00000000">
            <w:pPr>
              <w:spacing w:before="100" w:after="100"/>
              <w:jc w:val="both"/>
            </w:pPr>
            <w:r>
              <w:rPr>
                <w:b/>
                <w:bCs/>
              </w:rPr>
              <w:t>Semantic Versioning</w:t>
            </w:r>
          </w:p>
        </w:tc>
        <w:tc>
          <w:tcPr>
            <w:tcW w:w="4526"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443EA01C" w14:textId="77777777" w:rsidR="0053310B" w:rsidRDefault="00000000">
            <w:pPr>
              <w:spacing w:before="100" w:after="100"/>
              <w:jc w:val="both"/>
            </w:pPr>
            <w:r>
              <w:rPr>
                <w:sz w:val="20"/>
                <w:szCs w:val="20"/>
              </w:rPr>
              <w:t>SemVer 2.0.0 (Preston-Werner, 2013)</w:t>
            </w:r>
          </w:p>
        </w:tc>
        <w:tc>
          <w:tcPr>
            <w:tcW w:w="2500" w:type="dxa"/>
            <w:tcBorders>
              <w:top w:val="single" w:sz="4" w:space="0" w:color="BBBBBB"/>
              <w:left w:val="single" w:sz="4" w:space="0" w:color="BBBBBB"/>
              <w:bottom w:val="single" w:sz="4" w:space="0" w:color="BBBBBB"/>
              <w:right w:val="single" w:sz="4" w:space="0" w:color="BBBBBB"/>
            </w:tcBorders>
            <w:shd w:val="clear" w:color="auto" w:fill="F2F2F2"/>
            <w:tcMar>
              <w:top w:w="60" w:type="dxa"/>
              <w:left w:w="120" w:type="dxa"/>
              <w:bottom w:w="60" w:type="dxa"/>
              <w:right w:w="120" w:type="dxa"/>
            </w:tcMar>
          </w:tcPr>
          <w:p w14:paraId="31913082" w14:textId="77777777" w:rsidR="0053310B" w:rsidRDefault="00000000">
            <w:pPr>
              <w:spacing w:before="100" w:after="100"/>
              <w:jc w:val="both"/>
            </w:pPr>
            <w:hyperlink r:id="rId34" w:history="1">
              <w:r>
                <w:rPr>
                  <w:color w:val="2E75B6"/>
                  <w:u w:val="single"/>
                </w:rPr>
                <w:t>Link</w:t>
              </w:r>
            </w:hyperlink>
          </w:p>
        </w:tc>
      </w:tr>
      <w:tr w:rsidR="0053310B" w14:paraId="0215962C" w14:textId="77777777">
        <w:tblPrEx>
          <w:tblCellMar>
            <w:top w:w="0" w:type="dxa"/>
            <w:bottom w:w="0" w:type="dxa"/>
          </w:tblCellMar>
        </w:tblPrEx>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2C0C23AC" w14:textId="77777777" w:rsidR="0053310B" w:rsidRDefault="00000000">
            <w:pPr>
              <w:spacing w:before="100" w:after="100"/>
              <w:jc w:val="both"/>
            </w:pPr>
            <w:r>
              <w:rPr>
                <w:b/>
                <w:bCs/>
              </w:rPr>
              <w:t>API-Guideline EDI@Energy</w:t>
            </w:r>
          </w:p>
        </w:tc>
        <w:tc>
          <w:tcPr>
            <w:tcW w:w="4526"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68C13BD3" w14:textId="77777777" w:rsidR="0053310B" w:rsidRDefault="00000000">
            <w:pPr>
              <w:spacing w:before="100" w:after="100"/>
              <w:jc w:val="both"/>
            </w:pPr>
            <w:r>
              <w:rPr>
                <w:sz w:val="20"/>
                <w:szCs w:val="20"/>
              </w:rPr>
              <w:t>BDEW API-Guideline v1.0a (01.10.2024)</w:t>
            </w:r>
          </w:p>
        </w:tc>
        <w:tc>
          <w:tcPr>
            <w:tcW w:w="2500" w:type="dxa"/>
            <w:tcBorders>
              <w:top w:val="single" w:sz="4" w:space="0" w:color="BBBBBB"/>
              <w:left w:val="single" w:sz="4" w:space="0" w:color="BBBBBB"/>
              <w:bottom w:val="single" w:sz="4" w:space="0" w:color="BBBBBB"/>
              <w:right w:val="single" w:sz="4" w:space="0" w:color="BBBBBB"/>
            </w:tcBorders>
            <w:shd w:val="clear" w:color="auto" w:fill="FFFFFF"/>
            <w:tcMar>
              <w:top w:w="60" w:type="dxa"/>
              <w:left w:w="120" w:type="dxa"/>
              <w:bottom w:w="60" w:type="dxa"/>
              <w:right w:w="120" w:type="dxa"/>
            </w:tcMar>
          </w:tcPr>
          <w:p w14:paraId="5820EC49" w14:textId="77777777" w:rsidR="0053310B" w:rsidRDefault="00000000">
            <w:pPr>
              <w:spacing w:before="100" w:after="100"/>
              <w:jc w:val="both"/>
            </w:pPr>
            <w:hyperlink r:id="rId35" w:history="1">
              <w:r>
                <w:rPr>
                  <w:color w:val="2E75B6"/>
                  <w:u w:val="single"/>
                </w:rPr>
                <w:t>Link</w:t>
              </w:r>
            </w:hyperlink>
          </w:p>
        </w:tc>
      </w:tr>
    </w:tbl>
    <w:p w14:paraId="112ECDCF" w14:textId="77777777" w:rsidR="00825B1E" w:rsidRDefault="00825B1E"/>
    <w:sectPr w:rsidR="00825B1E">
      <w:footerReference w:type="default" r:id="rId3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50818" w14:textId="77777777" w:rsidR="00825B1E" w:rsidRDefault="00825B1E">
      <w:r>
        <w:separator/>
      </w:r>
    </w:p>
  </w:endnote>
  <w:endnote w:type="continuationSeparator" w:id="0">
    <w:p w14:paraId="1014C82F" w14:textId="77777777" w:rsidR="00825B1E" w:rsidRDefault="00825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D6CAD" w14:textId="77777777" w:rsidR="0053310B" w:rsidRDefault="00000000">
    <w:pPr>
      <w:jc w:val="center"/>
    </w:pPr>
    <w:r>
      <w:rPr>
        <w:color w:val="888888"/>
        <w:sz w:val="18"/>
        <w:szCs w:val="18"/>
      </w:rPr>
      <w:t xml:space="preserve">Technische Analyse EDI@Energy MaLo-Ident API – Vertraulich | Seite </w:t>
    </w:r>
    <w:r>
      <w:rPr>
        <w:color w:val="888888"/>
        <w:sz w:val="18"/>
        <w:szCs w:val="18"/>
      </w:rPr>
      <w:fldChar w:fldCharType="begin"/>
    </w:r>
    <w:r>
      <w:rPr>
        <w:color w:val="888888"/>
        <w:sz w:val="18"/>
        <w:szCs w:val="18"/>
      </w:rPr>
      <w:instrText>PAGE</w:instrText>
    </w:r>
    <w:r>
      <w:rPr>
        <w:color w:val="888888"/>
        <w:sz w:val="18"/>
        <w:szCs w:val="18"/>
      </w:rPr>
      <w:fldChar w:fldCharType="separate"/>
    </w:r>
    <w:r w:rsidR="00DF22FD">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8E1D3E" w14:textId="77777777" w:rsidR="00825B1E" w:rsidRDefault="00825B1E">
      <w:r>
        <w:separator/>
      </w:r>
    </w:p>
  </w:footnote>
  <w:footnote w:type="continuationSeparator" w:id="0">
    <w:p w14:paraId="643BDAC5" w14:textId="77777777" w:rsidR="00825B1E" w:rsidRDefault="00825B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54DB4"/>
    <w:multiLevelType w:val="hybridMultilevel"/>
    <w:tmpl w:val="4D74CC44"/>
    <w:lvl w:ilvl="0" w:tplc="C92C5A1E">
      <w:start w:val="1"/>
      <w:numFmt w:val="decimal"/>
      <w:lvlText w:val="%1."/>
      <w:lvlJc w:val="left"/>
      <w:pPr>
        <w:ind w:left="720" w:hanging="360"/>
      </w:pPr>
      <w:rPr>
        <w:rFonts w:ascii="Arial" w:eastAsia="Arial" w:hAnsi="Arial" w:cs="Arial"/>
      </w:rPr>
    </w:lvl>
    <w:lvl w:ilvl="1" w:tplc="C99ACEE6">
      <w:numFmt w:val="decimal"/>
      <w:lvlText w:val=""/>
      <w:lvlJc w:val="left"/>
    </w:lvl>
    <w:lvl w:ilvl="2" w:tplc="F2E016F0">
      <w:numFmt w:val="decimal"/>
      <w:lvlText w:val=""/>
      <w:lvlJc w:val="left"/>
    </w:lvl>
    <w:lvl w:ilvl="3" w:tplc="4328AE22">
      <w:numFmt w:val="decimal"/>
      <w:lvlText w:val=""/>
      <w:lvlJc w:val="left"/>
    </w:lvl>
    <w:lvl w:ilvl="4" w:tplc="CB1A595E">
      <w:numFmt w:val="decimal"/>
      <w:lvlText w:val=""/>
      <w:lvlJc w:val="left"/>
    </w:lvl>
    <w:lvl w:ilvl="5" w:tplc="079C500C">
      <w:numFmt w:val="decimal"/>
      <w:lvlText w:val=""/>
      <w:lvlJc w:val="left"/>
    </w:lvl>
    <w:lvl w:ilvl="6" w:tplc="6568BA60">
      <w:numFmt w:val="decimal"/>
      <w:lvlText w:val=""/>
      <w:lvlJc w:val="left"/>
    </w:lvl>
    <w:lvl w:ilvl="7" w:tplc="A4BC64D8">
      <w:numFmt w:val="decimal"/>
      <w:lvlText w:val=""/>
      <w:lvlJc w:val="left"/>
    </w:lvl>
    <w:lvl w:ilvl="8" w:tplc="0E427C58">
      <w:numFmt w:val="decimal"/>
      <w:lvlText w:val=""/>
      <w:lvlJc w:val="left"/>
    </w:lvl>
  </w:abstractNum>
  <w:abstractNum w:abstractNumId="1" w15:restartNumberingAfterBreak="0">
    <w:nsid w:val="277A26C2"/>
    <w:multiLevelType w:val="hybridMultilevel"/>
    <w:tmpl w:val="11901B5A"/>
    <w:lvl w:ilvl="0" w:tplc="CDC23A72">
      <w:start w:val="1"/>
      <w:numFmt w:val="bullet"/>
      <w:lvlText w:val="●"/>
      <w:lvlJc w:val="left"/>
      <w:pPr>
        <w:ind w:left="720" w:hanging="360"/>
      </w:pPr>
    </w:lvl>
    <w:lvl w:ilvl="1" w:tplc="A3D0F17C">
      <w:start w:val="1"/>
      <w:numFmt w:val="bullet"/>
      <w:lvlText w:val="○"/>
      <w:lvlJc w:val="left"/>
      <w:pPr>
        <w:ind w:left="1440" w:hanging="360"/>
      </w:pPr>
    </w:lvl>
    <w:lvl w:ilvl="2" w:tplc="DD28F300">
      <w:start w:val="1"/>
      <w:numFmt w:val="bullet"/>
      <w:lvlText w:val="■"/>
      <w:lvlJc w:val="left"/>
      <w:pPr>
        <w:ind w:left="2160" w:hanging="360"/>
      </w:pPr>
    </w:lvl>
    <w:lvl w:ilvl="3" w:tplc="DF16E762">
      <w:start w:val="1"/>
      <w:numFmt w:val="bullet"/>
      <w:lvlText w:val="●"/>
      <w:lvlJc w:val="left"/>
      <w:pPr>
        <w:ind w:left="2880" w:hanging="360"/>
      </w:pPr>
    </w:lvl>
    <w:lvl w:ilvl="4" w:tplc="1B062088">
      <w:start w:val="1"/>
      <w:numFmt w:val="bullet"/>
      <w:lvlText w:val="○"/>
      <w:lvlJc w:val="left"/>
      <w:pPr>
        <w:ind w:left="3600" w:hanging="360"/>
      </w:pPr>
    </w:lvl>
    <w:lvl w:ilvl="5" w:tplc="85E4FBFE">
      <w:start w:val="1"/>
      <w:numFmt w:val="bullet"/>
      <w:lvlText w:val="■"/>
      <w:lvlJc w:val="left"/>
      <w:pPr>
        <w:ind w:left="4320" w:hanging="360"/>
      </w:pPr>
    </w:lvl>
    <w:lvl w:ilvl="6" w:tplc="CE6A5BDE">
      <w:start w:val="1"/>
      <w:numFmt w:val="bullet"/>
      <w:lvlText w:val="●"/>
      <w:lvlJc w:val="left"/>
      <w:pPr>
        <w:ind w:left="5040" w:hanging="360"/>
      </w:pPr>
    </w:lvl>
    <w:lvl w:ilvl="7" w:tplc="CBD40D1C">
      <w:start w:val="1"/>
      <w:numFmt w:val="bullet"/>
      <w:lvlText w:val="●"/>
      <w:lvlJc w:val="left"/>
      <w:pPr>
        <w:ind w:left="5760" w:hanging="360"/>
      </w:pPr>
    </w:lvl>
    <w:lvl w:ilvl="8" w:tplc="6682EA10">
      <w:start w:val="1"/>
      <w:numFmt w:val="bullet"/>
      <w:lvlText w:val="●"/>
      <w:lvlJc w:val="left"/>
      <w:pPr>
        <w:ind w:left="6480" w:hanging="360"/>
      </w:pPr>
    </w:lvl>
  </w:abstractNum>
  <w:abstractNum w:abstractNumId="2" w15:restartNumberingAfterBreak="0">
    <w:nsid w:val="6FC53A4F"/>
    <w:multiLevelType w:val="hybridMultilevel"/>
    <w:tmpl w:val="35E60078"/>
    <w:lvl w:ilvl="0" w:tplc="33B03D8A">
      <w:start w:val="1"/>
      <w:numFmt w:val="bullet"/>
      <w:lvlText w:val="•"/>
      <w:lvlJc w:val="left"/>
      <w:pPr>
        <w:ind w:left="720" w:hanging="360"/>
      </w:pPr>
      <w:rPr>
        <w:rFonts w:ascii="Arial" w:eastAsia="Arial" w:hAnsi="Arial" w:cs="Arial"/>
      </w:rPr>
    </w:lvl>
    <w:lvl w:ilvl="1" w:tplc="5A2CB3B0">
      <w:numFmt w:val="decimal"/>
      <w:lvlText w:val=""/>
      <w:lvlJc w:val="left"/>
    </w:lvl>
    <w:lvl w:ilvl="2" w:tplc="F3D6D894">
      <w:numFmt w:val="decimal"/>
      <w:lvlText w:val=""/>
      <w:lvlJc w:val="left"/>
    </w:lvl>
    <w:lvl w:ilvl="3" w:tplc="3D62465E">
      <w:numFmt w:val="decimal"/>
      <w:lvlText w:val=""/>
      <w:lvlJc w:val="left"/>
    </w:lvl>
    <w:lvl w:ilvl="4" w:tplc="192C30A2">
      <w:numFmt w:val="decimal"/>
      <w:lvlText w:val=""/>
      <w:lvlJc w:val="left"/>
    </w:lvl>
    <w:lvl w:ilvl="5" w:tplc="32043934">
      <w:numFmt w:val="decimal"/>
      <w:lvlText w:val=""/>
      <w:lvlJc w:val="left"/>
    </w:lvl>
    <w:lvl w:ilvl="6" w:tplc="034612AE">
      <w:numFmt w:val="decimal"/>
      <w:lvlText w:val=""/>
      <w:lvlJc w:val="left"/>
    </w:lvl>
    <w:lvl w:ilvl="7" w:tplc="1228C8C8">
      <w:numFmt w:val="decimal"/>
      <w:lvlText w:val=""/>
      <w:lvlJc w:val="left"/>
    </w:lvl>
    <w:lvl w:ilvl="8" w:tplc="5530A972">
      <w:numFmt w:val="decimal"/>
      <w:lvlText w:val=""/>
      <w:lvlJc w:val="left"/>
    </w:lvl>
  </w:abstractNum>
  <w:num w:numId="1" w16cid:durableId="1026102765">
    <w:abstractNumId w:val="1"/>
    <w:lvlOverride w:ilvl="0">
      <w:startOverride w:val="1"/>
    </w:lvlOverride>
  </w:num>
  <w:num w:numId="2" w16cid:durableId="1925873093">
    <w:abstractNumId w:val="2"/>
    <w:lvlOverride w:ilvl="0">
      <w:startOverride w:val="1"/>
    </w:lvlOverride>
  </w:num>
  <w:num w:numId="3" w16cid:durableId="13687986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10B"/>
    <w:rsid w:val="0053310B"/>
    <w:rsid w:val="00825B1E"/>
    <w:rsid w:val="00C71A4B"/>
    <w:rsid w:val="00DF22F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6F7D"/>
  <w15:docId w15:val="{206982ED-9085-4106-ADDE-9EE045138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20" w:after="160"/>
      <w:outlineLvl w:val="0"/>
    </w:pPr>
    <w:rPr>
      <w:b/>
      <w:bCs/>
      <w:color w:val="1A3A5C"/>
      <w:sz w:val="36"/>
      <w:szCs w:val="36"/>
    </w:rPr>
  </w:style>
  <w:style w:type="paragraph" w:styleId="berschrift2">
    <w:name w:val="heading 2"/>
    <w:uiPriority w:val="9"/>
    <w:unhideWhenUsed/>
    <w:qFormat/>
    <w:pPr>
      <w:spacing w:before="240" w:after="120"/>
      <w:outlineLvl w:val="1"/>
    </w:pPr>
    <w:rPr>
      <w:b/>
      <w:bCs/>
      <w:color w:val="2E75B6"/>
      <w:sz w:val="28"/>
      <w:szCs w:val="28"/>
    </w:rPr>
  </w:style>
  <w:style w:type="paragraph" w:styleId="berschrift3">
    <w:name w:val="heading 3"/>
    <w:uiPriority w:val="9"/>
    <w:semiHidden/>
    <w:unhideWhenUsed/>
    <w:qFormat/>
    <w:pPr>
      <w:spacing w:before="180" w:after="80"/>
      <w:outlineLvl w:val="2"/>
    </w:pPr>
    <w:rPr>
      <w:b/>
      <w:bCs/>
      <w:color w:val="444444"/>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w3.org/TR/trace-context/" TargetMode="External"/><Relationship Id="rId18" Type="http://schemas.openxmlformats.org/officeDocument/2006/relationships/hyperlink" Target="https://www.fokus.fraunhofer.de" TargetMode="External"/><Relationship Id="rId26" Type="http://schemas.openxmlformats.org/officeDocument/2006/relationships/hyperlink" Target="https://www.rfc-editor.org/rfc/rfc9111" TargetMode="External"/><Relationship Id="rId21" Type="http://schemas.openxmlformats.org/officeDocument/2006/relationships/hyperlink" Target="https://www.rfc-editor.org/rfc/rfc4648" TargetMode="External"/><Relationship Id="rId34" Type="http://schemas.openxmlformats.org/officeDocument/2006/relationships/hyperlink" Target="https://semver.org/lang/de/" TargetMode="External"/><Relationship Id="rId7" Type="http://schemas.openxmlformats.org/officeDocument/2006/relationships/hyperlink" Target="https://www.rfc-editor.org/rfc/rfc9110" TargetMode="External"/><Relationship Id="rId12" Type="http://schemas.openxmlformats.org/officeDocument/2006/relationships/hyperlink" Target="https://www.rfc-editor.org/rfc/rfc9110" TargetMode="External"/><Relationship Id="rId17" Type="http://schemas.openxmlformats.org/officeDocument/2006/relationships/hyperlink" Target="https://opentelemetry.io/docs/instrumentation/python/" TargetMode="External"/><Relationship Id="rId25" Type="http://schemas.openxmlformats.org/officeDocument/2006/relationships/hyperlink" Target="https://www.rfc-editor.org/rfc/rfc9110" TargetMode="External"/><Relationship Id="rId33" Type="http://schemas.openxmlformats.org/officeDocument/2006/relationships/hyperlink" Target="https://opensource.zalando.com/restful-api-guideline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opentelemetry.io/docs/instrumentation/net/" TargetMode="External"/><Relationship Id="rId20" Type="http://schemas.openxmlformats.org/officeDocument/2006/relationships/hyperlink" Target="https://www.rfc-editor.org/rfc/rfc4122" TargetMode="External"/><Relationship Id="rId29" Type="http://schemas.openxmlformats.org/officeDocument/2006/relationships/hyperlink" Target="https://www.rfc-editor.org/rfc/rfc945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ntsoe.eu/data/transparency-platform/r2/api-access/" TargetMode="External"/><Relationship Id="rId24" Type="http://schemas.openxmlformats.org/officeDocument/2006/relationships/hyperlink" Target="https://www.rfc-editor.org/rfc/rfc8030" TargetMode="External"/><Relationship Id="rId32" Type="http://schemas.openxmlformats.org/officeDocument/2006/relationships/hyperlink" Target="https://spec.openapis.org/oas/v3.1.0"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opentelemetry.io/docs/instrumentation/java/" TargetMode="External"/><Relationship Id="rId23" Type="http://schemas.openxmlformats.org/officeDocument/2006/relationships/hyperlink" Target="https://www.rfc-editor.org/rfc/rfc7493" TargetMode="External"/><Relationship Id="rId28" Type="http://schemas.openxmlformats.org/officeDocument/2006/relationships/hyperlink" Target="https://www.rfc-editor.org/rfc/rfc9421" TargetMode="External"/><Relationship Id="rId36" Type="http://schemas.openxmlformats.org/officeDocument/2006/relationships/footer" Target="footer1.xml"/><Relationship Id="rId10" Type="http://schemas.openxmlformats.org/officeDocument/2006/relationships/hyperlink" Target="https://spec.openapis.org/oas/v3.1.0" TargetMode="External"/><Relationship Id="rId19" Type="http://schemas.openxmlformats.org/officeDocument/2006/relationships/hyperlink" Target="https://www.rfc-editor.org/rfc/rfc3986" TargetMode="External"/><Relationship Id="rId31" Type="http://schemas.openxmlformats.org/officeDocument/2006/relationships/hyperlink" Target="https://opentelemetry.io/" TargetMode="External"/><Relationship Id="rId4" Type="http://schemas.openxmlformats.org/officeDocument/2006/relationships/webSettings" Target="webSettings.xml"/><Relationship Id="rId9" Type="http://schemas.openxmlformats.org/officeDocument/2006/relationships/hyperlink" Target="https://github.com/microsoft/api-guidelines" TargetMode="External"/><Relationship Id="rId14" Type="http://schemas.openxmlformats.org/officeDocument/2006/relationships/hyperlink" Target="https://stripe.com/docs/api/idempotent_requests" TargetMode="External"/><Relationship Id="rId22" Type="http://schemas.openxmlformats.org/officeDocument/2006/relationships/hyperlink" Target="https://www.rfc-editor.org/rfc/rfc6838" TargetMode="External"/><Relationship Id="rId27" Type="http://schemas.openxmlformats.org/officeDocument/2006/relationships/hyperlink" Target="https://www.rfc-editor.org/rfc/rfc9112" TargetMode="External"/><Relationship Id="rId30" Type="http://schemas.openxmlformats.org/officeDocument/2006/relationships/hyperlink" Target="https://www.w3.org/TR/trace-context/" TargetMode="External"/><Relationship Id="rId35" Type="http://schemas.openxmlformats.org/officeDocument/2006/relationships/hyperlink" Target="https://edi-energy.de" TargetMode="External"/><Relationship Id="rId8" Type="http://schemas.openxmlformats.org/officeDocument/2006/relationships/hyperlink" Target="https://opensource.zalando.com/restful-api-guidelines/" TargetMode="External"/><Relationship Id="rId3"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3002</Words>
  <Characters>18919</Characters>
  <Application>Microsoft Office Word</Application>
  <DocSecurity>0</DocSecurity>
  <Lines>157</Lines>
  <Paragraphs>43</Paragraphs>
  <ScaleCrop>false</ScaleCrop>
  <Company/>
  <LinksUpToDate>false</LinksUpToDate>
  <CharactersWithSpaces>21878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Jung</cp:lastModifiedBy>
  <cp:revision>2</cp:revision>
  <dcterms:created xsi:type="dcterms:W3CDTF">2026-05-31T12:30:00Z</dcterms:created>
  <dcterms:modified xsi:type="dcterms:W3CDTF">2026-05-31T12:30:00Z</dcterms:modified>
</cp:coreProperties>
</file>