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3F741" w14:textId="77777777" w:rsidR="00E66C07" w:rsidRDefault="00000000">
      <w:pPr>
        <w:spacing w:before="2400" w:after="300"/>
        <w:jc w:val="center"/>
      </w:pPr>
      <w:r>
        <w:rPr>
          <w:b/>
          <w:bCs/>
          <w:color w:val="1A3A5C"/>
          <w:sz w:val="40"/>
          <w:szCs w:val="40"/>
        </w:rPr>
        <w:t>VORSTANDSZUSAMMENFASSUNG</w:t>
      </w:r>
    </w:p>
    <w:p w14:paraId="0E5160B1" w14:textId="77777777" w:rsidR="00E66C07" w:rsidRDefault="00000000">
      <w:pPr>
        <w:spacing w:after="200"/>
        <w:jc w:val="center"/>
      </w:pPr>
      <w:r>
        <w:rPr>
          <w:i/>
          <w:iCs/>
          <w:color w:val="2E75B6"/>
          <w:sz w:val="28"/>
          <w:szCs w:val="28"/>
        </w:rPr>
        <w:t>Kritische Mängel in den API-Standards der deutschen Energiemarktkommunikation</w:t>
      </w:r>
    </w:p>
    <w:p w14:paraId="62F7253D" w14:textId="77777777" w:rsidR="00E66C07" w:rsidRDefault="00000000">
      <w:pPr>
        <w:spacing w:before="80" w:after="80"/>
        <w:jc w:val="center"/>
      </w:pPr>
      <w:r>
        <w:rPr>
          <w:i/>
          <w:iCs/>
          <w:color w:val="666666"/>
        </w:rPr>
        <w:t>Handlungsbedarf für eine KRITIS-Infrastruktur nationaler Bedeutung</w:t>
      </w:r>
    </w:p>
    <w:p w14:paraId="3E5C852E" w14:textId="77777777" w:rsidR="00E66C07" w:rsidRDefault="00E66C07">
      <w:pPr>
        <w:spacing w:before="2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E66C07" w14:paraId="11F022B2"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60" w:type="dxa"/>
              <w:bottom w:w="100" w:type="dxa"/>
              <w:right w:w="160" w:type="dxa"/>
            </w:tcMar>
          </w:tcPr>
          <w:p w14:paraId="7E6DFE63" w14:textId="77777777" w:rsidR="00E66C07" w:rsidRDefault="00000000">
            <w:pPr>
              <w:spacing w:before="80" w:after="100"/>
              <w:jc w:val="both"/>
            </w:pPr>
            <w:r>
              <w:rPr>
                <w:b/>
                <w:bCs/>
              </w:rPr>
              <w:t>Datum</w:t>
            </w:r>
          </w:p>
        </w:tc>
        <w:tc>
          <w:tcPr>
            <w:tcW w:w="6226" w:type="dxa"/>
            <w:tcBorders>
              <w:top w:val="single" w:sz="4" w:space="0" w:color="CCCCCC"/>
              <w:left w:val="single" w:sz="4" w:space="0" w:color="CCCCCC"/>
              <w:bottom w:val="single" w:sz="4" w:space="0" w:color="CCCCCC"/>
              <w:right w:val="single" w:sz="4" w:space="0" w:color="CCCCCC"/>
            </w:tcBorders>
            <w:tcMar>
              <w:top w:w="100" w:type="dxa"/>
              <w:left w:w="160" w:type="dxa"/>
              <w:bottom w:w="100" w:type="dxa"/>
              <w:right w:w="160" w:type="dxa"/>
            </w:tcMar>
          </w:tcPr>
          <w:p w14:paraId="5CC52382" w14:textId="77777777" w:rsidR="00E66C07" w:rsidRDefault="00000000">
            <w:pPr>
              <w:spacing w:before="80" w:after="100"/>
              <w:jc w:val="both"/>
            </w:pPr>
            <w:r>
              <w:t>30. Mai 2026</w:t>
            </w:r>
          </w:p>
        </w:tc>
      </w:tr>
      <w:tr w:rsidR="00E66C07" w14:paraId="5B545D2B"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60" w:type="dxa"/>
              <w:bottom w:w="100" w:type="dxa"/>
              <w:right w:w="160" w:type="dxa"/>
            </w:tcMar>
          </w:tcPr>
          <w:p w14:paraId="446FD2CB" w14:textId="77777777" w:rsidR="00E66C07" w:rsidRDefault="00000000">
            <w:pPr>
              <w:spacing w:before="80" w:after="100"/>
              <w:jc w:val="both"/>
            </w:pPr>
            <w:r>
              <w:rPr>
                <w:b/>
                <w:bCs/>
              </w:rPr>
              <w:t>Betroffene Infrastruktur</w:t>
            </w:r>
          </w:p>
        </w:tc>
        <w:tc>
          <w:tcPr>
            <w:tcW w:w="6226" w:type="dxa"/>
            <w:tcBorders>
              <w:top w:val="single" w:sz="4" w:space="0" w:color="CCCCCC"/>
              <w:left w:val="single" w:sz="4" w:space="0" w:color="CCCCCC"/>
              <w:bottom w:val="single" w:sz="4" w:space="0" w:color="CCCCCC"/>
              <w:right w:val="single" w:sz="4" w:space="0" w:color="CCCCCC"/>
            </w:tcBorders>
            <w:tcMar>
              <w:top w:w="100" w:type="dxa"/>
              <w:left w:w="160" w:type="dxa"/>
              <w:bottom w:w="100" w:type="dxa"/>
              <w:right w:w="160" w:type="dxa"/>
            </w:tcMar>
          </w:tcPr>
          <w:p w14:paraId="10F67E34" w14:textId="77777777" w:rsidR="00E66C07" w:rsidRDefault="00000000">
            <w:pPr>
              <w:spacing w:before="80" w:after="100"/>
              <w:jc w:val="both"/>
            </w:pPr>
            <w:r>
              <w:t>Energiemarkt Deutschland — über 900 Netzbetreiber und Lieferanten</w:t>
            </w:r>
          </w:p>
        </w:tc>
      </w:tr>
      <w:tr w:rsidR="00E66C07" w14:paraId="7961B48C"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60" w:type="dxa"/>
              <w:bottom w:w="100" w:type="dxa"/>
              <w:right w:w="160" w:type="dxa"/>
            </w:tcMar>
          </w:tcPr>
          <w:p w14:paraId="4E871103" w14:textId="77777777" w:rsidR="00E66C07" w:rsidRDefault="00000000">
            <w:pPr>
              <w:spacing w:before="80" w:after="100"/>
              <w:jc w:val="both"/>
            </w:pPr>
            <w:r>
              <w:rPr>
                <w:b/>
                <w:bCs/>
              </w:rPr>
              <w:t>Klassifikation</w:t>
            </w:r>
          </w:p>
        </w:tc>
        <w:tc>
          <w:tcPr>
            <w:tcW w:w="6226" w:type="dxa"/>
            <w:tcBorders>
              <w:top w:val="single" w:sz="4" w:space="0" w:color="CCCCCC"/>
              <w:left w:val="single" w:sz="4" w:space="0" w:color="CCCCCC"/>
              <w:bottom w:val="single" w:sz="4" w:space="0" w:color="CCCCCC"/>
              <w:right w:val="single" w:sz="4" w:space="0" w:color="CCCCCC"/>
            </w:tcBorders>
            <w:tcMar>
              <w:top w:w="100" w:type="dxa"/>
              <w:left w:w="160" w:type="dxa"/>
              <w:bottom w:w="100" w:type="dxa"/>
              <w:right w:w="160" w:type="dxa"/>
            </w:tcMar>
          </w:tcPr>
          <w:p w14:paraId="2EA48A7D" w14:textId="77777777" w:rsidR="00E66C07" w:rsidRDefault="00000000">
            <w:pPr>
              <w:spacing w:before="80" w:after="100"/>
              <w:jc w:val="both"/>
            </w:pPr>
            <w:r>
              <w:rPr>
                <w:b/>
                <w:bCs/>
                <w:color w:val="C0392B"/>
              </w:rPr>
              <w:t>KRITIS — Kritische Infrastruktur Energieversorgung</w:t>
            </w:r>
          </w:p>
        </w:tc>
      </w:tr>
      <w:tr w:rsidR="00E66C07" w14:paraId="1F4A484B"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60" w:type="dxa"/>
              <w:bottom w:w="100" w:type="dxa"/>
              <w:right w:w="160" w:type="dxa"/>
            </w:tcMar>
          </w:tcPr>
          <w:p w14:paraId="34586894" w14:textId="77777777" w:rsidR="00E66C07" w:rsidRDefault="00000000">
            <w:pPr>
              <w:spacing w:before="80" w:after="100"/>
              <w:jc w:val="both"/>
            </w:pPr>
            <w:r>
              <w:rPr>
                <w:b/>
                <w:bCs/>
              </w:rPr>
              <w:t>Handlungsdringlichkeit</w:t>
            </w:r>
          </w:p>
        </w:tc>
        <w:tc>
          <w:tcPr>
            <w:tcW w:w="6226" w:type="dxa"/>
            <w:tcBorders>
              <w:top w:val="single" w:sz="4" w:space="0" w:color="CCCCCC"/>
              <w:left w:val="single" w:sz="4" w:space="0" w:color="CCCCCC"/>
              <w:bottom w:val="single" w:sz="4" w:space="0" w:color="CCCCCC"/>
              <w:right w:val="single" w:sz="4" w:space="0" w:color="CCCCCC"/>
            </w:tcBorders>
            <w:tcMar>
              <w:top w:w="100" w:type="dxa"/>
              <w:left w:w="160" w:type="dxa"/>
              <w:bottom w:w="100" w:type="dxa"/>
              <w:right w:w="160" w:type="dxa"/>
            </w:tcMar>
          </w:tcPr>
          <w:p w14:paraId="3EB0CA36" w14:textId="77777777" w:rsidR="00E66C07" w:rsidRDefault="00000000">
            <w:pPr>
              <w:spacing w:before="80" w:after="100"/>
              <w:jc w:val="both"/>
            </w:pPr>
            <w:r>
              <w:rPr>
                <w:b/>
                <w:bCs/>
                <w:color w:val="C0392B"/>
              </w:rPr>
              <w:t>HOCH — vor Rollout weiterer MaBiS-Hub-APIs zu adressieren</w:t>
            </w:r>
          </w:p>
        </w:tc>
      </w:tr>
    </w:tbl>
    <w:p w14:paraId="7FC43471" w14:textId="77777777" w:rsidR="00E66C07" w:rsidRDefault="00000000">
      <w:r>
        <w:br w:type="page"/>
      </w:r>
    </w:p>
    <w:p w14:paraId="251CD308" w14:textId="77777777" w:rsidR="00E66C07" w:rsidRDefault="00000000">
      <w:pPr>
        <w:pStyle w:val="berschrift1"/>
      </w:pPr>
      <w:r>
        <w:lastRenderedPageBreak/>
        <w:t>Kurzfassung für den Vorstand</w:t>
      </w:r>
    </w:p>
    <w:p w14:paraId="5DD896AC" w14:textId="77777777" w:rsidR="00E66C07" w:rsidRDefault="00E66C07">
      <w:pPr>
        <w:pBdr>
          <w:bottom w:val="single" w:sz="6" w:space="1" w:color="2E75B6"/>
        </w:pBdr>
        <w:spacing w:before="140" w:after="1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66C07" w14:paraId="35763343" w14:textId="77777777">
        <w:tblPrEx>
          <w:tblCellMar>
            <w:top w:w="0" w:type="dxa"/>
            <w:bottom w:w="0" w:type="dxa"/>
          </w:tblCellMar>
        </w:tblPrEx>
        <w:tc>
          <w:tcPr>
            <w:tcW w:w="9026" w:type="dxa"/>
            <w:tcBorders>
              <w:top w:val="single" w:sz="10" w:space="0" w:color="2E75B6"/>
              <w:left w:val="single" w:sz="10" w:space="0" w:color="2E75B6"/>
              <w:bottom w:val="single" w:sz="4" w:space="0" w:color="CCCCCC"/>
              <w:right w:val="single" w:sz="4" w:space="0" w:color="CCCCCC"/>
            </w:tcBorders>
            <w:shd w:val="clear" w:color="auto" w:fill="D5E8F0"/>
            <w:tcMar>
              <w:top w:w="140" w:type="dxa"/>
              <w:left w:w="220" w:type="dxa"/>
              <w:bottom w:w="140" w:type="dxa"/>
              <w:right w:w="220" w:type="dxa"/>
            </w:tcMar>
          </w:tcPr>
          <w:p w14:paraId="59192A3C" w14:textId="77777777" w:rsidR="00E66C07" w:rsidRDefault="00000000">
            <w:pPr>
              <w:spacing w:before="80" w:after="100"/>
              <w:jc w:val="both"/>
            </w:pPr>
            <w:r>
              <w:rPr>
                <w:b/>
                <w:bCs/>
                <w:color w:val="1A3A5C"/>
              </w:rPr>
              <w:t xml:space="preserve">Kernbotschaft: </w:t>
            </w:r>
            <w:r>
              <w:t>Die technischen Regeln, nach denen die deutsche Energiewirtschaft ihre digitalen Schnittstellen (APIs) aufgebaut hat, entsprechen nicht dem Stand der Technik. Dies erzeugt heute nachweislich Ausfälle, Interoperabilitätsprobleme und erheblichen Zusatzaufwand bei allen Marktteilnehmern — und wird sich bei der geplanten Einführung von über 60 weiteren Schnittstellen dramatisch verschärfen.</w:t>
            </w:r>
          </w:p>
        </w:tc>
      </w:tr>
    </w:tbl>
    <w:p w14:paraId="129967A9" w14:textId="77777777" w:rsidR="00E66C07" w:rsidRDefault="00E66C07">
      <w:pPr>
        <w:spacing w:before="80"/>
      </w:pPr>
    </w:p>
    <w:p w14:paraId="222A7B77" w14:textId="77777777" w:rsidR="00E66C07" w:rsidRDefault="00000000">
      <w:pPr>
        <w:spacing w:before="80" w:after="100"/>
        <w:jc w:val="both"/>
      </w:pPr>
      <w:r>
        <w:t>Die vorliegende Analyse bewertet die API-Guideline des BDEW (EDI@Energy, Version 1.0a, Oktober 2024) sowie die konkret umgesetzte MaLo-Ident-Schnittstelle, über die täglich tausende Anfragen zur Identifikation von Marktlokationen (Strom-Messpunkten) verarbeitet werden. Das Ergebnis ist eindeutig: Es wurden grundlegende Fehler in der Konzeption gemacht, die zu einem erheblichen Teil der heute existierenden Interoperabilitätsprobleme geführt haben.</w:t>
      </w:r>
    </w:p>
    <w:p w14:paraId="52CF3921" w14:textId="77777777" w:rsidR="00E66C07" w:rsidRDefault="00E66C07">
      <w:pPr>
        <w:spacing w:before="80"/>
      </w:pPr>
    </w:p>
    <w:p w14:paraId="72CF89F7" w14:textId="77777777" w:rsidR="00E66C07" w:rsidRDefault="00000000">
      <w:pPr>
        <w:spacing w:before="80" w:after="100"/>
        <w:jc w:val="both"/>
      </w:pPr>
      <w:r>
        <w:rPr>
          <w:i/>
          <w:iCs/>
        </w:rPr>
        <w:t xml:space="preserve">Die in der Branche kursierende Erklärung, Marktteilnehmer seien zu unprofessionell für die korrekte Implementierung, ist sachlich nicht haltbar. </w:t>
      </w:r>
      <w:r>
        <w:rPr>
          <w:b/>
          <w:bCs/>
        </w:rPr>
        <w:t>Eine schlecht spezifizierte Schnittstelle erzeugt zwangsläufig schlechte Implementierungen — das ist ein Grundgesetz der Softwareentwicklung.</w:t>
      </w:r>
      <w:r>
        <w:rPr>
          <w:i/>
          <w:iCs/>
        </w:rPr>
        <w:t xml:space="preserve"> Die Verantwortung liegt bei der Qualität der Spezifikation, nicht bei den Implementierern.</w:t>
      </w:r>
    </w:p>
    <w:p w14:paraId="1EECC6E9" w14:textId="77777777" w:rsidR="00E66C07" w:rsidRDefault="00E66C07">
      <w:pPr>
        <w:spacing w:before="160"/>
      </w:pPr>
    </w:p>
    <w:p w14:paraId="7C97ADFC" w14:textId="77777777" w:rsidR="00E66C07" w:rsidRDefault="00000000">
      <w:pPr>
        <w:pStyle w:val="berschrift1"/>
      </w:pPr>
      <w:r>
        <w:t>Was bedeutet das — ohne Technik erklärt?</w:t>
      </w:r>
    </w:p>
    <w:p w14:paraId="61FA987A" w14:textId="77777777" w:rsidR="00E66C07" w:rsidRDefault="00E66C07">
      <w:pPr>
        <w:pBdr>
          <w:bottom w:val="single" w:sz="6" w:space="1" w:color="2E75B6"/>
        </w:pBdr>
        <w:spacing w:before="140" w:after="140"/>
      </w:pPr>
    </w:p>
    <w:p w14:paraId="65B86AF1" w14:textId="77777777" w:rsidR="00E66C07" w:rsidRDefault="00000000">
      <w:pPr>
        <w:pStyle w:val="berschrift2"/>
      </w:pPr>
      <w:r>
        <w:t>Problem 1: Die Adresse enthält die Etage — und muss bei jedem Umzug neu gedruckt werden</w:t>
      </w:r>
    </w:p>
    <w:p w14:paraId="6EEB8B98" w14:textId="77777777" w:rsidR="00E66C07" w:rsidRDefault="00000000">
      <w:pPr>
        <w:spacing w:before="80" w:after="100"/>
        <w:jc w:val="both"/>
      </w:pPr>
      <w:r>
        <w:t>Stellen Sie sich vor, die Deutsche Post würde ihre Lieferadressen so aufbauen: nicht nur Straße, Hausnummer und Ort — sondern auch die Etage des Gebäudes, in der sich gerade der zuständige Mitarbeiter befindet. Zieht der Mitarbeiter um, muss jeder Briefkopf, jedes Adressbuch, jede gespeicherte Adresse im Unternehmen geändert werden. Obwohl der Empfänger — das Unternehmen — derselbe geblieben ist.</w:t>
      </w:r>
    </w:p>
    <w:p w14:paraId="5D574393" w14:textId="77777777" w:rsidR="00E66C07" w:rsidRDefault="00E66C07">
      <w:pPr>
        <w:spacing w:before="80"/>
      </w:pPr>
    </w:p>
    <w:p w14:paraId="77C833E4" w14:textId="77777777" w:rsidR="00E66C07" w:rsidRDefault="00000000">
      <w:pPr>
        <w:spacing w:before="80" w:after="100"/>
        <w:jc w:val="both"/>
      </w:pPr>
      <w:r>
        <w:t>Genau so funktioniert die aktuelle Versionierung der MaLo-Ident-API. Die Schnittstellen-Adresse lautet heute: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66C07" w14:paraId="63DC7DE5"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1E1E1E"/>
            <w:tcMar>
              <w:top w:w="120" w:type="dxa"/>
              <w:left w:w="200" w:type="dxa"/>
              <w:bottom w:w="120" w:type="dxa"/>
              <w:right w:w="200" w:type="dxa"/>
            </w:tcMar>
          </w:tcPr>
          <w:p w14:paraId="567BBBB2" w14:textId="77777777" w:rsidR="00E66C07" w:rsidRDefault="00000000">
            <w:pPr>
              <w:spacing w:before="80" w:after="100"/>
              <w:jc w:val="both"/>
            </w:pPr>
            <w:r>
              <w:rPr>
                <w:color w:val="D4D4D4"/>
                <w:sz w:val="19"/>
                <w:szCs w:val="19"/>
              </w:rPr>
              <w:t>/maloId/request/v2   ← Die Versionsnummer ist Teil der Adresse</w:t>
            </w:r>
          </w:p>
        </w:tc>
      </w:tr>
    </w:tbl>
    <w:p w14:paraId="1CD6990E" w14:textId="77777777" w:rsidR="00E66C07" w:rsidRDefault="00E66C07">
      <w:pPr>
        <w:spacing w:before="80"/>
      </w:pPr>
    </w:p>
    <w:p w14:paraId="6FBA5FE9" w14:textId="77777777" w:rsidR="00E66C07" w:rsidRDefault="00000000">
      <w:pPr>
        <w:spacing w:before="80" w:after="100"/>
        <w:jc w:val="both"/>
      </w:pPr>
      <w:r>
        <w:t>Bei jeder neuen Schnittstellenversion — also bei jedem Umzug — müssen alle 900+ angebundenen Marktpartner ihre Systeme, Konfigurationen, Sicherheitsregeln und Routing-Tabellen anpassen. Das ist nicht ein technisches Problem, sondern ein betriebswirtschaftliches: Es erzeugt synchronen, flächendeckenden Änderungsaufwand in der gesamten Branche, der sich mit jeder der über 60 geplanten neuen Schnittstellen wiederholt.</w:t>
      </w:r>
    </w:p>
    <w:p w14:paraId="5BFE65D4" w14:textId="77777777" w:rsidR="00E66C07" w:rsidRDefault="00E66C07">
      <w:pPr>
        <w:spacing w:before="80"/>
      </w:pPr>
    </w:p>
    <w:p w14:paraId="49955D57" w14:textId="77777777" w:rsidR="00E66C07" w:rsidRDefault="00000000">
      <w:pPr>
        <w:spacing w:before="80" w:after="100"/>
        <w:jc w:val="both"/>
      </w:pPr>
      <w:r>
        <w:rPr>
          <w:b/>
          <w:bCs/>
        </w:rPr>
        <w:lastRenderedPageBreak/>
        <w:t xml:space="preserve">Die Lösung ist seit Jahrzehnten bekannt und standardisiert: </w:t>
      </w:r>
      <w:r>
        <w:t>Die Version gehört nicht in die Adresse, sondern in den Begleitzettel des Briefs (den HTTP-Header). Die Adresse bleibt dann dauerhaft stabil — egal wie oft die interne Version wechselt.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66C07" w14:paraId="3CEC6325" w14:textId="77777777">
        <w:tblPrEx>
          <w:tblCellMar>
            <w:top w:w="0" w:type="dxa"/>
            <w:bottom w:w="0" w:type="dxa"/>
          </w:tblCellMar>
        </w:tblPrEx>
        <w:tc>
          <w:tcPr>
            <w:tcW w:w="9026" w:type="dxa"/>
            <w:tcBorders>
              <w:top w:val="single" w:sz="10" w:space="0" w:color="E67E22"/>
              <w:left w:val="single" w:sz="10" w:space="0" w:color="E67E22"/>
              <w:bottom w:val="single" w:sz="4" w:space="0" w:color="CCCCCC"/>
              <w:right w:val="single" w:sz="4" w:space="0" w:color="CCCCCC"/>
            </w:tcBorders>
            <w:shd w:val="clear" w:color="auto" w:fill="FEF9E7"/>
            <w:tcMar>
              <w:top w:w="140" w:type="dxa"/>
              <w:left w:w="220" w:type="dxa"/>
              <w:bottom w:w="140" w:type="dxa"/>
              <w:right w:w="220" w:type="dxa"/>
            </w:tcMar>
          </w:tcPr>
          <w:p w14:paraId="022ABEF5" w14:textId="77777777" w:rsidR="00E66C07" w:rsidRDefault="00000000">
            <w:pPr>
              <w:spacing w:before="80" w:after="100"/>
              <w:jc w:val="both"/>
            </w:pPr>
            <w:r>
              <w:rPr>
                <w:b/>
                <w:bCs/>
                <w:color w:val="E67E22"/>
              </w:rPr>
              <w:t xml:space="preserve">Vergleich: </w:t>
            </w:r>
            <w:r>
              <w:t>Ein Briefkopf ändert sich nicht, wenn das Unternehmen intern seine Ablagestruktur reorganisiert. Die externe Adresse ist vom internen Aufbau zu trennen.</w:t>
            </w:r>
          </w:p>
        </w:tc>
      </w:tr>
    </w:tbl>
    <w:p w14:paraId="53A44760" w14:textId="77777777" w:rsidR="00E66C07" w:rsidRDefault="00E66C07">
      <w:pPr>
        <w:spacing w:before="160"/>
      </w:pPr>
    </w:p>
    <w:p w14:paraId="605322E9" w14:textId="77777777" w:rsidR="00E66C07" w:rsidRDefault="00000000">
      <w:pPr>
        <w:pStyle w:val="berschrift2"/>
      </w:pPr>
      <w:r>
        <w:t>Problem 2: Man benutzt einen Schlüssel, wo keine Tür ist</w:t>
      </w:r>
    </w:p>
    <w:p w14:paraId="706F3A34" w14:textId="77777777" w:rsidR="00E66C07" w:rsidRDefault="00000000">
      <w:pPr>
        <w:spacing w:before="80" w:after="100"/>
        <w:jc w:val="both"/>
      </w:pPr>
      <w:r>
        <w:t>Die Guideline führt ein Konzept namens Idempotenz ein und beschreibt damit, wie Wiederholungsversuche von Anfragen technisch verwaltet werden sollen. Idempotenz bedeutet im technischen Sinne: Eine Aktion, die man mehrfach ausführt, erzeugt dasselbe Ergebnis wie einmal — ohne Nebenwirkungen. Das Prinzip ist wichtig und sinnvoll — aber nur dort, wo eine Aktion überhaupt einen Zustand verändert.</w:t>
      </w:r>
    </w:p>
    <w:p w14:paraId="7618DCDD" w14:textId="77777777" w:rsidR="00E66C07" w:rsidRDefault="00E66C07">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66C07" w14:paraId="0CA99F20" w14:textId="77777777">
        <w:tblPrEx>
          <w:tblCellMar>
            <w:top w:w="0" w:type="dxa"/>
            <w:bottom w:w="0" w:type="dxa"/>
          </w:tblCellMar>
        </w:tblPrEx>
        <w:tc>
          <w:tcPr>
            <w:tcW w:w="9026" w:type="dxa"/>
            <w:tcBorders>
              <w:top w:val="single" w:sz="10" w:space="0" w:color="2E75B6"/>
              <w:left w:val="single" w:sz="10" w:space="0" w:color="2E75B6"/>
              <w:bottom w:val="single" w:sz="4" w:space="0" w:color="CCCCCC"/>
              <w:right w:val="single" w:sz="4" w:space="0" w:color="CCCCCC"/>
            </w:tcBorders>
            <w:shd w:val="clear" w:color="auto" w:fill="D5E8F0"/>
            <w:tcMar>
              <w:top w:w="140" w:type="dxa"/>
              <w:left w:w="220" w:type="dxa"/>
              <w:bottom w:w="140" w:type="dxa"/>
              <w:right w:w="220" w:type="dxa"/>
            </w:tcMar>
          </w:tcPr>
          <w:p w14:paraId="32DE13C8" w14:textId="77777777" w:rsidR="00E66C07" w:rsidRDefault="00000000">
            <w:pPr>
              <w:spacing w:before="80" w:after="100"/>
              <w:jc w:val="both"/>
            </w:pPr>
            <w:r>
              <w:rPr>
                <w:b/>
                <w:bCs/>
                <w:color w:val="1A3A5C"/>
              </w:rPr>
              <w:t xml:space="preserve">Analogie: </w:t>
            </w:r>
            <w:r>
              <w:t>Man baut einen Sicherheitsmechanismus gegen das versehentliche Doppel-Absenden einer Überweisung ein — bei einem Dienst, der lediglich den Kontostand abfragt. Der Mechanismus schadet nicht, erzeugt aber Komplexität ohne Nutzen und wird von Implementierern falsch verstanden, weil der Kontext nicht passt.</w:t>
            </w:r>
          </w:p>
        </w:tc>
      </w:tr>
    </w:tbl>
    <w:p w14:paraId="624A3C54" w14:textId="77777777" w:rsidR="00E66C07" w:rsidRDefault="00E66C07">
      <w:pPr>
        <w:spacing w:before="80"/>
      </w:pPr>
    </w:p>
    <w:p w14:paraId="54F95B13" w14:textId="77777777" w:rsidR="00E66C07" w:rsidRDefault="00000000">
      <w:pPr>
        <w:spacing w:before="80" w:after="100"/>
        <w:jc w:val="both"/>
      </w:pPr>
      <w:r>
        <w:t>Die MaLo-Ident-Schnittstelle fragt Stammdaten ab. Sie verändert nichts. Trotzdem wurde ein komplexes, dreistufiges System aus transactionId, initialTransactionId und referenceId als Idempotenzschlüssel eingeführt und dokumentiert — mit dem Ergebnis, dass heute mindestens zwei gleich plausible, aber gegenseitig inkompatible Implementierungen existieren. Verschiedene ERP-Systeme kommunizieren aneinander vorbei, weil die Spezifikation zwei verschiedene Lesarten zulässt.</w:t>
      </w:r>
    </w:p>
    <w:p w14:paraId="7D27CBB4" w14:textId="77777777" w:rsidR="00E66C07" w:rsidRDefault="00E66C07">
      <w:pPr>
        <w:spacing w:before="80"/>
      </w:pPr>
    </w:p>
    <w:p w14:paraId="7ABEB67E" w14:textId="77777777" w:rsidR="00E66C07" w:rsidRDefault="00000000">
      <w:pPr>
        <w:spacing w:before="80" w:after="100"/>
        <w:jc w:val="both"/>
      </w:pPr>
      <w:r>
        <w:rPr>
          <w:b/>
          <w:bCs/>
        </w:rPr>
        <w:t>Was tatsächlich gebraucht wird</w:t>
      </w:r>
      <w:r>
        <w:t>, ist kein Idempotenz-Mechanismus, sondern eine Verfolgungsnummer — vergleichbar mit der DHL-Sendungsverfolgungsnummer: Gleiche Nummer über alle Stationen, erkennbar als Wiederholungsversuch, Laufzeit messbar. Hierfür gibt es einen weltweit etablierten Standard (W3C Trace Context), der in keinem der Dokumente auch nur erwähnt wird.</w:t>
      </w:r>
    </w:p>
    <w:p w14:paraId="016BF497" w14:textId="77777777" w:rsidR="00E66C07" w:rsidRDefault="00E66C07">
      <w:pPr>
        <w:spacing w:before="160"/>
      </w:pPr>
    </w:p>
    <w:p w14:paraId="2592FF3A" w14:textId="77777777" w:rsidR="00E66C07" w:rsidRDefault="00000000">
      <w:pPr>
        <w:pStyle w:val="berschrift2"/>
      </w:pPr>
      <w:r>
        <w:t>Problem 3: Das Ergebnis kommt durch die Hintertür — und niemand weiß, welche</w:t>
      </w:r>
    </w:p>
    <w:p w14:paraId="13561AA8" w14:textId="77777777" w:rsidR="00E66C07" w:rsidRDefault="00000000">
      <w:pPr>
        <w:spacing w:before="80" w:after="100"/>
        <w:jc w:val="both"/>
      </w:pPr>
      <w:r>
        <w:t>Bei der MaLo-Ident-Abfrage gibt es keine direkte Antwort. Stattdessen:</w:t>
      </w:r>
    </w:p>
    <w:p w14:paraId="6949620D" w14:textId="77777777" w:rsidR="00E66C07" w:rsidRDefault="00000000">
      <w:pPr>
        <w:pStyle w:val="Listenabsatz"/>
        <w:numPr>
          <w:ilvl w:val="0"/>
          <w:numId w:val="2"/>
        </w:numPr>
        <w:spacing w:before="60" w:after="60"/>
      </w:pPr>
      <w:r>
        <w:t>Der Anfragesteller schickt eine Anfrage und erhält sofort eine Bestätigung: Anfrage erhalten. Kein Ergebnis.</w:t>
      </w:r>
    </w:p>
    <w:p w14:paraId="3F438C10" w14:textId="77777777" w:rsidR="00E66C07" w:rsidRDefault="00000000">
      <w:pPr>
        <w:pStyle w:val="Listenabsatz"/>
        <w:numPr>
          <w:ilvl w:val="0"/>
          <w:numId w:val="2"/>
        </w:numPr>
        <w:spacing w:before="60" w:after="60"/>
      </w:pPr>
      <w:r>
        <w:t>Zu einem späteren Zeitpunkt schickt der Empfänger das Ergebnis zurück — über eine komplett andere Adresse.</w:t>
      </w:r>
    </w:p>
    <w:p w14:paraId="1D612339" w14:textId="77777777" w:rsidR="00E66C07" w:rsidRDefault="00000000">
      <w:pPr>
        <w:pStyle w:val="Listenabsatz"/>
        <w:numPr>
          <w:ilvl w:val="0"/>
          <w:numId w:val="2"/>
        </w:numPr>
        <w:spacing w:before="60" w:after="60"/>
      </w:pPr>
      <w:r>
        <w:t>Es gibt zwei verschiedene Rückgabe-Adressen: eine für positive Ergebnisse, eine für negative.</w:t>
      </w:r>
    </w:p>
    <w:p w14:paraId="3290FA47" w14:textId="77777777" w:rsidR="00E66C07" w:rsidRDefault="00E66C07">
      <w:pPr>
        <w:spacing w:before="80"/>
      </w:pPr>
    </w:p>
    <w:p w14:paraId="7EDE54F3" w14:textId="77777777" w:rsidR="00E66C07" w:rsidRDefault="00000000">
      <w:pPr>
        <w:spacing w:before="80" w:after="100"/>
        <w:jc w:val="both"/>
      </w:pPr>
      <w:r>
        <w:t xml:space="preserve">Das klingt nach einem nachvollziehbaren Ansatz für asynchrone Verarbeitung — aber die Umsetzung entspricht keinem bekannten Standard. Es gibt weltweit etablierte, </w:t>
      </w:r>
      <w:r>
        <w:lastRenderedPageBreak/>
        <w:t>werkzeugunterstützte Muster für genau diesen Anwendungsfall. Stattdessen wurde ein proprietäres System gebaut, das:</w:t>
      </w:r>
    </w:p>
    <w:p w14:paraId="326DE258" w14:textId="77777777" w:rsidR="00E66C07" w:rsidRDefault="00000000">
      <w:pPr>
        <w:pStyle w:val="Listenabsatz"/>
        <w:numPr>
          <w:ilvl w:val="0"/>
          <w:numId w:val="2"/>
        </w:numPr>
        <w:spacing w:before="60" w:after="60"/>
      </w:pPr>
      <w:r>
        <w:t>Jeder Marktpartner selbst implementieren und testen muss, ohne auf Standardbibliotheken zurückgreifen zu können.</w:t>
      </w:r>
    </w:p>
    <w:p w14:paraId="3C910B62" w14:textId="77777777" w:rsidR="00E66C07" w:rsidRDefault="00000000">
      <w:pPr>
        <w:pStyle w:val="Listenabsatz"/>
        <w:numPr>
          <w:ilvl w:val="0"/>
          <w:numId w:val="2"/>
        </w:numPr>
        <w:spacing w:before="60" w:after="60"/>
      </w:pPr>
      <w:r>
        <w:t>Zu unterschiedlichen Implementierungen führt, weil die Dokumentation mehrdeutig ist.</w:t>
      </w:r>
    </w:p>
    <w:p w14:paraId="236E7809" w14:textId="77777777" w:rsidR="00E66C07" w:rsidRDefault="00000000">
      <w:pPr>
        <w:pStyle w:val="Listenabsatz"/>
        <w:numPr>
          <w:ilvl w:val="0"/>
          <w:numId w:val="2"/>
        </w:numPr>
        <w:spacing w:before="60" w:after="60"/>
      </w:pPr>
      <w:r>
        <w:t>Bei Fehlern keine strukturierten, maschinenlesbaren Fehlerbeschreibungen liefert — sondern nur rohe HTTP-Fehlercodes ohne Kontext.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66C07" w14:paraId="6D6B848A" w14:textId="77777777">
        <w:tblPrEx>
          <w:tblCellMar>
            <w:top w:w="0" w:type="dxa"/>
            <w:bottom w:w="0" w:type="dxa"/>
          </w:tblCellMar>
        </w:tblPrEx>
        <w:tc>
          <w:tcPr>
            <w:tcW w:w="9026" w:type="dxa"/>
            <w:tcBorders>
              <w:top w:val="single" w:sz="10" w:space="0" w:color="C0392B"/>
              <w:left w:val="single" w:sz="10" w:space="0" w:color="C0392B"/>
              <w:bottom w:val="single" w:sz="4" w:space="0" w:color="CCCCCC"/>
              <w:right w:val="single" w:sz="4" w:space="0" w:color="CCCCCC"/>
            </w:tcBorders>
            <w:shd w:val="clear" w:color="auto" w:fill="FDEDEC"/>
            <w:tcMar>
              <w:top w:w="140" w:type="dxa"/>
              <w:left w:w="220" w:type="dxa"/>
              <w:bottom w:w="140" w:type="dxa"/>
              <w:right w:w="220" w:type="dxa"/>
            </w:tcMar>
          </w:tcPr>
          <w:p w14:paraId="5FFFA50B" w14:textId="77777777" w:rsidR="00E66C07" w:rsidRDefault="00000000">
            <w:pPr>
              <w:spacing w:before="80" w:after="100"/>
              <w:jc w:val="both"/>
            </w:pPr>
            <w:r>
              <w:rPr>
                <w:b/>
                <w:bCs/>
                <w:color w:val="C0392B"/>
              </w:rPr>
              <w:t xml:space="preserve">Vergleich: </w:t>
            </w:r>
            <w:r>
              <w:rPr>
                <w:i/>
                <w:iCs/>
              </w:rPr>
              <w:t>Als würde eine Bank für Überweisungen ein eigenes Kommunikationsprotokoll erfinden, obwohl SWIFT seit 50 Jahren existiert und von allen Banken weltweit genutzt wird. Das Resultat: Jede Transaktion mit einer anderen Bank erfordert individuelle Sonderabsprachen.</w:t>
            </w:r>
          </w:p>
        </w:tc>
      </w:tr>
    </w:tbl>
    <w:p w14:paraId="50C89167" w14:textId="77777777" w:rsidR="00E66C07" w:rsidRDefault="00000000">
      <w:r>
        <w:br w:type="page"/>
      </w:r>
    </w:p>
    <w:p w14:paraId="397EEC38" w14:textId="77777777" w:rsidR="00E66C07" w:rsidRDefault="00000000">
      <w:pPr>
        <w:pStyle w:val="berschrift1"/>
      </w:pPr>
      <w:r>
        <w:lastRenderedPageBreak/>
        <w:t>Was kostet das die Branche?</w:t>
      </w:r>
    </w:p>
    <w:p w14:paraId="5538E4FA" w14:textId="77777777" w:rsidR="00E66C07" w:rsidRDefault="00E66C07">
      <w:pPr>
        <w:pBdr>
          <w:bottom w:val="single" w:sz="6" w:space="1" w:color="2E75B6"/>
        </w:pBdr>
        <w:spacing w:before="140" w:after="140"/>
      </w:pPr>
    </w:p>
    <w:p w14:paraId="02B53359" w14:textId="77777777" w:rsidR="00E66C07" w:rsidRDefault="00000000">
      <w:pPr>
        <w:spacing w:before="80" w:after="100"/>
        <w:jc w:val="both"/>
      </w:pPr>
      <w:r>
        <w:t>Die drei beschriebenen Probleme sind nicht theoretischer Natur. Sie haben heute messbare betriebswirtschaftliche Konsequenzen:</w:t>
      </w:r>
    </w:p>
    <w:p w14:paraId="7C7F9FB7" w14:textId="77777777" w:rsidR="00E66C07" w:rsidRDefault="00E66C07">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E66C07" w14:paraId="102E984B" w14:textId="77777777">
        <w:tblPrEx>
          <w:tblCellMar>
            <w:top w:w="0" w:type="dxa"/>
            <w:bottom w:w="0" w:type="dxa"/>
          </w:tblCellMar>
        </w:tblPrEx>
        <w:trPr>
          <w:tblHeader/>
        </w:trPr>
        <w:tc>
          <w:tcPr>
            <w:tcW w:w="3200" w:type="dxa"/>
            <w:tcBorders>
              <w:top w:val="single" w:sz="4" w:space="0" w:color="CCCCCC"/>
              <w:left w:val="single" w:sz="4" w:space="0" w:color="CCCCCC"/>
              <w:bottom w:val="single" w:sz="4" w:space="0" w:color="CCCCCC"/>
              <w:right w:val="single" w:sz="4" w:space="0" w:color="CCCCCC"/>
            </w:tcBorders>
            <w:shd w:val="clear" w:color="auto" w:fill="1A3A5C"/>
            <w:tcMar>
              <w:top w:w="100" w:type="dxa"/>
              <w:left w:w="160" w:type="dxa"/>
              <w:bottom w:w="100" w:type="dxa"/>
              <w:right w:w="160" w:type="dxa"/>
            </w:tcMar>
          </w:tcPr>
          <w:p w14:paraId="471F2D23" w14:textId="77777777" w:rsidR="00E66C07" w:rsidRDefault="00000000">
            <w:pPr>
              <w:spacing w:before="80" w:after="100"/>
              <w:jc w:val="both"/>
            </w:pPr>
            <w:r>
              <w:rPr>
                <w:b/>
                <w:bCs/>
                <w:color w:val="FFFFFF"/>
              </w:rPr>
              <w:t>Auswirkung</w:t>
            </w:r>
          </w:p>
        </w:tc>
        <w:tc>
          <w:tcPr>
            <w:tcW w:w="5826" w:type="dxa"/>
            <w:tcBorders>
              <w:top w:val="single" w:sz="4" w:space="0" w:color="CCCCCC"/>
              <w:left w:val="single" w:sz="4" w:space="0" w:color="CCCCCC"/>
              <w:bottom w:val="single" w:sz="4" w:space="0" w:color="CCCCCC"/>
              <w:right w:val="single" w:sz="4" w:space="0" w:color="CCCCCC"/>
            </w:tcBorders>
            <w:shd w:val="clear" w:color="auto" w:fill="1A3A5C"/>
            <w:tcMar>
              <w:top w:w="100" w:type="dxa"/>
              <w:left w:w="160" w:type="dxa"/>
              <w:bottom w:w="100" w:type="dxa"/>
              <w:right w:w="160" w:type="dxa"/>
            </w:tcMar>
          </w:tcPr>
          <w:p w14:paraId="121379A6" w14:textId="77777777" w:rsidR="00E66C07" w:rsidRDefault="00000000">
            <w:pPr>
              <w:spacing w:before="80" w:after="100"/>
              <w:jc w:val="both"/>
            </w:pPr>
            <w:r>
              <w:rPr>
                <w:b/>
                <w:bCs/>
                <w:color w:val="FFFFFF"/>
              </w:rPr>
              <w:t>Konkrete Folge</w:t>
            </w:r>
          </w:p>
        </w:tc>
      </w:tr>
      <w:tr w:rsidR="00E66C07" w14:paraId="497F017B"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60" w:type="dxa"/>
              <w:bottom w:w="90" w:type="dxa"/>
              <w:right w:w="160" w:type="dxa"/>
            </w:tcMar>
          </w:tcPr>
          <w:p w14:paraId="6695378E" w14:textId="77777777" w:rsidR="00E66C07" w:rsidRDefault="00000000">
            <w:pPr>
              <w:spacing w:before="80" w:after="100"/>
              <w:jc w:val="both"/>
            </w:pPr>
            <w:r>
              <w:rPr>
                <w:b/>
                <w:bCs/>
              </w:rPr>
              <w:t>Flächendeckende Interoperabilitätsfehler</w:t>
            </w:r>
          </w:p>
        </w:tc>
        <w:tc>
          <w:tcPr>
            <w:tcW w:w="5826" w:type="dxa"/>
            <w:tcBorders>
              <w:top w:val="single" w:sz="4" w:space="0" w:color="CCCCCC"/>
              <w:left w:val="single" w:sz="4" w:space="0" w:color="CCCCCC"/>
              <w:bottom w:val="single" w:sz="4" w:space="0" w:color="CCCCCC"/>
              <w:right w:val="single" w:sz="4" w:space="0" w:color="CCCCCC"/>
            </w:tcBorders>
            <w:shd w:val="clear" w:color="auto" w:fill="FFFFFF"/>
            <w:tcMar>
              <w:top w:w="90" w:type="dxa"/>
              <w:left w:w="160" w:type="dxa"/>
              <w:bottom w:w="90" w:type="dxa"/>
              <w:right w:w="160" w:type="dxa"/>
            </w:tcMar>
          </w:tcPr>
          <w:p w14:paraId="05813947" w14:textId="77777777" w:rsidR="00E66C07" w:rsidRDefault="00000000">
            <w:pPr>
              <w:spacing w:before="80" w:after="100"/>
              <w:jc w:val="both"/>
            </w:pPr>
            <w:r>
              <w:t>Marktteilnehmer kommunizieren aneinander vorbei, weil die Spezifikation zwei gegensätzliche Implementierungen erlaubt. Dies ist in Dokumenten der Arbeitsgruppe explizit beschrieben und von den Betroffenen als dramatisch eingestuft.</w:t>
            </w:r>
          </w:p>
        </w:tc>
      </w:tr>
      <w:tr w:rsidR="00E66C07" w14:paraId="053043C1"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5F5F5"/>
            <w:tcMar>
              <w:top w:w="90" w:type="dxa"/>
              <w:left w:w="160" w:type="dxa"/>
              <w:bottom w:w="90" w:type="dxa"/>
              <w:right w:w="160" w:type="dxa"/>
            </w:tcMar>
          </w:tcPr>
          <w:p w14:paraId="2868975D" w14:textId="77777777" w:rsidR="00E66C07" w:rsidRDefault="00000000">
            <w:pPr>
              <w:spacing w:before="80" w:after="100"/>
              <w:jc w:val="both"/>
            </w:pPr>
            <w:r>
              <w:rPr>
                <w:b/>
                <w:bCs/>
              </w:rPr>
              <w:t>Synchroner Migrationsaufwand bei jedem Versionssprung</w:t>
            </w:r>
          </w:p>
        </w:tc>
        <w:tc>
          <w:tcPr>
            <w:tcW w:w="5826" w:type="dxa"/>
            <w:tcBorders>
              <w:top w:val="single" w:sz="4" w:space="0" w:color="CCCCCC"/>
              <w:left w:val="single" w:sz="4" w:space="0" w:color="CCCCCC"/>
              <w:bottom w:val="single" w:sz="4" w:space="0" w:color="CCCCCC"/>
              <w:right w:val="single" w:sz="4" w:space="0" w:color="CCCCCC"/>
            </w:tcBorders>
            <w:shd w:val="clear" w:color="auto" w:fill="F5F5F5"/>
            <w:tcMar>
              <w:top w:w="90" w:type="dxa"/>
              <w:left w:w="160" w:type="dxa"/>
              <w:bottom w:w="90" w:type="dxa"/>
              <w:right w:w="160" w:type="dxa"/>
            </w:tcMar>
          </w:tcPr>
          <w:p w14:paraId="4F838FCB" w14:textId="77777777" w:rsidR="00E66C07" w:rsidRDefault="00000000">
            <w:pPr>
              <w:spacing w:before="80" w:after="100"/>
              <w:jc w:val="both"/>
            </w:pPr>
            <w:r>
              <w:t>900+ Marktteilnehmer müssen bei jeder neuen API-Version gleichzeitig ihre Systeme anpassen. Bei 60+ geplanten APIs über mehrere Jahre bedeutet das einen dauerhaften, enormen Koordinierungsaufwand in der gesamten Branche.</w:t>
            </w:r>
          </w:p>
        </w:tc>
      </w:tr>
      <w:tr w:rsidR="00E66C07" w14:paraId="336034BE"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60" w:type="dxa"/>
              <w:bottom w:w="90" w:type="dxa"/>
              <w:right w:w="160" w:type="dxa"/>
            </w:tcMar>
          </w:tcPr>
          <w:p w14:paraId="27A3F0E5" w14:textId="77777777" w:rsidR="00E66C07" w:rsidRDefault="00000000">
            <w:pPr>
              <w:spacing w:before="80" w:after="100"/>
              <w:jc w:val="both"/>
            </w:pPr>
            <w:r>
              <w:rPr>
                <w:b/>
                <w:bCs/>
              </w:rPr>
              <w:t>Erhöhtes Risiko in kritischer Infrastruktur</w:t>
            </w:r>
          </w:p>
        </w:tc>
        <w:tc>
          <w:tcPr>
            <w:tcW w:w="5826" w:type="dxa"/>
            <w:tcBorders>
              <w:top w:val="single" w:sz="4" w:space="0" w:color="CCCCCC"/>
              <w:left w:val="single" w:sz="4" w:space="0" w:color="CCCCCC"/>
              <w:bottom w:val="single" w:sz="4" w:space="0" w:color="CCCCCC"/>
              <w:right w:val="single" w:sz="4" w:space="0" w:color="CCCCCC"/>
            </w:tcBorders>
            <w:shd w:val="clear" w:color="auto" w:fill="FFFFFF"/>
            <w:tcMar>
              <w:top w:w="90" w:type="dxa"/>
              <w:left w:w="160" w:type="dxa"/>
              <w:bottom w:w="90" w:type="dxa"/>
              <w:right w:w="160" w:type="dxa"/>
            </w:tcMar>
          </w:tcPr>
          <w:p w14:paraId="575D5A5B" w14:textId="77777777" w:rsidR="00E66C07" w:rsidRDefault="00000000">
            <w:pPr>
              <w:spacing w:before="80" w:after="100"/>
              <w:jc w:val="both"/>
            </w:pPr>
            <w:r>
              <w:t>Fehlerhafte Schnittstellenimplementierungen in der Energieversorgung können zu Versorgungsunterbrechungen, regulatorischen Verstößen (NIS2, KRITIS-DachG) und Haftungsrisiken führen.</w:t>
            </w:r>
          </w:p>
        </w:tc>
      </w:tr>
      <w:tr w:rsidR="00E66C07" w14:paraId="6C8445E8"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5F5F5"/>
            <w:tcMar>
              <w:top w:w="90" w:type="dxa"/>
              <w:left w:w="160" w:type="dxa"/>
              <w:bottom w:w="90" w:type="dxa"/>
              <w:right w:w="160" w:type="dxa"/>
            </w:tcMar>
          </w:tcPr>
          <w:p w14:paraId="0CD43524" w14:textId="77777777" w:rsidR="00E66C07" w:rsidRDefault="00000000">
            <w:pPr>
              <w:spacing w:before="80" w:after="100"/>
              <w:jc w:val="both"/>
            </w:pPr>
            <w:r>
              <w:rPr>
                <w:b/>
                <w:bCs/>
              </w:rPr>
              <w:t>Aufwand für Fehlerbehebung statt Innovation</w:t>
            </w:r>
          </w:p>
        </w:tc>
        <w:tc>
          <w:tcPr>
            <w:tcW w:w="5826" w:type="dxa"/>
            <w:tcBorders>
              <w:top w:val="single" w:sz="4" w:space="0" w:color="CCCCCC"/>
              <w:left w:val="single" w:sz="4" w:space="0" w:color="CCCCCC"/>
              <w:bottom w:val="single" w:sz="4" w:space="0" w:color="CCCCCC"/>
              <w:right w:val="single" w:sz="4" w:space="0" w:color="CCCCCC"/>
            </w:tcBorders>
            <w:shd w:val="clear" w:color="auto" w:fill="F5F5F5"/>
            <w:tcMar>
              <w:top w:w="90" w:type="dxa"/>
              <w:left w:w="160" w:type="dxa"/>
              <w:bottom w:w="90" w:type="dxa"/>
              <w:right w:w="160" w:type="dxa"/>
            </w:tcMar>
          </w:tcPr>
          <w:p w14:paraId="440770EE" w14:textId="77777777" w:rsidR="00E66C07" w:rsidRDefault="00000000">
            <w:pPr>
              <w:spacing w:before="80" w:after="100"/>
              <w:jc w:val="both"/>
            </w:pPr>
            <w:r>
              <w:t>Ein erheblicher Teil der Entwicklungskapazität bei Herstellern und Netzbetreibern wird für die Behebung von Schnittstellenproblemen gebunden, die bei sauberer Spezifikation nicht entstanden wären.</w:t>
            </w:r>
          </w:p>
        </w:tc>
      </w:tr>
      <w:tr w:rsidR="00E66C07" w14:paraId="7C25E89F"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60" w:type="dxa"/>
              <w:bottom w:w="90" w:type="dxa"/>
              <w:right w:w="160" w:type="dxa"/>
            </w:tcMar>
          </w:tcPr>
          <w:p w14:paraId="297AC141" w14:textId="77777777" w:rsidR="00E66C07" w:rsidRDefault="00000000">
            <w:pPr>
              <w:spacing w:before="80" w:after="100"/>
              <w:jc w:val="both"/>
            </w:pPr>
            <w:r>
              <w:rPr>
                <w:b/>
                <w:bCs/>
              </w:rPr>
              <w:t>Marktbarriere für neue Teilnehmer</w:t>
            </w:r>
          </w:p>
        </w:tc>
        <w:tc>
          <w:tcPr>
            <w:tcW w:w="5826" w:type="dxa"/>
            <w:tcBorders>
              <w:top w:val="single" w:sz="4" w:space="0" w:color="CCCCCC"/>
              <w:left w:val="single" w:sz="4" w:space="0" w:color="CCCCCC"/>
              <w:bottom w:val="single" w:sz="4" w:space="0" w:color="CCCCCC"/>
              <w:right w:val="single" w:sz="4" w:space="0" w:color="CCCCCC"/>
            </w:tcBorders>
            <w:shd w:val="clear" w:color="auto" w:fill="FFFFFF"/>
            <w:tcMar>
              <w:top w:w="90" w:type="dxa"/>
              <w:left w:w="160" w:type="dxa"/>
              <w:bottom w:w="90" w:type="dxa"/>
              <w:right w:w="160" w:type="dxa"/>
            </w:tcMar>
          </w:tcPr>
          <w:p w14:paraId="6554AAB6" w14:textId="77777777" w:rsidR="00E66C07" w:rsidRDefault="00000000">
            <w:pPr>
              <w:spacing w:before="80" w:after="100"/>
              <w:jc w:val="both"/>
            </w:pPr>
            <w:r>
              <w:t>Hochkomplexe, proprietäre Schnittstellen ohne Standardbibliotheken erhöhen die Eintrittsbarriere für neue IT-Dienstleister im Energiemarkt und schaden dem Wettbewerb.</w:t>
            </w:r>
          </w:p>
        </w:tc>
      </w:tr>
    </w:tbl>
    <w:p w14:paraId="555A1A2A" w14:textId="77777777" w:rsidR="00E66C07" w:rsidRDefault="00E66C07">
      <w:pPr>
        <w:spacing w:before="160"/>
      </w:pPr>
    </w:p>
    <w:p w14:paraId="7CAAA794" w14:textId="77777777" w:rsidR="00E66C07" w:rsidRDefault="00000000">
      <w:pPr>
        <w:pStyle w:val="berschrift1"/>
      </w:pPr>
      <w:r>
        <w:t>Empfehlung</w:t>
      </w:r>
    </w:p>
    <w:p w14:paraId="39EBCF4E" w14:textId="77777777" w:rsidR="00E66C07" w:rsidRDefault="00E66C07">
      <w:pPr>
        <w:pBdr>
          <w:bottom w:val="single" w:sz="6" w:space="1" w:color="2E75B6"/>
        </w:pBdr>
        <w:spacing w:before="140" w:after="1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66C07" w14:paraId="16C36371" w14:textId="77777777">
        <w:tblPrEx>
          <w:tblCellMar>
            <w:top w:w="0" w:type="dxa"/>
            <w:bottom w:w="0" w:type="dxa"/>
          </w:tblCellMar>
        </w:tblPrEx>
        <w:tc>
          <w:tcPr>
            <w:tcW w:w="9026" w:type="dxa"/>
            <w:tcBorders>
              <w:top w:val="single" w:sz="10" w:space="0" w:color="2E75B6"/>
              <w:left w:val="single" w:sz="10" w:space="0" w:color="2E75B6"/>
              <w:bottom w:val="single" w:sz="4" w:space="0" w:color="CCCCCC"/>
              <w:right w:val="single" w:sz="4" w:space="0" w:color="CCCCCC"/>
            </w:tcBorders>
            <w:shd w:val="clear" w:color="auto" w:fill="D5E8F0"/>
            <w:tcMar>
              <w:top w:w="140" w:type="dxa"/>
              <w:left w:w="220" w:type="dxa"/>
              <w:bottom w:w="140" w:type="dxa"/>
              <w:right w:w="220" w:type="dxa"/>
            </w:tcMar>
          </w:tcPr>
          <w:p w14:paraId="267CA49A" w14:textId="77777777" w:rsidR="00E66C07" w:rsidRDefault="00000000">
            <w:pPr>
              <w:spacing w:before="80" w:after="100"/>
              <w:jc w:val="both"/>
            </w:pPr>
            <w:r>
              <w:rPr>
                <w:b/>
                <w:bCs/>
                <w:color w:val="1A3A5C"/>
                <w:sz w:val="24"/>
                <w:szCs w:val="24"/>
              </w:rPr>
              <w:t xml:space="preserve">Unsere Empfehlung in einem Satz: </w:t>
            </w:r>
            <w:r>
              <w:t>Die Konzeption der API-Standards für den deutschen Energiemarkt muss vor dem Rollout der über 60 geplanten MaBiS-Hub-APIs durch unabhängige, spezialisierte Experten überprüft und korrigiert werden — das ist keine Frage des Komforts, sondern der Sicherheit einer nationalen Infrastruktur.</w:t>
            </w:r>
          </w:p>
        </w:tc>
      </w:tr>
    </w:tbl>
    <w:p w14:paraId="60CAA211" w14:textId="77777777" w:rsidR="00E66C07" w:rsidRDefault="00E66C07">
      <w:pPr>
        <w:spacing w:before="160"/>
      </w:pPr>
    </w:p>
    <w:p w14:paraId="58B852F8" w14:textId="77777777" w:rsidR="00E66C07" w:rsidRDefault="00000000">
      <w:pPr>
        <w:pStyle w:val="berschrift2"/>
      </w:pPr>
      <w:r>
        <w:lastRenderedPageBreak/>
        <w:t>Konkrete Maßnahmen — nach Dringlichkeit</w:t>
      </w:r>
    </w:p>
    <w:p w14:paraId="3253EA68" w14:textId="77777777" w:rsidR="00E66C07" w:rsidRDefault="00E66C07">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9"/>
        <w:gridCol w:w="2392"/>
        <w:gridCol w:w="3781"/>
        <w:gridCol w:w="2224"/>
      </w:tblGrid>
      <w:tr w:rsidR="00E66C07" w14:paraId="1F6A6FB7" w14:textId="77777777">
        <w:tblPrEx>
          <w:tblCellMar>
            <w:top w:w="0" w:type="dxa"/>
            <w:bottom w:w="0" w:type="dxa"/>
          </w:tblCellMar>
        </w:tblPrEx>
        <w:trPr>
          <w:tblHeader/>
        </w:trPr>
        <w:tc>
          <w:tcPr>
            <w:tcW w:w="600" w:type="dxa"/>
            <w:tcBorders>
              <w:top w:val="single" w:sz="4" w:space="0" w:color="CCCCCC"/>
              <w:left w:val="single" w:sz="4" w:space="0" w:color="CCCCCC"/>
              <w:bottom w:val="single" w:sz="4" w:space="0" w:color="CCCCCC"/>
              <w:right w:val="single" w:sz="4" w:space="0" w:color="CCCCCC"/>
            </w:tcBorders>
            <w:shd w:val="clear" w:color="auto" w:fill="1A3A5C"/>
            <w:tcMar>
              <w:top w:w="100" w:type="dxa"/>
              <w:left w:w="120" w:type="dxa"/>
              <w:bottom w:w="100" w:type="dxa"/>
              <w:right w:w="120" w:type="dxa"/>
            </w:tcMar>
          </w:tcPr>
          <w:p w14:paraId="58546A5A" w14:textId="77777777" w:rsidR="00E66C07" w:rsidRDefault="00000000">
            <w:pPr>
              <w:spacing w:before="80" w:after="100"/>
              <w:jc w:val="both"/>
            </w:pPr>
            <w:r>
              <w:rPr>
                <w:b/>
                <w:bCs/>
                <w:color w:val="FFFFFF"/>
                <w:sz w:val="20"/>
                <w:szCs w:val="20"/>
              </w:rPr>
              <w:t>Prio</w:t>
            </w:r>
          </w:p>
        </w:tc>
        <w:tc>
          <w:tcPr>
            <w:tcW w:w="2400" w:type="dxa"/>
            <w:tcBorders>
              <w:top w:val="single" w:sz="4" w:space="0" w:color="CCCCCC"/>
              <w:left w:val="single" w:sz="4" w:space="0" w:color="CCCCCC"/>
              <w:bottom w:val="single" w:sz="4" w:space="0" w:color="CCCCCC"/>
              <w:right w:val="single" w:sz="4" w:space="0" w:color="CCCCCC"/>
            </w:tcBorders>
            <w:shd w:val="clear" w:color="auto" w:fill="1A3A5C"/>
            <w:tcMar>
              <w:top w:w="100" w:type="dxa"/>
              <w:left w:w="120" w:type="dxa"/>
              <w:bottom w:w="100" w:type="dxa"/>
              <w:right w:w="120" w:type="dxa"/>
            </w:tcMar>
          </w:tcPr>
          <w:p w14:paraId="3980DEFB" w14:textId="77777777" w:rsidR="00E66C07" w:rsidRDefault="00000000">
            <w:pPr>
              <w:spacing w:before="80" w:after="100"/>
              <w:jc w:val="both"/>
            </w:pPr>
            <w:r>
              <w:rPr>
                <w:b/>
                <w:bCs/>
                <w:color w:val="FFFFFF"/>
                <w:sz w:val="20"/>
                <w:szCs w:val="20"/>
              </w:rPr>
              <w:t>Maßnahme</w:t>
            </w:r>
          </w:p>
        </w:tc>
        <w:tc>
          <w:tcPr>
            <w:tcW w:w="3800" w:type="dxa"/>
            <w:tcBorders>
              <w:top w:val="single" w:sz="4" w:space="0" w:color="CCCCCC"/>
              <w:left w:val="single" w:sz="4" w:space="0" w:color="CCCCCC"/>
              <w:bottom w:val="single" w:sz="4" w:space="0" w:color="CCCCCC"/>
              <w:right w:val="single" w:sz="4" w:space="0" w:color="CCCCCC"/>
            </w:tcBorders>
            <w:shd w:val="clear" w:color="auto" w:fill="1A3A5C"/>
            <w:tcMar>
              <w:top w:w="100" w:type="dxa"/>
              <w:left w:w="120" w:type="dxa"/>
              <w:bottom w:w="100" w:type="dxa"/>
              <w:right w:w="120" w:type="dxa"/>
            </w:tcMar>
          </w:tcPr>
          <w:p w14:paraId="1FF70652" w14:textId="77777777" w:rsidR="00E66C07" w:rsidRDefault="00000000">
            <w:pPr>
              <w:spacing w:before="80" w:after="100"/>
              <w:jc w:val="both"/>
            </w:pPr>
            <w:r>
              <w:rPr>
                <w:b/>
                <w:bCs/>
                <w:color w:val="FFFFFF"/>
                <w:sz w:val="20"/>
                <w:szCs w:val="20"/>
              </w:rPr>
              <w:t>Warum</w:t>
            </w:r>
          </w:p>
        </w:tc>
        <w:tc>
          <w:tcPr>
            <w:tcW w:w="2226" w:type="dxa"/>
            <w:tcBorders>
              <w:top w:val="single" w:sz="4" w:space="0" w:color="CCCCCC"/>
              <w:left w:val="single" w:sz="4" w:space="0" w:color="CCCCCC"/>
              <w:bottom w:val="single" w:sz="4" w:space="0" w:color="CCCCCC"/>
              <w:right w:val="single" w:sz="4" w:space="0" w:color="CCCCCC"/>
            </w:tcBorders>
            <w:shd w:val="clear" w:color="auto" w:fill="1A3A5C"/>
            <w:tcMar>
              <w:top w:w="100" w:type="dxa"/>
              <w:left w:w="120" w:type="dxa"/>
              <w:bottom w:w="100" w:type="dxa"/>
              <w:right w:w="120" w:type="dxa"/>
            </w:tcMar>
          </w:tcPr>
          <w:p w14:paraId="62BA4809" w14:textId="77777777" w:rsidR="00E66C07" w:rsidRDefault="00000000">
            <w:pPr>
              <w:spacing w:before="80" w:after="100"/>
              <w:jc w:val="both"/>
            </w:pPr>
            <w:r>
              <w:rPr>
                <w:b/>
                <w:bCs/>
                <w:color w:val="FFFFFF"/>
                <w:sz w:val="20"/>
                <w:szCs w:val="20"/>
              </w:rPr>
              <w:t>Zeithorizont</w:t>
            </w:r>
          </w:p>
        </w:tc>
      </w:tr>
      <w:tr w:rsidR="00E66C07" w14:paraId="5C9CC8BC"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tcPr>
          <w:p w14:paraId="514C8F47" w14:textId="77777777" w:rsidR="00E66C07" w:rsidRDefault="00000000">
            <w:pPr>
              <w:spacing w:before="80" w:after="100"/>
              <w:jc w:val="both"/>
            </w:pPr>
            <w:r>
              <w:rPr>
                <w:b/>
                <w:bCs/>
                <w:color w:val="C0392B"/>
                <w:sz w:val="24"/>
                <w:szCs w:val="24"/>
              </w:rPr>
              <w:t>1</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tcPr>
          <w:p w14:paraId="012181CB" w14:textId="77777777" w:rsidR="00E66C07" w:rsidRDefault="00000000">
            <w:pPr>
              <w:spacing w:before="80" w:after="100"/>
              <w:jc w:val="both"/>
            </w:pPr>
            <w:r>
              <w:rPr>
                <w:b/>
                <w:bCs/>
                <w:color w:val="C0392B"/>
              </w:rPr>
              <w:t xml:space="preserve">SOFORT — </w:t>
            </w:r>
            <w:r>
              <w:t>Beauftragung eines unabhängigen technischen Gutachtens (Fraunhofer FOKUS oder vergleichbar) zur Überprüfung der API-Guideline v1.0a</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tcPr>
          <w:p w14:paraId="7D7D0AE8" w14:textId="77777777" w:rsidR="00E66C07" w:rsidRDefault="00000000">
            <w:pPr>
              <w:spacing w:before="80" w:after="100"/>
              <w:jc w:val="both"/>
            </w:pPr>
            <w:r>
              <w:t>Die bestehenden Fehler werden bis zur nächsten großen Konsultationsrunde ohne externe Intervention nicht korrigiert. Jede weitere API, die auf dieser Grundlage gebaut wird, erbt die Probleme.</w:t>
            </w:r>
          </w:p>
        </w:tc>
        <w:tc>
          <w:tcPr>
            <w:tcW w:w="2226"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tcPr>
          <w:p w14:paraId="41184F08" w14:textId="77777777" w:rsidR="00E66C07" w:rsidRDefault="00000000">
            <w:pPr>
              <w:spacing w:before="80" w:after="100"/>
              <w:jc w:val="both"/>
            </w:pPr>
            <w:r>
              <w:rPr>
                <w:i/>
                <w:iCs/>
              </w:rPr>
              <w:t>Unverzüglich — vor der nächsten Konsultationsrunde</w:t>
            </w:r>
          </w:p>
        </w:tc>
      </w:tr>
      <w:tr w:rsidR="00E66C07" w14:paraId="7A0B1999"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5F5F5"/>
            <w:tcMar>
              <w:top w:w="90" w:type="dxa"/>
              <w:left w:w="120" w:type="dxa"/>
              <w:bottom w:w="90" w:type="dxa"/>
              <w:right w:w="120" w:type="dxa"/>
            </w:tcMar>
          </w:tcPr>
          <w:p w14:paraId="05CDC48B" w14:textId="77777777" w:rsidR="00E66C07" w:rsidRDefault="00000000">
            <w:pPr>
              <w:spacing w:before="80" w:after="100"/>
              <w:jc w:val="both"/>
            </w:pPr>
            <w:r>
              <w:rPr>
                <w:b/>
                <w:bCs/>
                <w:color w:val="E67E22"/>
                <w:sz w:val="24"/>
                <w:szCs w:val="24"/>
              </w:rPr>
              <w:t>2</w:t>
            </w:r>
          </w:p>
        </w:tc>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90" w:type="dxa"/>
              <w:left w:w="120" w:type="dxa"/>
              <w:bottom w:w="90" w:type="dxa"/>
              <w:right w:w="120" w:type="dxa"/>
            </w:tcMar>
          </w:tcPr>
          <w:p w14:paraId="41F9BFB8" w14:textId="77777777" w:rsidR="00E66C07" w:rsidRDefault="00000000">
            <w:pPr>
              <w:spacing w:before="80" w:after="100"/>
              <w:jc w:val="both"/>
            </w:pPr>
            <w:r>
              <w:rPr>
                <w:b/>
                <w:bCs/>
                <w:color w:val="E67E22"/>
              </w:rPr>
              <w:t xml:space="preserve">KURZFRISTIG — </w:t>
            </w:r>
            <w:r>
              <w:t>Moratorium für neue API-Releases auf Basis der aktuellen Guideline bis zur Klärung der drei beschriebenen Kernprobleme</w:t>
            </w:r>
          </w:p>
        </w:tc>
        <w:tc>
          <w:tcPr>
            <w:tcW w:w="3800" w:type="dxa"/>
            <w:tcBorders>
              <w:top w:val="single" w:sz="4" w:space="0" w:color="CCCCCC"/>
              <w:left w:val="single" w:sz="4" w:space="0" w:color="CCCCCC"/>
              <w:bottom w:val="single" w:sz="4" w:space="0" w:color="CCCCCC"/>
              <w:right w:val="single" w:sz="4" w:space="0" w:color="CCCCCC"/>
            </w:tcBorders>
            <w:shd w:val="clear" w:color="auto" w:fill="F5F5F5"/>
            <w:tcMar>
              <w:top w:w="90" w:type="dxa"/>
              <w:left w:w="120" w:type="dxa"/>
              <w:bottom w:w="90" w:type="dxa"/>
              <w:right w:w="120" w:type="dxa"/>
            </w:tcMar>
          </w:tcPr>
          <w:p w14:paraId="253CCAAA" w14:textId="77777777" w:rsidR="00E66C07" w:rsidRDefault="00000000">
            <w:pPr>
              <w:spacing w:before="80" w:after="100"/>
              <w:jc w:val="both"/>
            </w:pPr>
            <w:r>
              <w:t>Weiteres Bauen auf einem fehlerhaften Fundament multipliziert den Korrekturaufwand. Bei 60+ APIs ist ein späterer Umbau exponentiell teurer als eine jetzige Verzögerung.</w:t>
            </w:r>
          </w:p>
        </w:tc>
        <w:tc>
          <w:tcPr>
            <w:tcW w:w="2226" w:type="dxa"/>
            <w:tcBorders>
              <w:top w:val="single" w:sz="4" w:space="0" w:color="CCCCCC"/>
              <w:left w:val="single" w:sz="4" w:space="0" w:color="CCCCCC"/>
              <w:bottom w:val="single" w:sz="4" w:space="0" w:color="CCCCCC"/>
              <w:right w:val="single" w:sz="4" w:space="0" w:color="CCCCCC"/>
            </w:tcBorders>
            <w:shd w:val="clear" w:color="auto" w:fill="F5F5F5"/>
            <w:tcMar>
              <w:top w:w="90" w:type="dxa"/>
              <w:left w:w="120" w:type="dxa"/>
              <w:bottom w:w="90" w:type="dxa"/>
              <w:right w:w="120" w:type="dxa"/>
            </w:tcMar>
          </w:tcPr>
          <w:p w14:paraId="2837A6EA" w14:textId="77777777" w:rsidR="00E66C07" w:rsidRDefault="00000000">
            <w:pPr>
              <w:spacing w:before="80" w:after="100"/>
              <w:jc w:val="both"/>
            </w:pPr>
            <w:r>
              <w:rPr>
                <w:i/>
                <w:iCs/>
              </w:rPr>
              <w:t>Innerhalb von 4 Wochen</w:t>
            </w:r>
          </w:p>
        </w:tc>
      </w:tr>
      <w:tr w:rsidR="00E66C07" w14:paraId="68B6461D"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tcPr>
          <w:p w14:paraId="16E20470" w14:textId="77777777" w:rsidR="00E66C07" w:rsidRDefault="00000000">
            <w:pPr>
              <w:spacing w:before="80" w:after="100"/>
              <w:jc w:val="both"/>
            </w:pPr>
            <w:r>
              <w:rPr>
                <w:b/>
                <w:bCs/>
                <w:color w:val="2E75B6"/>
                <w:sz w:val="24"/>
                <w:szCs w:val="24"/>
              </w:rPr>
              <w:t>3</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tcPr>
          <w:p w14:paraId="77D0E7EB" w14:textId="77777777" w:rsidR="00E66C07" w:rsidRDefault="00000000">
            <w:pPr>
              <w:spacing w:before="80" w:after="100"/>
              <w:jc w:val="both"/>
            </w:pPr>
            <w:r>
              <w:rPr>
                <w:b/>
                <w:bCs/>
                <w:color w:val="2E75B6"/>
              </w:rPr>
              <w:t xml:space="preserve">MITTELFRISTIG — </w:t>
            </w:r>
            <w:r>
              <w:t>Neuausrichtung der API-Guideline auf internationale Standards (IETF RFCs, W3C Trace Context, OpenAPI 3.x) unter externer Fachbegleitung</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tcPr>
          <w:p w14:paraId="245E1B28" w14:textId="77777777" w:rsidR="00E66C07" w:rsidRDefault="00000000">
            <w:pPr>
              <w:spacing w:before="80" w:after="100"/>
              <w:jc w:val="both"/>
            </w:pPr>
            <w:r>
              <w:t>Nur eine an anerkannten Standards ausgerichtete Spezifikation ermöglicht die Nutzung von Standardbibliotheken und reduziert den Interoperabilitätsaufwand dauerhaft.</w:t>
            </w:r>
          </w:p>
        </w:tc>
        <w:tc>
          <w:tcPr>
            <w:tcW w:w="2226"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tcPr>
          <w:p w14:paraId="49449FE1" w14:textId="77777777" w:rsidR="00E66C07" w:rsidRDefault="00000000">
            <w:pPr>
              <w:spacing w:before="80" w:after="100"/>
              <w:jc w:val="both"/>
            </w:pPr>
            <w:r>
              <w:rPr>
                <w:i/>
                <w:iCs/>
              </w:rPr>
              <w:t>Innerhalb von 6 Monaten</w:t>
            </w:r>
          </w:p>
        </w:tc>
      </w:tr>
      <w:tr w:rsidR="00E66C07" w14:paraId="2FC4813A"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5F5F5"/>
            <w:tcMar>
              <w:top w:w="90" w:type="dxa"/>
              <w:left w:w="120" w:type="dxa"/>
              <w:bottom w:w="90" w:type="dxa"/>
              <w:right w:w="120" w:type="dxa"/>
            </w:tcMar>
          </w:tcPr>
          <w:p w14:paraId="33ACBC66" w14:textId="77777777" w:rsidR="00E66C07" w:rsidRDefault="00000000">
            <w:pPr>
              <w:spacing w:before="80" w:after="100"/>
              <w:jc w:val="both"/>
            </w:pPr>
            <w:r>
              <w:rPr>
                <w:b/>
                <w:bCs/>
                <w:color w:val="2E75B6"/>
                <w:sz w:val="24"/>
                <w:szCs w:val="24"/>
              </w:rPr>
              <w:t>4</w:t>
            </w:r>
          </w:p>
        </w:tc>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90" w:type="dxa"/>
              <w:left w:w="120" w:type="dxa"/>
              <w:bottom w:w="90" w:type="dxa"/>
              <w:right w:w="120" w:type="dxa"/>
            </w:tcMar>
          </w:tcPr>
          <w:p w14:paraId="04C4642F" w14:textId="77777777" w:rsidR="00E66C07" w:rsidRDefault="00000000">
            <w:pPr>
              <w:spacing w:before="80" w:after="100"/>
              <w:jc w:val="both"/>
            </w:pPr>
            <w:r>
              <w:rPr>
                <w:b/>
                <w:bCs/>
                <w:color w:val="2E75B6"/>
              </w:rPr>
              <w:t xml:space="preserve">MITTELFRISTIG — </w:t>
            </w:r>
            <w:r>
              <w:t>Einführung eines verbindlichen Konformitätstests für alle MaBiS-Hub-APIs vor Markteinführung, durchgeführt durch eine neutrale Stelle</w:t>
            </w:r>
          </w:p>
        </w:tc>
        <w:tc>
          <w:tcPr>
            <w:tcW w:w="3800" w:type="dxa"/>
            <w:tcBorders>
              <w:top w:val="single" w:sz="4" w:space="0" w:color="CCCCCC"/>
              <w:left w:val="single" w:sz="4" w:space="0" w:color="CCCCCC"/>
              <w:bottom w:val="single" w:sz="4" w:space="0" w:color="CCCCCC"/>
              <w:right w:val="single" w:sz="4" w:space="0" w:color="CCCCCC"/>
            </w:tcBorders>
            <w:shd w:val="clear" w:color="auto" w:fill="F5F5F5"/>
            <w:tcMar>
              <w:top w:w="90" w:type="dxa"/>
              <w:left w:w="120" w:type="dxa"/>
              <w:bottom w:w="90" w:type="dxa"/>
              <w:right w:w="120" w:type="dxa"/>
            </w:tcMar>
          </w:tcPr>
          <w:p w14:paraId="7D440B5A" w14:textId="77777777" w:rsidR="00E66C07" w:rsidRDefault="00000000">
            <w:pPr>
              <w:spacing w:before="80" w:after="100"/>
              <w:jc w:val="both"/>
            </w:pPr>
            <w:r>
              <w:t>Ein technischer Standard ohne Prüfmechanismus ist kein Standard. Konformitätstests sind in vergleichbaren Infrastrukturen (Bankensektor, Telekommunikation) seit Jahren Standard.</w:t>
            </w:r>
          </w:p>
        </w:tc>
        <w:tc>
          <w:tcPr>
            <w:tcW w:w="2226" w:type="dxa"/>
            <w:tcBorders>
              <w:top w:val="single" w:sz="4" w:space="0" w:color="CCCCCC"/>
              <w:left w:val="single" w:sz="4" w:space="0" w:color="CCCCCC"/>
              <w:bottom w:val="single" w:sz="4" w:space="0" w:color="CCCCCC"/>
              <w:right w:val="single" w:sz="4" w:space="0" w:color="CCCCCC"/>
            </w:tcBorders>
            <w:shd w:val="clear" w:color="auto" w:fill="F5F5F5"/>
            <w:tcMar>
              <w:top w:w="90" w:type="dxa"/>
              <w:left w:w="120" w:type="dxa"/>
              <w:bottom w:w="90" w:type="dxa"/>
              <w:right w:w="120" w:type="dxa"/>
            </w:tcMar>
          </w:tcPr>
          <w:p w14:paraId="36748950" w14:textId="77777777" w:rsidR="00E66C07" w:rsidRDefault="00000000">
            <w:pPr>
              <w:spacing w:before="80" w:after="100"/>
              <w:jc w:val="both"/>
            </w:pPr>
            <w:r>
              <w:rPr>
                <w:i/>
                <w:iCs/>
              </w:rPr>
              <w:t>Parallel zur Guideline-Überarbeitung</w:t>
            </w:r>
          </w:p>
        </w:tc>
      </w:tr>
    </w:tbl>
    <w:p w14:paraId="209E6CA2" w14:textId="77777777" w:rsidR="00E66C07" w:rsidRDefault="00E66C07">
      <w:pPr>
        <w:spacing w:before="160"/>
      </w:pPr>
    </w:p>
    <w:p w14:paraId="78BA3F2A" w14:textId="77777777" w:rsidR="00E66C07" w:rsidRDefault="00000000">
      <w:pPr>
        <w:pStyle w:val="berschrift2"/>
      </w:pPr>
      <w:r>
        <w:t>Warum Fraunhofer FOKUS?</w:t>
      </w:r>
    </w:p>
    <w:p w14:paraId="1C1636EE" w14:textId="77777777" w:rsidR="00E66C07" w:rsidRDefault="00000000">
      <w:pPr>
        <w:spacing w:before="80" w:after="100"/>
        <w:jc w:val="both"/>
      </w:pPr>
      <w:r>
        <w:t xml:space="preserve">Das Fraunhofer-Institut für Offene Kommunikationssysteme (FOKUS) in Berlin ist das führende deutsche Forschungsinstitut für digitale Infrastruktur und öffentliche IT-Systeme. Es hat Erfahrung mit der Entwicklung und Überprüfung von API-Standards für kritische Infrastrukturen, ist von Marktinteressen unabhängig und genießt als Fraunhofer-Institut das Vertrauen von Regulatoren, Industrie und Politik gleichermaßen. Alternativ kommen </w:t>
      </w:r>
      <w:r>
        <w:lastRenderedPageBreak/>
        <w:t>internationale IETF-zertifizierte API-Design-Experten oder das BSI (Bundesamt für Sicherheit in der Informationstechnik) in Betracht.</w:t>
      </w:r>
    </w:p>
    <w:p w14:paraId="1B4607EE" w14:textId="77777777" w:rsidR="00E66C07" w:rsidRDefault="00E66C07">
      <w:pPr>
        <w:spacing w:before="160"/>
      </w:pPr>
    </w:p>
    <w:p w14:paraId="68AAE32A" w14:textId="77777777" w:rsidR="00E66C07" w:rsidRDefault="00E66C07">
      <w:pPr>
        <w:pBdr>
          <w:bottom w:val="single" w:sz="6" w:space="1" w:color="2E75B6"/>
        </w:pBdr>
        <w:spacing w:before="140" w:after="1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66C07" w14:paraId="2214D32E" w14:textId="77777777">
        <w:tblPrEx>
          <w:tblCellMar>
            <w:top w:w="0" w:type="dxa"/>
            <w:bottom w:w="0" w:type="dxa"/>
          </w:tblCellMar>
        </w:tblPrEx>
        <w:tc>
          <w:tcPr>
            <w:tcW w:w="9026" w:type="dxa"/>
            <w:tcBorders>
              <w:top w:val="single" w:sz="10" w:space="0" w:color="2E75B6"/>
              <w:left w:val="single" w:sz="10" w:space="0" w:color="2E75B6"/>
              <w:bottom w:val="single" w:sz="4" w:space="0" w:color="CCCCCC"/>
              <w:right w:val="single" w:sz="4" w:space="0" w:color="CCCCCC"/>
            </w:tcBorders>
            <w:shd w:val="clear" w:color="auto" w:fill="D5E8F0"/>
            <w:tcMar>
              <w:top w:w="140" w:type="dxa"/>
              <w:left w:w="220" w:type="dxa"/>
              <w:bottom w:w="140" w:type="dxa"/>
              <w:right w:w="220" w:type="dxa"/>
            </w:tcMar>
          </w:tcPr>
          <w:p w14:paraId="7ED9BAD0" w14:textId="77777777" w:rsidR="00E66C07" w:rsidRDefault="00000000">
            <w:pPr>
              <w:spacing w:before="80" w:after="100"/>
              <w:jc w:val="both"/>
            </w:pPr>
            <w:r>
              <w:rPr>
                <w:b/>
                <w:bCs/>
                <w:color w:val="1A3A5C"/>
                <w:sz w:val="24"/>
                <w:szCs w:val="24"/>
              </w:rPr>
              <w:t xml:space="preserve">Abschließende Einschätzung: </w:t>
            </w:r>
          </w:p>
          <w:p w14:paraId="01E0C7BC" w14:textId="77777777" w:rsidR="00E66C07" w:rsidRDefault="00E66C07">
            <w:pPr>
              <w:spacing w:before="80"/>
            </w:pPr>
          </w:p>
          <w:p w14:paraId="275B28AD" w14:textId="77777777" w:rsidR="00E66C07" w:rsidRDefault="00000000">
            <w:pPr>
              <w:spacing w:before="80" w:after="100"/>
              <w:jc w:val="both"/>
            </w:pPr>
            <w:r>
              <w:t>Der deutsche Energiemarkt steht vor der größten digitalen Transformationsaufgabe seiner Geschichte. Mit dem MaBiS-Hub werden über 60 neue Schnittstellen eingeführt, über die täglich Millionen von Transaktionen zwischen hunderten Marktteilnehmern laufen werden.</w:t>
            </w:r>
          </w:p>
          <w:p w14:paraId="6F344339" w14:textId="77777777" w:rsidR="00E66C07" w:rsidRDefault="00E66C07">
            <w:pPr>
              <w:spacing w:before="80"/>
            </w:pPr>
          </w:p>
          <w:p w14:paraId="4303D266" w14:textId="77777777" w:rsidR="00E66C07" w:rsidRDefault="00000000">
            <w:pPr>
              <w:spacing w:before="80" w:after="100"/>
              <w:jc w:val="both"/>
            </w:pPr>
            <w:r>
              <w:t>Auf einem fehlerhaften technischen Fundament zu bauen ist keine Option. Die jetzt investierten Ressourcen für eine professionelle Überprüfung und Korrektur der Grundlagen sind ein Bruchteil der Kosten, die entstehen, wenn die beschriebenen Probleme im Vollbetrieb eskalieren.</w:t>
            </w:r>
          </w:p>
          <w:p w14:paraId="04AB7417" w14:textId="77777777" w:rsidR="00E66C07" w:rsidRDefault="00E66C07">
            <w:pPr>
              <w:spacing w:before="80"/>
            </w:pPr>
          </w:p>
          <w:p w14:paraId="40915273" w14:textId="77777777" w:rsidR="00E66C07" w:rsidRDefault="00000000">
            <w:pPr>
              <w:spacing w:before="80" w:after="100"/>
              <w:jc w:val="both"/>
            </w:pPr>
            <w:r>
              <w:rPr>
                <w:b/>
                <w:bCs/>
                <w:color w:val="1A3A5C"/>
              </w:rPr>
              <w:t>Die Frage ist nicht ob diese Mängel Schaden anrichten werden — sie tun es bereits. Die Frage ist, ob wir jetzt handeln oder warten, bis der Schaden größer ist.</w:t>
            </w:r>
          </w:p>
        </w:tc>
      </w:tr>
    </w:tbl>
    <w:p w14:paraId="13F6578B" w14:textId="77777777" w:rsidR="00575E30" w:rsidRDefault="00575E30"/>
    <w:sectPr w:rsidR="00575E30">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05057C" w14:textId="77777777" w:rsidR="00575E30" w:rsidRDefault="00575E30">
      <w:r>
        <w:separator/>
      </w:r>
    </w:p>
  </w:endnote>
  <w:endnote w:type="continuationSeparator" w:id="0">
    <w:p w14:paraId="69D843F1" w14:textId="77777777" w:rsidR="00575E30" w:rsidRDefault="00575E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D1E5D" w14:textId="77777777" w:rsidR="00E66C07" w:rsidRDefault="00000000">
    <w:pPr>
      <w:jc w:val="center"/>
    </w:pPr>
    <w:r>
      <w:rPr>
        <w:color w:val="888888"/>
        <w:sz w:val="18"/>
        <w:szCs w:val="18"/>
      </w:rPr>
      <w:t xml:space="preserve">Vorstandszusammenfassung — EDI@Energy API-Mängel | Vertraulich | Seite </w:t>
    </w:r>
    <w:r>
      <w:rPr>
        <w:color w:val="888888"/>
        <w:sz w:val="18"/>
        <w:szCs w:val="18"/>
      </w:rPr>
      <w:fldChar w:fldCharType="begin"/>
    </w:r>
    <w:r>
      <w:rPr>
        <w:color w:val="888888"/>
        <w:sz w:val="18"/>
        <w:szCs w:val="18"/>
      </w:rPr>
      <w:instrText>PAGE</w:instrText>
    </w:r>
    <w:r>
      <w:rPr>
        <w:color w:val="888888"/>
        <w:sz w:val="18"/>
        <w:szCs w:val="18"/>
      </w:rPr>
      <w:fldChar w:fldCharType="separate"/>
    </w:r>
    <w:r w:rsidR="00A908DB">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CB8270" w14:textId="77777777" w:rsidR="00575E30" w:rsidRDefault="00575E30">
      <w:r>
        <w:separator/>
      </w:r>
    </w:p>
  </w:footnote>
  <w:footnote w:type="continuationSeparator" w:id="0">
    <w:p w14:paraId="76559F82" w14:textId="77777777" w:rsidR="00575E30" w:rsidRDefault="00575E3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1E2234"/>
    <w:multiLevelType w:val="hybridMultilevel"/>
    <w:tmpl w:val="65CCD058"/>
    <w:lvl w:ilvl="0" w:tplc="5678CCC8">
      <w:start w:val="1"/>
      <w:numFmt w:val="bullet"/>
      <w:lvlText w:val="●"/>
      <w:lvlJc w:val="left"/>
      <w:pPr>
        <w:ind w:left="720" w:hanging="360"/>
      </w:pPr>
    </w:lvl>
    <w:lvl w:ilvl="1" w:tplc="A2F8AEBE">
      <w:start w:val="1"/>
      <w:numFmt w:val="bullet"/>
      <w:lvlText w:val="○"/>
      <w:lvlJc w:val="left"/>
      <w:pPr>
        <w:ind w:left="1440" w:hanging="360"/>
      </w:pPr>
    </w:lvl>
    <w:lvl w:ilvl="2" w:tplc="33FC98DE">
      <w:start w:val="1"/>
      <w:numFmt w:val="bullet"/>
      <w:lvlText w:val="■"/>
      <w:lvlJc w:val="left"/>
      <w:pPr>
        <w:ind w:left="2160" w:hanging="360"/>
      </w:pPr>
    </w:lvl>
    <w:lvl w:ilvl="3" w:tplc="F59609BA">
      <w:start w:val="1"/>
      <w:numFmt w:val="bullet"/>
      <w:lvlText w:val="●"/>
      <w:lvlJc w:val="left"/>
      <w:pPr>
        <w:ind w:left="2880" w:hanging="360"/>
      </w:pPr>
    </w:lvl>
    <w:lvl w:ilvl="4" w:tplc="8048DB70">
      <w:start w:val="1"/>
      <w:numFmt w:val="bullet"/>
      <w:lvlText w:val="○"/>
      <w:lvlJc w:val="left"/>
      <w:pPr>
        <w:ind w:left="3600" w:hanging="360"/>
      </w:pPr>
    </w:lvl>
    <w:lvl w:ilvl="5" w:tplc="E3B8C362">
      <w:start w:val="1"/>
      <w:numFmt w:val="bullet"/>
      <w:lvlText w:val="■"/>
      <w:lvlJc w:val="left"/>
      <w:pPr>
        <w:ind w:left="4320" w:hanging="360"/>
      </w:pPr>
    </w:lvl>
    <w:lvl w:ilvl="6" w:tplc="3DE25522">
      <w:start w:val="1"/>
      <w:numFmt w:val="bullet"/>
      <w:lvlText w:val="●"/>
      <w:lvlJc w:val="left"/>
      <w:pPr>
        <w:ind w:left="5040" w:hanging="360"/>
      </w:pPr>
    </w:lvl>
    <w:lvl w:ilvl="7" w:tplc="7B8C30B2">
      <w:start w:val="1"/>
      <w:numFmt w:val="bullet"/>
      <w:lvlText w:val="●"/>
      <w:lvlJc w:val="left"/>
      <w:pPr>
        <w:ind w:left="5760" w:hanging="360"/>
      </w:pPr>
    </w:lvl>
    <w:lvl w:ilvl="8" w:tplc="80F81AB8">
      <w:start w:val="1"/>
      <w:numFmt w:val="bullet"/>
      <w:lvlText w:val="●"/>
      <w:lvlJc w:val="left"/>
      <w:pPr>
        <w:ind w:left="6480" w:hanging="360"/>
      </w:pPr>
    </w:lvl>
  </w:abstractNum>
  <w:abstractNum w:abstractNumId="1" w15:restartNumberingAfterBreak="0">
    <w:nsid w:val="7A5A2326"/>
    <w:multiLevelType w:val="hybridMultilevel"/>
    <w:tmpl w:val="1DEE8EE8"/>
    <w:lvl w:ilvl="0" w:tplc="E0523A90">
      <w:start w:val="1"/>
      <w:numFmt w:val="bullet"/>
      <w:lvlText w:val="•"/>
      <w:lvlJc w:val="left"/>
      <w:pPr>
        <w:ind w:left="720" w:hanging="360"/>
      </w:pPr>
      <w:rPr>
        <w:rFonts w:ascii="Arial" w:eastAsia="Arial" w:hAnsi="Arial" w:cs="Arial"/>
      </w:rPr>
    </w:lvl>
    <w:lvl w:ilvl="1" w:tplc="2474CFF6">
      <w:numFmt w:val="decimal"/>
      <w:lvlText w:val=""/>
      <w:lvlJc w:val="left"/>
    </w:lvl>
    <w:lvl w:ilvl="2" w:tplc="8C02A5A0">
      <w:numFmt w:val="decimal"/>
      <w:lvlText w:val=""/>
      <w:lvlJc w:val="left"/>
    </w:lvl>
    <w:lvl w:ilvl="3" w:tplc="7C32312E">
      <w:numFmt w:val="decimal"/>
      <w:lvlText w:val=""/>
      <w:lvlJc w:val="left"/>
    </w:lvl>
    <w:lvl w:ilvl="4" w:tplc="14902EB2">
      <w:numFmt w:val="decimal"/>
      <w:lvlText w:val=""/>
      <w:lvlJc w:val="left"/>
    </w:lvl>
    <w:lvl w:ilvl="5" w:tplc="EFDEAB04">
      <w:numFmt w:val="decimal"/>
      <w:lvlText w:val=""/>
      <w:lvlJc w:val="left"/>
    </w:lvl>
    <w:lvl w:ilvl="6" w:tplc="33103742">
      <w:numFmt w:val="decimal"/>
      <w:lvlText w:val=""/>
      <w:lvlJc w:val="left"/>
    </w:lvl>
    <w:lvl w:ilvl="7" w:tplc="5A4A5A34">
      <w:numFmt w:val="decimal"/>
      <w:lvlText w:val=""/>
      <w:lvlJc w:val="left"/>
    </w:lvl>
    <w:lvl w:ilvl="8" w:tplc="EA181F9A">
      <w:numFmt w:val="decimal"/>
      <w:lvlText w:val=""/>
      <w:lvlJc w:val="left"/>
    </w:lvl>
  </w:abstractNum>
  <w:num w:numId="1" w16cid:durableId="290945153">
    <w:abstractNumId w:val="0"/>
    <w:lvlOverride w:ilvl="0">
      <w:startOverride w:val="1"/>
    </w:lvlOverride>
  </w:num>
  <w:num w:numId="2" w16cid:durableId="33399640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6C07"/>
    <w:rsid w:val="004643BA"/>
    <w:rsid w:val="00575E30"/>
    <w:rsid w:val="00A908DB"/>
    <w:rsid w:val="00E66C0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0E31A"/>
  <w15:docId w15:val="{CE9F6C99-C005-476F-886F-54C3B2979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360" w:after="160"/>
      <w:outlineLvl w:val="0"/>
    </w:pPr>
    <w:rPr>
      <w:b/>
      <w:bCs/>
      <w:color w:val="1A3A5C"/>
      <w:sz w:val="34"/>
      <w:szCs w:val="34"/>
    </w:rPr>
  </w:style>
  <w:style w:type="paragraph" w:styleId="berschrift2">
    <w:name w:val="heading 2"/>
    <w:uiPriority w:val="9"/>
    <w:unhideWhenUsed/>
    <w:qFormat/>
    <w:pPr>
      <w:spacing w:before="240" w:after="100"/>
      <w:outlineLvl w:val="1"/>
    </w:pPr>
    <w:rPr>
      <w:b/>
      <w:bCs/>
      <w:color w:val="2E75B6"/>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1474</Words>
  <Characters>9287</Characters>
  <Application>Microsoft Office Word</Application>
  <DocSecurity>0</DocSecurity>
  <Lines>77</Lines>
  <Paragraphs>21</Paragraphs>
  <ScaleCrop>false</ScaleCrop>
  <Company/>
  <LinksUpToDate>false</LinksUpToDate>
  <CharactersWithSpaces>10740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Edgar Jung</cp:lastModifiedBy>
  <cp:revision>2</cp:revision>
  <dcterms:created xsi:type="dcterms:W3CDTF">2026-05-31T12:53:00Z</dcterms:created>
  <dcterms:modified xsi:type="dcterms:W3CDTF">2026-05-31T12:53:00Z</dcterms:modified>
</cp:coreProperties>
</file>