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5D" w:rsidRDefault="000F055D" w:rsidP="000F055D">
      <w:pPr>
        <w:pStyle w:val="Captulo"/>
        <w:jc w:val="center"/>
      </w:pPr>
      <w:r>
        <w:t>RELATÓRIO DOS RESULTADOS</w:t>
      </w:r>
    </w:p>
    <w:p w:rsidR="00F54CC5" w:rsidRDefault="00463A06" w:rsidP="00463A06">
      <w:pPr>
        <w:pStyle w:val="Captulo"/>
      </w:pPr>
      <w:r>
        <w:t>Descrição</w:t>
      </w:r>
    </w:p>
    <w:p w:rsidR="009D428A" w:rsidRDefault="006C1A5C" w:rsidP="000F055D">
      <w:pPr>
        <w:pStyle w:val="texto"/>
      </w:pPr>
      <w:r>
        <w:t>Abaixo</w:t>
      </w:r>
      <w:r w:rsidR="00425CD2">
        <w:t xml:space="preserve"> são</w:t>
      </w:r>
      <w:r w:rsidR="000F055D">
        <w:t xml:space="preserve"> apresentados os resultados do monitoramento de perifíton em área de mineração no município de </w:t>
      </w:r>
      <w:r w:rsidR="00425CD2">
        <w:t>Nova Crixás Goiás. O presente relatório apresenta apenas os resultados a respeito da biodiversidade de perifíton, como as coordenadas dos pontos de coleta não foram repassadas, não foi possível fazer análises espaciais de diversidade.</w:t>
      </w:r>
    </w:p>
    <w:p w:rsidR="00425CD2" w:rsidRDefault="00425CD2" w:rsidP="000F055D">
      <w:pPr>
        <w:pStyle w:val="texto"/>
      </w:pPr>
    </w:p>
    <w:p w:rsidR="00425CD2" w:rsidRDefault="001C2554" w:rsidP="00425CD2">
      <w:pPr>
        <w:pStyle w:val="Captulo"/>
      </w:pPr>
      <w:r>
        <w:t>Resultados</w:t>
      </w:r>
    </w:p>
    <w:p w:rsidR="001C2554" w:rsidRPr="001C2554" w:rsidRDefault="0078295C" w:rsidP="001C2554">
      <w:pPr>
        <w:pStyle w:val="texto"/>
      </w:pPr>
      <w:r>
        <w:t xml:space="preserve">A curva do coletor nos dá uma ideia de como a riqueza de espécies se comporta se aumentarmos </w:t>
      </w:r>
      <w:r w:rsidR="002129BA">
        <w:t>o nosso esforço amostral</w:t>
      </w:r>
      <w:r w:rsidR="001558BE">
        <w:t>, indicando se há um tendência de aumento ou de estabilização</w:t>
      </w:r>
      <w:r w:rsidR="002129BA">
        <w:t>.</w:t>
      </w:r>
      <w:r w:rsidR="002379D5">
        <w:t xml:space="preserve"> As curvas de acumulação de espécies apresenta um tendência de crescimento para ambos os meses (março e junho), indicando que a riqueza de espécies de perifíton está </w:t>
      </w:r>
      <w:proofErr w:type="spellStart"/>
      <w:r w:rsidR="00221388">
        <w:t>subamostrada</w:t>
      </w:r>
      <w:proofErr w:type="spellEnd"/>
      <w:r w:rsidR="00221388">
        <w:t>, e que é possível encontrar mais espécies caso o esforço amostral seja maior (Figura 1).</w:t>
      </w:r>
      <w:r w:rsidR="002379D5">
        <w:t xml:space="preserve"> </w:t>
      </w:r>
      <w:r w:rsidR="00447B9F">
        <w:t>Também é possível observar que riqueza de espécies em março é muito superior que a riqueza em junho, chegando a ter uma diferença na riqueza estimada de 38 espécies (Figura 1).</w:t>
      </w:r>
    </w:p>
    <w:p w:rsidR="00425CD2" w:rsidRDefault="00425CD2" w:rsidP="000F055D">
      <w:pPr>
        <w:pStyle w:val="texto"/>
      </w:pPr>
    </w:p>
    <w:p w:rsidR="00425CD2" w:rsidRDefault="00447B9F" w:rsidP="00447B9F">
      <w:pPr>
        <w:pStyle w:val="texto"/>
      </w:pPr>
      <w:r w:rsidRPr="00447B9F">
        <w:rPr>
          <w:noProof/>
          <w:lang w:eastAsia="pt-BR"/>
        </w:rPr>
        <w:drawing>
          <wp:inline distT="0" distB="0" distL="0" distR="0">
            <wp:extent cx="5402580" cy="3395674"/>
            <wp:effectExtent l="0" t="0" r="7620" b="0"/>
            <wp:docPr id="2" name="Imagem 2" descr="C:\Users\Edgar\OneDrive - unb.br\MoniAmb_NovaCrixas\Jack_mese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gar\OneDrive - unb.br\MoniAmb_NovaCrixas\Jack_meses.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3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EB" w:rsidRDefault="00C93DF6" w:rsidP="00987695">
      <w:pPr>
        <w:pStyle w:val="texto"/>
        <w:ind w:firstLine="0"/>
      </w:pPr>
      <w:r w:rsidRPr="00C93DF6">
        <w:rPr>
          <w:b/>
        </w:rPr>
        <w:t>Figura 1.</w:t>
      </w:r>
      <w:r>
        <w:rPr>
          <w:b/>
        </w:rPr>
        <w:t xml:space="preserve"> </w:t>
      </w:r>
      <w:r w:rsidR="0092705E">
        <w:t>Curva de acumulação de espécies</w:t>
      </w:r>
      <w:r w:rsidR="001B17EB">
        <w:t xml:space="preserve"> se</w:t>
      </w:r>
      <w:r w:rsidR="00A47E9B">
        <w:t>paradas para cada mês de coleta e</w:t>
      </w:r>
      <w:r w:rsidR="0092705E">
        <w:t xml:space="preserve"> utilizando a riqueza estimada por </w:t>
      </w:r>
      <w:proofErr w:type="spellStart"/>
      <w:r w:rsidR="0092705E">
        <w:t>Jack</w:t>
      </w:r>
      <w:r w:rsidR="00987695">
        <w:t>k</w:t>
      </w:r>
      <w:r w:rsidR="0092705E">
        <w:t>nife</w:t>
      </w:r>
      <w:proofErr w:type="spellEnd"/>
      <w:r w:rsidR="0092705E">
        <w:t xml:space="preserve"> de primeira ordem e 1000 aleatorizados. Os postos representam a riqueza estimada e as barras representam o intervalo de confiança de 95%</w:t>
      </w:r>
      <w:r w:rsidR="008C7B99">
        <w:t>.</w:t>
      </w:r>
    </w:p>
    <w:p w:rsidR="002E30EB" w:rsidRDefault="002E30EB" w:rsidP="002E30EB">
      <w:pPr>
        <w:pStyle w:val="Tpico"/>
        <w:rPr>
          <w:sz w:val="24"/>
          <w:szCs w:val="24"/>
        </w:rPr>
      </w:pPr>
      <w:r>
        <w:br w:type="page"/>
      </w:r>
    </w:p>
    <w:p w:rsidR="00447B9F" w:rsidRDefault="002E30EB" w:rsidP="002E30EB">
      <w:pPr>
        <w:pStyle w:val="texto"/>
      </w:pPr>
      <w:r>
        <w:lastRenderedPageBreak/>
        <w:t xml:space="preserve">A curva do coletor construída a partir dos dados dos dois meses de coleta indica também uma tendência de crescimento, sendo possível encontrar mais espécies caso o esforço amostral seja maior (Figura 2). Esse resultado sugere que há um </w:t>
      </w:r>
      <w:proofErr w:type="spellStart"/>
      <w:r w:rsidRPr="002E30EB">
        <w:rPr>
          <w:i/>
        </w:rPr>
        <w:t>turnover</w:t>
      </w:r>
      <w:proofErr w:type="spellEnd"/>
      <w:r>
        <w:rPr>
          <w:i/>
        </w:rPr>
        <w:t xml:space="preserve">, </w:t>
      </w:r>
      <w:r>
        <w:t>sendo que pelo menos parte da composição de espécies difere entre os dois meses.</w:t>
      </w:r>
    </w:p>
    <w:p w:rsidR="00FB3EF5" w:rsidRDefault="00FB3EF5" w:rsidP="002E30EB">
      <w:pPr>
        <w:pStyle w:val="texto"/>
      </w:pPr>
    </w:p>
    <w:p w:rsidR="00FB3EF5" w:rsidRDefault="00FB3EF5" w:rsidP="002E30EB">
      <w:pPr>
        <w:pStyle w:val="texto"/>
      </w:pPr>
      <w:r w:rsidRPr="00FB3EF5">
        <w:rPr>
          <w:noProof/>
          <w:lang w:eastAsia="pt-BR"/>
        </w:rPr>
        <w:drawing>
          <wp:inline distT="0" distB="0" distL="0" distR="0">
            <wp:extent cx="5402580" cy="3395674"/>
            <wp:effectExtent l="0" t="0" r="7620" b="0"/>
            <wp:docPr id="4" name="Imagem 4" descr="C:\Users\Edgar\OneDrive - unb.br\MoniAmb_NovaCrixas\Jack_junto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gar\OneDrive - unb.br\MoniAmb_NovaCrixas\Jack_juntos.tif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3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F5" w:rsidRDefault="00FB3EF5" w:rsidP="00FB3EF5">
      <w:pPr>
        <w:pStyle w:val="texto"/>
        <w:ind w:firstLine="0"/>
      </w:pPr>
      <w:r>
        <w:rPr>
          <w:b/>
        </w:rPr>
        <w:t>Figura 2</w:t>
      </w:r>
      <w:r w:rsidRPr="00C93DF6">
        <w:rPr>
          <w:b/>
        </w:rPr>
        <w:t>.</w:t>
      </w:r>
      <w:r>
        <w:rPr>
          <w:b/>
        </w:rPr>
        <w:t xml:space="preserve"> </w:t>
      </w:r>
      <w:r>
        <w:t>Curva de acumulação de espécies</w:t>
      </w:r>
      <w:r w:rsidR="00A47E9B">
        <w:t xml:space="preserve"> considerando os dois meses de coleta e</w:t>
      </w:r>
      <w:r>
        <w:t xml:space="preserve"> utilizando a riqueza estimada por </w:t>
      </w:r>
      <w:proofErr w:type="spellStart"/>
      <w:r>
        <w:t>Jackknife</w:t>
      </w:r>
      <w:proofErr w:type="spellEnd"/>
      <w:r>
        <w:t xml:space="preserve"> de primeira ordem e 1000 aleatorizados</w:t>
      </w:r>
      <w:r w:rsidR="00A47E9B">
        <w:t>.</w:t>
      </w:r>
      <w:r>
        <w:t xml:space="preserve"> </w:t>
      </w:r>
      <w:r>
        <w:t>Os postos representam a riqueza estimada e as barras representam o intervalo de confiança de 95%.</w:t>
      </w:r>
      <w:r>
        <w:t xml:space="preserve"> </w:t>
      </w:r>
    </w:p>
    <w:p w:rsidR="00FB3EF5" w:rsidRDefault="00FB3EF5" w:rsidP="002E30EB">
      <w:pPr>
        <w:pStyle w:val="texto"/>
      </w:pPr>
    </w:p>
    <w:p w:rsidR="000517A3" w:rsidRDefault="007C3E50" w:rsidP="00831592">
      <w:pPr>
        <w:pStyle w:val="texto"/>
      </w:pPr>
      <w:r>
        <w:t xml:space="preserve">O índice de diversidade de Shannon </w:t>
      </w:r>
      <w:r w:rsidR="004B5D75">
        <w:t xml:space="preserve">combina a riqueza de espécies com a abundância, sendo que comunidades em que a abundância </w:t>
      </w:r>
      <w:r w:rsidR="00831592">
        <w:t xml:space="preserve">das espécies é distribuída de maneira mais equitativa apresenta maiores valores do índice. Os meses de março e junho apresentaram índices de diversidade parecidos, e isso deve principalmente </w:t>
      </w:r>
      <w:r w:rsidR="009C4C26">
        <w:t>à</w:t>
      </w:r>
      <w:r w:rsidR="00831592">
        <w:t xml:space="preserve"> </w:t>
      </w:r>
      <w:proofErr w:type="spellStart"/>
      <w:r w:rsidR="00831592">
        <w:t>equabilidade</w:t>
      </w:r>
      <w:proofErr w:type="spellEnd"/>
      <w:r w:rsidR="00831592">
        <w:t xml:space="preserve"> </w:t>
      </w:r>
      <w:r w:rsidR="009C4C26">
        <w:t xml:space="preserve">que se mostrou parecida para os dois meses (Figura 3). A </w:t>
      </w:r>
      <w:proofErr w:type="spellStart"/>
      <w:r w:rsidR="009C4C26">
        <w:t>equabilidade</w:t>
      </w:r>
      <w:proofErr w:type="spellEnd"/>
      <w:r w:rsidR="009C4C26">
        <w:t xml:space="preserve"> é a medida de quão equitativa é a distribuição de abundância entre as espécies. O índice de diversidade de </w:t>
      </w:r>
      <w:proofErr w:type="spellStart"/>
      <w:r w:rsidR="009C4C26">
        <w:t>shannon</w:t>
      </w:r>
      <w:proofErr w:type="spellEnd"/>
      <w:r w:rsidR="009C4C26">
        <w:t xml:space="preserve"> e a </w:t>
      </w:r>
      <w:proofErr w:type="spellStart"/>
      <w:r w:rsidR="009C4C26">
        <w:t>equabilidade</w:t>
      </w:r>
      <w:proofErr w:type="spellEnd"/>
      <w:r w:rsidR="009C4C26">
        <w:t xml:space="preserve"> para os dois meses juntos também foi muito similar ao índice dos meses separados (Figura 3; Tabela 1)</w:t>
      </w:r>
      <w:r w:rsidR="000517A3">
        <w:t>.</w:t>
      </w:r>
    </w:p>
    <w:p w:rsidR="000517A3" w:rsidRDefault="000517A3" w:rsidP="000517A3">
      <w:pPr>
        <w:pStyle w:val="Tpico"/>
        <w:rPr>
          <w:sz w:val="24"/>
          <w:szCs w:val="24"/>
        </w:rPr>
      </w:pPr>
      <w:r>
        <w:br w:type="page"/>
      </w:r>
    </w:p>
    <w:p w:rsidR="007C3E50" w:rsidRDefault="000517A3" w:rsidP="00831592">
      <w:pPr>
        <w:pStyle w:val="texto"/>
      </w:pPr>
      <w:r w:rsidRPr="000517A3">
        <w:rPr>
          <w:noProof/>
          <w:lang w:eastAsia="pt-BR"/>
        </w:rPr>
        <w:lastRenderedPageBreak/>
        <w:drawing>
          <wp:inline distT="0" distB="0" distL="0" distR="0">
            <wp:extent cx="5402580" cy="2475934"/>
            <wp:effectExtent l="0" t="0" r="7620" b="635"/>
            <wp:docPr id="5" name="Imagem 5" descr="C:\Users\Edgar\OneDrive - unb.br\MoniAmb_NovaCrixas\Diversidad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gar\OneDrive - unb.br\MoniAmb_NovaCrixas\Diversidade.tif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7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A3" w:rsidRDefault="000517A3" w:rsidP="00330A81">
      <w:pPr>
        <w:pStyle w:val="texto"/>
        <w:ind w:firstLine="0"/>
      </w:pPr>
      <w:r w:rsidRPr="000517A3">
        <w:rPr>
          <w:b/>
        </w:rPr>
        <w:t>Figura 3.</w:t>
      </w:r>
      <w:r>
        <w:rPr>
          <w:b/>
        </w:rPr>
        <w:t xml:space="preserve"> </w:t>
      </w:r>
      <w:r w:rsidR="00330A81">
        <w:t xml:space="preserve">Gráfico do índice de diversidade de Shannon e </w:t>
      </w:r>
      <w:proofErr w:type="spellStart"/>
      <w:r w:rsidR="00330A81">
        <w:t>equabilidade</w:t>
      </w:r>
      <w:proofErr w:type="spellEnd"/>
      <w:r w:rsidR="00330A81">
        <w:t xml:space="preserve"> para os meses de março, junho e para os dois meses juntos.</w:t>
      </w:r>
    </w:p>
    <w:p w:rsidR="00330A81" w:rsidRDefault="00330A81" w:rsidP="00831592">
      <w:pPr>
        <w:pStyle w:val="texto"/>
      </w:pPr>
    </w:p>
    <w:p w:rsidR="00330A81" w:rsidRDefault="00330A81" w:rsidP="00330A81">
      <w:pPr>
        <w:pStyle w:val="texto"/>
        <w:ind w:firstLine="0"/>
      </w:pPr>
      <w:r w:rsidRPr="00330A81">
        <w:rPr>
          <w:b/>
        </w:rPr>
        <w:t xml:space="preserve">Tabela 1. </w:t>
      </w:r>
      <w:r>
        <w:t xml:space="preserve">Tabela com os valores do índice de Shannon e </w:t>
      </w:r>
      <w:proofErr w:type="spellStart"/>
      <w:r>
        <w:t>equabilidade</w:t>
      </w:r>
      <w:proofErr w:type="spellEnd"/>
      <w:r>
        <w:t xml:space="preserve"> </w:t>
      </w:r>
      <w:r>
        <w:t>para os meses de março, junho e para os dois meses juntos.</w:t>
      </w:r>
    </w:p>
    <w:p w:rsidR="00330A81" w:rsidRDefault="00330A81" w:rsidP="00330A81">
      <w:pPr>
        <w:pStyle w:val="texto"/>
        <w:ind w:firstLine="0"/>
      </w:pPr>
    </w:p>
    <w:tbl>
      <w:tblPr>
        <w:tblW w:w="3887" w:type="dxa"/>
        <w:tblInd w:w="2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407"/>
        <w:gridCol w:w="1240"/>
      </w:tblGrid>
      <w:tr w:rsidR="00330A81" w:rsidRPr="00330A81" w:rsidTr="00330A81">
        <w:trPr>
          <w:trHeight w:val="312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30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Periodo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Índice</w:t>
            </w:r>
          </w:p>
        </w:tc>
      </w:tr>
      <w:tr w:rsidR="00330A81" w:rsidRPr="00330A81" w:rsidTr="00330A81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Março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Shannon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3.55</w:t>
            </w:r>
          </w:p>
        </w:tc>
      </w:tr>
      <w:tr w:rsidR="00330A81" w:rsidRPr="00330A81" w:rsidTr="00330A81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Março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Equabilidade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0.76</w:t>
            </w:r>
          </w:p>
        </w:tc>
      </w:tr>
      <w:tr w:rsidR="00330A81" w:rsidRPr="00330A81" w:rsidTr="00330A81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Junho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Shannon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3.21</w:t>
            </w:r>
          </w:p>
        </w:tc>
      </w:tr>
      <w:tr w:rsidR="00330A81" w:rsidRPr="00330A81" w:rsidTr="00330A81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Junho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Equabilidade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0.76</w:t>
            </w:r>
          </w:p>
        </w:tc>
      </w:tr>
      <w:tr w:rsidR="00330A81" w:rsidRPr="00330A81" w:rsidTr="00330A81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Juntos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Shannon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3.64</w:t>
            </w:r>
          </w:p>
        </w:tc>
      </w:tr>
      <w:tr w:rsidR="00330A81" w:rsidRPr="00330A81" w:rsidTr="00330A81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Juntos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Equabilidade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0A81" w:rsidRPr="00330A81" w:rsidRDefault="00330A81" w:rsidP="00330A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3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0.76</w:t>
            </w:r>
          </w:p>
        </w:tc>
      </w:tr>
    </w:tbl>
    <w:p w:rsidR="00330A81" w:rsidRDefault="00330A81" w:rsidP="00330A81">
      <w:pPr>
        <w:pStyle w:val="texto"/>
        <w:ind w:firstLine="0"/>
      </w:pPr>
    </w:p>
    <w:p w:rsidR="00B77D95" w:rsidRDefault="00B77D95" w:rsidP="00330A81">
      <w:pPr>
        <w:pStyle w:val="texto"/>
        <w:ind w:firstLine="0"/>
      </w:pPr>
    </w:p>
    <w:p w:rsidR="0097203B" w:rsidRDefault="008A72E2" w:rsidP="008A72E2">
      <w:pPr>
        <w:pStyle w:val="texto"/>
      </w:pPr>
      <w:r>
        <w:t>A análise de correspondência CA mostra a similaridade na composição de espécies entre os diferentes pontos, assim é possível analisar o quanto a composição de espécies varia entre pontos. Podemos identificar três grupos de pontos para o mês de março, o primeiro grupo é formado pelos pontos 1, 2 e 4, o segundo é representado unicamente pelo ponto 12 que é ponto com a composição de espécies mais diferente de todos os outros pontos, e o terceiro é formado pelos pontos restantes</w:t>
      </w:r>
      <w:r w:rsidR="00E478ED">
        <w:t xml:space="preserve"> (Figura 4)</w:t>
      </w:r>
      <w:r>
        <w:t>.</w:t>
      </w:r>
      <w:r w:rsidR="00E478ED">
        <w:t xml:space="preserve"> Já para o mês de junho podemos observar dois pontos com composição muito diferente entre si e os demais pontos, sendo eles os pontos 1 e 12</w:t>
      </w:r>
      <w:r w:rsidR="00D45EB2">
        <w:t xml:space="preserve"> (Figura 5)</w:t>
      </w:r>
      <w:r w:rsidR="00E478ED">
        <w:t>.</w:t>
      </w:r>
      <w:r w:rsidR="00214614">
        <w:t xml:space="preserve"> Quando realizamos a CA comparando a composição entre os dois meses, observamos que há uma grande diferença na composição de espécies entre março e junho, além disso, podemos observar também que o ponto 1 para o mês de março se difere muito do restante dos pontos para o mesmo mês (Figura 6).</w:t>
      </w:r>
    </w:p>
    <w:p w:rsidR="0097203B" w:rsidRDefault="0097203B" w:rsidP="00330A81">
      <w:pPr>
        <w:pStyle w:val="texto"/>
        <w:ind w:firstLine="0"/>
      </w:pPr>
    </w:p>
    <w:p w:rsidR="008A72E2" w:rsidRDefault="008A72E2" w:rsidP="00330A81">
      <w:pPr>
        <w:pStyle w:val="texto"/>
        <w:ind w:firstLine="0"/>
      </w:pPr>
      <w:r w:rsidRPr="008A72E2">
        <w:rPr>
          <w:noProof/>
          <w:lang w:eastAsia="pt-BR"/>
        </w:rPr>
        <w:lastRenderedPageBreak/>
        <w:drawing>
          <wp:inline distT="0" distB="0" distL="0" distR="0">
            <wp:extent cx="5402580" cy="3395674"/>
            <wp:effectExtent l="0" t="0" r="7620" b="0"/>
            <wp:docPr id="8" name="Imagem 8" descr="C:\Users\Edgar\OneDrive - unb.br\MoniAmb_NovaCrixas\CA_Marco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gar\OneDrive - unb.br\MoniAmb_NovaCrixas\CA_Marco.tif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3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2E2">
        <w:rPr>
          <w:b/>
        </w:rPr>
        <w:t>Figura 4.</w:t>
      </w:r>
      <w:r w:rsidR="00E91588">
        <w:rPr>
          <w:b/>
        </w:rPr>
        <w:t xml:space="preserve"> </w:t>
      </w:r>
      <w:r w:rsidR="00E91588" w:rsidRPr="00E91588">
        <w:t>Analise de correspondência da composição de espécies para o mês de março. Os números representam o ponto de coleta.</w:t>
      </w:r>
    </w:p>
    <w:p w:rsidR="00A0010F" w:rsidRDefault="00A0010F" w:rsidP="00330A81">
      <w:pPr>
        <w:pStyle w:val="texto"/>
        <w:ind w:firstLine="0"/>
      </w:pPr>
    </w:p>
    <w:p w:rsidR="00A0010F" w:rsidRDefault="00A0010F" w:rsidP="00330A81">
      <w:pPr>
        <w:pStyle w:val="texto"/>
        <w:ind w:firstLine="0"/>
      </w:pPr>
      <w:r w:rsidRPr="00A0010F">
        <w:rPr>
          <w:noProof/>
          <w:lang w:eastAsia="pt-BR"/>
        </w:rPr>
        <w:drawing>
          <wp:inline distT="0" distB="0" distL="0" distR="0">
            <wp:extent cx="5402580" cy="3395674"/>
            <wp:effectExtent l="0" t="0" r="7620" b="0"/>
            <wp:docPr id="9" name="Imagem 9" descr="C:\Users\Edgar\OneDrive - unb.br\MoniAmb_NovaCrixas\CA_Junho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gar\OneDrive - unb.br\MoniAmb_NovaCrixas\CA_Junho.tif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3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0F" w:rsidRDefault="00A0010F" w:rsidP="00330A81">
      <w:pPr>
        <w:pStyle w:val="texto"/>
        <w:ind w:firstLine="0"/>
      </w:pPr>
      <w:r>
        <w:rPr>
          <w:b/>
        </w:rPr>
        <w:t>Figura 5</w:t>
      </w:r>
      <w:r w:rsidRPr="008A72E2">
        <w:rPr>
          <w:b/>
        </w:rPr>
        <w:t>.</w:t>
      </w:r>
      <w:r>
        <w:rPr>
          <w:b/>
        </w:rPr>
        <w:t xml:space="preserve"> </w:t>
      </w:r>
      <w:r w:rsidRPr="00E91588">
        <w:t xml:space="preserve">Analise de correspondência da composição de espécies </w:t>
      </w:r>
      <w:r>
        <w:t>para o mês de junho</w:t>
      </w:r>
      <w:r w:rsidRPr="00E91588">
        <w:t>. Os números representam o ponto de coleta.</w:t>
      </w:r>
    </w:p>
    <w:p w:rsidR="00A0010F" w:rsidRDefault="00A0010F" w:rsidP="00A0010F">
      <w:pPr>
        <w:pStyle w:val="Tpico"/>
        <w:rPr>
          <w:sz w:val="24"/>
          <w:szCs w:val="24"/>
        </w:rPr>
      </w:pPr>
      <w:r>
        <w:br w:type="page"/>
      </w:r>
    </w:p>
    <w:p w:rsidR="00A0010F" w:rsidRDefault="0058597E" w:rsidP="00330A81">
      <w:pPr>
        <w:pStyle w:val="texto"/>
        <w:ind w:firstLine="0"/>
      </w:pPr>
      <w:r w:rsidRPr="0058597E">
        <w:rPr>
          <w:noProof/>
          <w:lang w:eastAsia="pt-BR"/>
        </w:rPr>
        <w:lastRenderedPageBreak/>
        <w:drawing>
          <wp:inline distT="0" distB="0" distL="0" distR="0">
            <wp:extent cx="5402580" cy="3395674"/>
            <wp:effectExtent l="0" t="0" r="7620" b="0"/>
            <wp:docPr id="10" name="Imagem 10" descr="C:\Users\Edgar\OneDrive - unb.br\MoniAmb_NovaCrixas\CA_Junto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gar\OneDrive - unb.br\MoniAmb_NovaCrixas\CA_Juntos.tif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39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97E" w:rsidRDefault="0058597E" w:rsidP="0058597E">
      <w:pPr>
        <w:pStyle w:val="texto"/>
        <w:ind w:firstLine="0"/>
      </w:pPr>
      <w:r>
        <w:rPr>
          <w:b/>
        </w:rPr>
        <w:t>Figura 6</w:t>
      </w:r>
      <w:r w:rsidRPr="008A72E2">
        <w:rPr>
          <w:b/>
        </w:rPr>
        <w:t>.</w:t>
      </w:r>
      <w:r>
        <w:rPr>
          <w:b/>
        </w:rPr>
        <w:t xml:space="preserve"> </w:t>
      </w:r>
      <w:r w:rsidRPr="00E91588">
        <w:t xml:space="preserve">Analise de correspondência </w:t>
      </w:r>
      <w:r>
        <w:t>comparando a composição de espécies entre os meses de março e junho</w:t>
      </w:r>
      <w:r w:rsidRPr="00E91588">
        <w:t>. Os números representam o ponto de coleta</w:t>
      </w:r>
      <w:r>
        <w:t>, cores diferentes representam meses diferentes</w:t>
      </w:r>
      <w:bookmarkStart w:id="0" w:name="_GoBack"/>
      <w:bookmarkEnd w:id="0"/>
      <w:r w:rsidRPr="00E91588">
        <w:t>.</w:t>
      </w:r>
    </w:p>
    <w:p w:rsidR="0058597E" w:rsidRPr="00E91588" w:rsidRDefault="0058597E" w:rsidP="00330A81">
      <w:pPr>
        <w:pStyle w:val="texto"/>
        <w:ind w:firstLine="0"/>
      </w:pPr>
    </w:p>
    <w:sectPr w:rsidR="0058597E" w:rsidRPr="00E91588" w:rsidSect="000B0FCF">
      <w:headerReference w:type="default" r:id="rId14"/>
      <w:footerReference w:type="default" r:id="rId15"/>
      <w:pgSz w:w="11910" w:h="16840"/>
      <w:pgMar w:top="1418" w:right="1701" w:bottom="1418" w:left="170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409" w:rsidRDefault="001E6409" w:rsidP="000B0FCF">
      <w:pPr>
        <w:spacing w:after="0" w:line="240" w:lineRule="auto"/>
      </w:pPr>
      <w:r>
        <w:separator/>
      </w:r>
    </w:p>
  </w:endnote>
  <w:endnote w:type="continuationSeparator" w:id="0">
    <w:p w:rsidR="001E6409" w:rsidRDefault="001E6409" w:rsidP="000B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CC5" w:rsidRDefault="00F54CC5">
    <w:pPr>
      <w:pStyle w:val="Rodap"/>
    </w:pPr>
    <w:r w:rsidRPr="00F54CC5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-1851660</wp:posOffset>
          </wp:positionH>
          <wp:positionV relativeFrom="paragraph">
            <wp:posOffset>290830</wp:posOffset>
          </wp:positionV>
          <wp:extent cx="9102725" cy="618490"/>
          <wp:effectExtent l="0" t="0" r="3175" b="0"/>
          <wp:wrapSquare wrapText="bothSides"/>
          <wp:docPr id="102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309" b="48129"/>
                  <a:stretch>
                    <a:fillRect/>
                  </a:stretch>
                </pic:blipFill>
                <pic:spPr bwMode="auto">
                  <a:xfrm>
                    <a:off x="0" y="0"/>
                    <a:ext cx="9102725" cy="6184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409" w:rsidRDefault="001E6409" w:rsidP="000B0FCF">
      <w:pPr>
        <w:spacing w:after="0" w:line="240" w:lineRule="auto"/>
      </w:pPr>
      <w:r>
        <w:separator/>
      </w:r>
    </w:p>
  </w:footnote>
  <w:footnote w:type="continuationSeparator" w:id="0">
    <w:p w:rsidR="001E6409" w:rsidRDefault="001E6409" w:rsidP="000B0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D40" w:rsidRDefault="00344D40">
    <w:pPr>
      <w:pStyle w:val="Cabealho"/>
    </w:pPr>
    <w:r w:rsidRPr="00344D4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202088" wp14:editId="1DC2FF25">
              <wp:simplePos x="0" y="0"/>
              <wp:positionH relativeFrom="margin">
                <wp:align>center</wp:align>
              </wp:positionH>
              <wp:positionV relativeFrom="paragraph">
                <wp:posOffset>-450215</wp:posOffset>
              </wp:positionV>
              <wp:extent cx="12315825" cy="923330"/>
              <wp:effectExtent l="0" t="0" r="9525" b="0"/>
              <wp:wrapSquare wrapText="bothSides"/>
              <wp:docPr id="6" name="CaixaDe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15825" cy="92333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</wps:spPr>
                    <wps:txbx>
                      <w:txbxContent>
                        <w:p w:rsidR="00344D40" w:rsidRDefault="00344D40" w:rsidP="00344D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 w:cstheme="minorBidi"/>
                              <w:color w:val="DEDE42"/>
                              <w:kern w:val="24"/>
                              <w:sz w:val="36"/>
                              <w:szCs w:val="36"/>
                            </w:rPr>
                            <w:t>DE LIMA</w:t>
                          </w:r>
                        </w:p>
                        <w:p w:rsidR="00344D40" w:rsidRDefault="00344D40" w:rsidP="00344D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 w:cstheme="minorBidi"/>
                              <w:color w:val="DEDE42"/>
                              <w:kern w:val="24"/>
                              <w:sz w:val="36"/>
                              <w:szCs w:val="36"/>
                            </w:rPr>
                            <w:t>SOLUÇÕES ANALÍTICAS</w:t>
                          </w:r>
                        </w:p>
                        <w:p w:rsidR="00344D40" w:rsidRDefault="00344D40" w:rsidP="00344D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DEDE42"/>
                              <w:kern w:val="24"/>
                              <w:sz w:val="36"/>
                              <w:szCs w:val="36"/>
                            </w:rPr>
                            <w:t>Ecologia quantitativa, Estatística, SIG e Ciência de dados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02088" id="_x0000_t202" coordsize="21600,21600" o:spt="202" path="m,l,21600r21600,l21600,xe">
              <v:stroke joinstyle="miter"/>
              <v:path gradientshapeok="t" o:connecttype="rect"/>
            </v:shapetype>
            <v:shape id="CaixaDeTexto 5" o:spid="_x0000_s1026" type="#_x0000_t202" style="position:absolute;margin-left:0;margin-top:-35.45pt;width:969.75pt;height:72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" fillcolor="#375623 [1609]" stroked="f">
              <v:textbox style="mso-fit-shape-to-text:t">
                <w:txbxContent>
                  <w:p w:rsidR="00344D40" w:rsidRDefault="00344D40" w:rsidP="00344D4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 w:cstheme="minorBidi"/>
                        <w:color w:val="DEDE42"/>
                        <w:kern w:val="24"/>
                        <w:sz w:val="36"/>
                        <w:szCs w:val="36"/>
                      </w:rPr>
                      <w:t>DE LIMA</w:t>
                    </w:r>
                  </w:p>
                  <w:p w:rsidR="00344D40" w:rsidRDefault="00344D40" w:rsidP="00344D4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 w:cstheme="minorBidi"/>
                        <w:color w:val="DEDE42"/>
                        <w:kern w:val="24"/>
                        <w:sz w:val="36"/>
                        <w:szCs w:val="36"/>
                      </w:rPr>
                      <w:t>SOLUÇÕES ANALÍTICAS</w:t>
                    </w:r>
                  </w:p>
                  <w:p w:rsidR="00344D40" w:rsidRDefault="00344D40" w:rsidP="00344D4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DEDE42"/>
                        <w:kern w:val="24"/>
                        <w:sz w:val="36"/>
                        <w:szCs w:val="36"/>
                      </w:rPr>
                      <w:t>Ecologia quantitativa, Estatística, SIG e Ciência de dados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5B5"/>
    <w:multiLevelType w:val="hybridMultilevel"/>
    <w:tmpl w:val="B36E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717C5"/>
    <w:multiLevelType w:val="hybridMultilevel"/>
    <w:tmpl w:val="AC585DB0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416348"/>
    <w:multiLevelType w:val="hybridMultilevel"/>
    <w:tmpl w:val="076062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A601F5"/>
    <w:multiLevelType w:val="hybridMultilevel"/>
    <w:tmpl w:val="6426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F4BBB"/>
    <w:multiLevelType w:val="hybridMultilevel"/>
    <w:tmpl w:val="32AEB9E2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FA62E65"/>
    <w:multiLevelType w:val="multilevel"/>
    <w:tmpl w:val="3DF8C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2D07F0D"/>
    <w:multiLevelType w:val="hybridMultilevel"/>
    <w:tmpl w:val="94B68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C0407"/>
    <w:multiLevelType w:val="hybridMultilevel"/>
    <w:tmpl w:val="64DA92EC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C7909C8"/>
    <w:multiLevelType w:val="hybridMultilevel"/>
    <w:tmpl w:val="E01C2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MTM0Mzc1MjYxNjJX0lEKTi0uzszPAykwrAUA6/SvsSwAAAA="/>
  </w:docVars>
  <w:rsids>
    <w:rsidRoot w:val="006F7364"/>
    <w:rsid w:val="000227A7"/>
    <w:rsid w:val="00024E39"/>
    <w:rsid w:val="00034A85"/>
    <w:rsid w:val="00042797"/>
    <w:rsid w:val="00045DF5"/>
    <w:rsid w:val="000517A3"/>
    <w:rsid w:val="00063F55"/>
    <w:rsid w:val="0009017B"/>
    <w:rsid w:val="000B0FCF"/>
    <w:rsid w:val="000B6208"/>
    <w:rsid w:val="000F055D"/>
    <w:rsid w:val="00142058"/>
    <w:rsid w:val="00145DDC"/>
    <w:rsid w:val="001558BE"/>
    <w:rsid w:val="00160AC8"/>
    <w:rsid w:val="00176669"/>
    <w:rsid w:val="001B17EB"/>
    <w:rsid w:val="001C2554"/>
    <w:rsid w:val="001D7305"/>
    <w:rsid w:val="001E6409"/>
    <w:rsid w:val="002129BA"/>
    <w:rsid w:val="00214614"/>
    <w:rsid w:val="00221388"/>
    <w:rsid w:val="0022287B"/>
    <w:rsid w:val="00230C2B"/>
    <w:rsid w:val="0023774A"/>
    <w:rsid w:val="002379D5"/>
    <w:rsid w:val="00243B94"/>
    <w:rsid w:val="002472A7"/>
    <w:rsid w:val="002527F3"/>
    <w:rsid w:val="0027189C"/>
    <w:rsid w:val="002C410C"/>
    <w:rsid w:val="002D39E4"/>
    <w:rsid w:val="002E2E38"/>
    <w:rsid w:val="002E30EB"/>
    <w:rsid w:val="002F748D"/>
    <w:rsid w:val="003066C6"/>
    <w:rsid w:val="00330A81"/>
    <w:rsid w:val="00344D40"/>
    <w:rsid w:val="00354BB0"/>
    <w:rsid w:val="00381A57"/>
    <w:rsid w:val="003A4029"/>
    <w:rsid w:val="003B58B5"/>
    <w:rsid w:val="003F6006"/>
    <w:rsid w:val="00413D99"/>
    <w:rsid w:val="00425CD2"/>
    <w:rsid w:val="004471D8"/>
    <w:rsid w:val="00447B9F"/>
    <w:rsid w:val="00463A06"/>
    <w:rsid w:val="00495D5A"/>
    <w:rsid w:val="004A7E62"/>
    <w:rsid w:val="004B5D75"/>
    <w:rsid w:val="004C7480"/>
    <w:rsid w:val="005120CF"/>
    <w:rsid w:val="00533B20"/>
    <w:rsid w:val="00570D9F"/>
    <w:rsid w:val="0058597E"/>
    <w:rsid w:val="005939B6"/>
    <w:rsid w:val="005E025D"/>
    <w:rsid w:val="006060DE"/>
    <w:rsid w:val="00606C5C"/>
    <w:rsid w:val="00620C92"/>
    <w:rsid w:val="00623EA3"/>
    <w:rsid w:val="00631468"/>
    <w:rsid w:val="006413C7"/>
    <w:rsid w:val="00650F05"/>
    <w:rsid w:val="006912E9"/>
    <w:rsid w:val="006966FB"/>
    <w:rsid w:val="006A340A"/>
    <w:rsid w:val="006A3644"/>
    <w:rsid w:val="006B1FE7"/>
    <w:rsid w:val="006B2D1D"/>
    <w:rsid w:val="006C1A5C"/>
    <w:rsid w:val="006C5D7E"/>
    <w:rsid w:val="006F4515"/>
    <w:rsid w:val="006F7364"/>
    <w:rsid w:val="00707979"/>
    <w:rsid w:val="007117D1"/>
    <w:rsid w:val="007142E0"/>
    <w:rsid w:val="00727F90"/>
    <w:rsid w:val="00762A8A"/>
    <w:rsid w:val="00773216"/>
    <w:rsid w:val="0078295C"/>
    <w:rsid w:val="00796220"/>
    <w:rsid w:val="007968E4"/>
    <w:rsid w:val="007C1C8B"/>
    <w:rsid w:val="007C3E50"/>
    <w:rsid w:val="007D146C"/>
    <w:rsid w:val="007D4B70"/>
    <w:rsid w:val="007F6B59"/>
    <w:rsid w:val="00831592"/>
    <w:rsid w:val="008334CA"/>
    <w:rsid w:val="00836A10"/>
    <w:rsid w:val="008639F9"/>
    <w:rsid w:val="00875C55"/>
    <w:rsid w:val="008A2AFC"/>
    <w:rsid w:val="008A4140"/>
    <w:rsid w:val="008A72E2"/>
    <w:rsid w:val="008B447C"/>
    <w:rsid w:val="008C13E8"/>
    <w:rsid w:val="008C3D38"/>
    <w:rsid w:val="008C7B99"/>
    <w:rsid w:val="008E087E"/>
    <w:rsid w:val="0092705E"/>
    <w:rsid w:val="0093651A"/>
    <w:rsid w:val="0094311C"/>
    <w:rsid w:val="00953F1F"/>
    <w:rsid w:val="00955793"/>
    <w:rsid w:val="0097203B"/>
    <w:rsid w:val="00976299"/>
    <w:rsid w:val="0098064D"/>
    <w:rsid w:val="00987695"/>
    <w:rsid w:val="0099131D"/>
    <w:rsid w:val="009B2813"/>
    <w:rsid w:val="009B66D4"/>
    <w:rsid w:val="009C3FFD"/>
    <w:rsid w:val="009C4C26"/>
    <w:rsid w:val="009D428A"/>
    <w:rsid w:val="009D6695"/>
    <w:rsid w:val="009E1EA7"/>
    <w:rsid w:val="009F0E73"/>
    <w:rsid w:val="00A0010F"/>
    <w:rsid w:val="00A03032"/>
    <w:rsid w:val="00A04019"/>
    <w:rsid w:val="00A10900"/>
    <w:rsid w:val="00A17168"/>
    <w:rsid w:val="00A22187"/>
    <w:rsid w:val="00A40E8E"/>
    <w:rsid w:val="00A41EB8"/>
    <w:rsid w:val="00A47E9B"/>
    <w:rsid w:val="00A57374"/>
    <w:rsid w:val="00A62974"/>
    <w:rsid w:val="00A62BA2"/>
    <w:rsid w:val="00A913DE"/>
    <w:rsid w:val="00A94ED7"/>
    <w:rsid w:val="00AA59D0"/>
    <w:rsid w:val="00AB3732"/>
    <w:rsid w:val="00AC4756"/>
    <w:rsid w:val="00B12199"/>
    <w:rsid w:val="00B24698"/>
    <w:rsid w:val="00B43C4D"/>
    <w:rsid w:val="00B523A6"/>
    <w:rsid w:val="00B55922"/>
    <w:rsid w:val="00B77D95"/>
    <w:rsid w:val="00B86048"/>
    <w:rsid w:val="00BA53A6"/>
    <w:rsid w:val="00BB5FFF"/>
    <w:rsid w:val="00BB628E"/>
    <w:rsid w:val="00BC0217"/>
    <w:rsid w:val="00BC2E92"/>
    <w:rsid w:val="00BE29CC"/>
    <w:rsid w:val="00C05790"/>
    <w:rsid w:val="00C14E98"/>
    <w:rsid w:val="00C209DC"/>
    <w:rsid w:val="00C2185F"/>
    <w:rsid w:val="00C25CAB"/>
    <w:rsid w:val="00C26741"/>
    <w:rsid w:val="00C30594"/>
    <w:rsid w:val="00C65DB2"/>
    <w:rsid w:val="00C70B57"/>
    <w:rsid w:val="00C911B1"/>
    <w:rsid w:val="00C93DF6"/>
    <w:rsid w:val="00C95B64"/>
    <w:rsid w:val="00CA4AC1"/>
    <w:rsid w:val="00CA5A1B"/>
    <w:rsid w:val="00CC1666"/>
    <w:rsid w:val="00D15C16"/>
    <w:rsid w:val="00D36C4B"/>
    <w:rsid w:val="00D45EB2"/>
    <w:rsid w:val="00DA3900"/>
    <w:rsid w:val="00DC7715"/>
    <w:rsid w:val="00DC7D63"/>
    <w:rsid w:val="00DD61F8"/>
    <w:rsid w:val="00E11974"/>
    <w:rsid w:val="00E478ED"/>
    <w:rsid w:val="00E76266"/>
    <w:rsid w:val="00E91588"/>
    <w:rsid w:val="00EA12AE"/>
    <w:rsid w:val="00EB51D1"/>
    <w:rsid w:val="00EF7C51"/>
    <w:rsid w:val="00F10020"/>
    <w:rsid w:val="00F12A69"/>
    <w:rsid w:val="00F313CF"/>
    <w:rsid w:val="00F4407B"/>
    <w:rsid w:val="00F4502A"/>
    <w:rsid w:val="00F54CC5"/>
    <w:rsid w:val="00F57473"/>
    <w:rsid w:val="00F6605B"/>
    <w:rsid w:val="00F92DC7"/>
    <w:rsid w:val="00FB3EF5"/>
    <w:rsid w:val="00FB41EA"/>
    <w:rsid w:val="00FC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3A31AE-B52D-4BD3-8C6F-7A21ED93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0FCF"/>
  </w:style>
  <w:style w:type="paragraph" w:styleId="Ttulo1">
    <w:name w:val="heading 1"/>
    <w:aliases w:val="Texto"/>
    <w:basedOn w:val="Normal"/>
    <w:next w:val="Normal"/>
    <w:link w:val="Ttulo1Char"/>
    <w:uiPriority w:val="9"/>
    <w:qFormat/>
    <w:rsid w:val="007D4B7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7364"/>
    <w:pPr>
      <w:spacing w:after="0" w:line="240" w:lineRule="auto"/>
    </w:pPr>
  </w:style>
  <w:style w:type="paragraph" w:customStyle="1" w:styleId="Captulo">
    <w:name w:val="Capítulo"/>
    <w:basedOn w:val="Normal"/>
    <w:next w:val="Tpico"/>
    <w:link w:val="CaptuloChar"/>
    <w:qFormat/>
    <w:rsid w:val="006F7364"/>
    <w:rPr>
      <w:rFonts w:ascii="Times New Roman" w:hAnsi="Times New Roman" w:cs="Times New Roman"/>
      <w:b/>
      <w:sz w:val="32"/>
      <w:szCs w:val="32"/>
    </w:rPr>
  </w:style>
  <w:style w:type="paragraph" w:customStyle="1" w:styleId="Tpico">
    <w:name w:val="Tópico"/>
    <w:basedOn w:val="Captulo"/>
    <w:link w:val="TpicoChar"/>
    <w:qFormat/>
    <w:rsid w:val="006F7364"/>
    <w:rPr>
      <w:sz w:val="28"/>
      <w:szCs w:val="28"/>
    </w:rPr>
  </w:style>
  <w:style w:type="character" w:customStyle="1" w:styleId="CaptuloChar">
    <w:name w:val="Capítulo Char"/>
    <w:basedOn w:val="Fontepargpadro"/>
    <w:link w:val="Captulo"/>
    <w:rsid w:val="006F7364"/>
    <w:rPr>
      <w:rFonts w:ascii="Times New Roman" w:hAnsi="Times New Roman" w:cs="Times New Roman"/>
      <w:b/>
      <w:sz w:val="32"/>
      <w:szCs w:val="32"/>
    </w:rPr>
  </w:style>
  <w:style w:type="paragraph" w:customStyle="1" w:styleId="texto">
    <w:name w:val="texto"/>
    <w:basedOn w:val="Tpico"/>
    <w:link w:val="textoChar"/>
    <w:qFormat/>
    <w:rsid w:val="006F7364"/>
    <w:pPr>
      <w:spacing w:line="240" w:lineRule="auto"/>
      <w:ind w:firstLine="709"/>
      <w:jc w:val="both"/>
    </w:pPr>
    <w:rPr>
      <w:b w:val="0"/>
      <w:sz w:val="24"/>
      <w:szCs w:val="24"/>
    </w:rPr>
  </w:style>
  <w:style w:type="character" w:customStyle="1" w:styleId="TpicoChar">
    <w:name w:val="Tópico Char"/>
    <w:basedOn w:val="CaptuloChar"/>
    <w:link w:val="Tpico"/>
    <w:rsid w:val="006F7364"/>
    <w:rPr>
      <w:rFonts w:ascii="Times New Roman" w:hAnsi="Times New Roman" w:cs="Times New Roman"/>
      <w:b/>
      <w:sz w:val="28"/>
      <w:szCs w:val="28"/>
    </w:rPr>
  </w:style>
  <w:style w:type="character" w:customStyle="1" w:styleId="textoChar">
    <w:name w:val="texto Char"/>
    <w:basedOn w:val="TpicoChar"/>
    <w:link w:val="texto"/>
    <w:rsid w:val="006F7364"/>
    <w:rPr>
      <w:rFonts w:ascii="Times New Roman" w:hAnsi="Times New Roman" w:cs="Times New Roman"/>
      <w:b w:val="0"/>
      <w:sz w:val="24"/>
      <w:szCs w:val="24"/>
    </w:rPr>
  </w:style>
  <w:style w:type="character" w:customStyle="1" w:styleId="Ttulo1Char">
    <w:name w:val="Título 1 Char"/>
    <w:aliases w:val="Texto Char"/>
    <w:basedOn w:val="Fontepargpadro"/>
    <w:link w:val="Ttulo1"/>
    <w:uiPriority w:val="9"/>
    <w:rsid w:val="007D4B70"/>
    <w:rPr>
      <w:rFonts w:ascii="Times New Roman" w:eastAsiaTheme="majorEastAsia" w:hAnsi="Times New Roman" w:cstheme="majorBidi"/>
      <w:sz w:val="24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7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2A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14E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B0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FCF"/>
  </w:style>
  <w:style w:type="paragraph" w:styleId="Rodap">
    <w:name w:val="footer"/>
    <w:basedOn w:val="Normal"/>
    <w:link w:val="RodapChar"/>
    <w:uiPriority w:val="99"/>
    <w:unhideWhenUsed/>
    <w:rsid w:val="000B0F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FCF"/>
  </w:style>
  <w:style w:type="paragraph" w:styleId="NormalWeb">
    <w:name w:val="Normal (Web)"/>
    <w:basedOn w:val="Normal"/>
    <w:uiPriority w:val="99"/>
    <w:semiHidden/>
    <w:unhideWhenUsed/>
    <w:rsid w:val="00344D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0F9DE-0341-4B03-B23C-4DA866B6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5</Pages>
  <Words>675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204</cp:revision>
  <dcterms:created xsi:type="dcterms:W3CDTF">2022-02-05T14:49:00Z</dcterms:created>
  <dcterms:modified xsi:type="dcterms:W3CDTF">2022-04-14T19:32:00Z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http://www.zotero.org/styles/biological-conservation</vt:lpwstr>
  </property>
  <property fmtid="{D5CDD505-2E9C-101B-9397-08002B2CF9AE}" pid="7" name="Mendeley Recent Style Name 2_1">
    <vt:lpwstr>Biological Conservation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http://www.zotero.org/styles/ecology</vt:lpwstr>
  </property>
  <property fmtid="{D5CDD505-2E9C-101B-9397-08002B2CF9AE}" pid="13" name="Mendeley Recent Style Name 5_1">
    <vt:lpwstr>Ecology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