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F8" w:rsidRPr="00D04BF8" w:rsidRDefault="00D04BF8" w:rsidP="00D04BF8">
      <w:pPr>
        <w:autoSpaceDE w:val="0"/>
        <w:autoSpaceDN w:val="0"/>
        <w:adjustRightInd w:val="0"/>
        <w:spacing w:after="0" w:line="240" w:lineRule="auto"/>
        <w:rPr>
          <w:rFonts w:ascii="Times New Roman" w:hAnsi="Times New Roman" w:cs="Times New Roman"/>
          <w:sz w:val="24"/>
          <w:szCs w:val="24"/>
        </w:rPr>
      </w:pPr>
    </w:p>
    <w:tbl>
      <w:tblPr>
        <w:tblW w:w="9408" w:type="dxa"/>
        <w:tblLayout w:type="fixed"/>
        <w:tblCellMar>
          <w:left w:w="0" w:type="dxa"/>
          <w:right w:w="0" w:type="dxa"/>
        </w:tblCellMar>
        <w:tblLook w:val="0000" w:firstRow="0" w:lastRow="0" w:firstColumn="0" w:lastColumn="0" w:noHBand="0" w:noVBand="0"/>
      </w:tblPr>
      <w:tblGrid>
        <w:gridCol w:w="9408"/>
      </w:tblGrid>
      <w:tr w:rsidR="00D04BF8" w:rsidRPr="00D04BF8" w:rsidTr="00D04BF8">
        <w:tblPrEx>
          <w:tblCellMar>
            <w:top w:w="0" w:type="dxa"/>
            <w:bottom w:w="0" w:type="dxa"/>
          </w:tblCellMar>
        </w:tblPrEx>
        <w:trPr>
          <w:cantSplit/>
        </w:trPr>
        <w:tc>
          <w:tcPr>
            <w:tcW w:w="9408" w:type="dxa"/>
            <w:tcBorders>
              <w:top w:val="nil"/>
              <w:left w:val="nil"/>
              <w:bottom w:val="nil"/>
              <w:right w:val="nil"/>
            </w:tcBorders>
            <w:shd w:val="clear" w:color="auto" w:fill="FFFFFF"/>
            <w:vAlign w:val="center"/>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010205"/>
              </w:rPr>
            </w:pPr>
          </w:p>
        </w:tc>
      </w:tr>
    </w:tbl>
    <w:p w:rsidR="00EC5751" w:rsidRDefault="00D04BF8">
      <w:proofErr w:type="gramStart"/>
      <w:r>
        <w:t>iii</w:t>
      </w:r>
      <w:proofErr w:type="gramEnd"/>
      <w:r>
        <w:t>.</w:t>
      </w:r>
    </w:p>
    <w:p w:rsidR="00D04BF8" w:rsidRDefault="00D04BF8"/>
    <w:p w:rsidR="00D04BF8" w:rsidRPr="00D04BF8" w:rsidRDefault="00D04BF8" w:rsidP="00D04BF8">
      <w:pPr>
        <w:autoSpaceDE w:val="0"/>
        <w:autoSpaceDN w:val="0"/>
        <w:adjustRightInd w:val="0"/>
        <w:spacing w:after="0" w:line="240" w:lineRule="auto"/>
        <w:rPr>
          <w:rFonts w:ascii="Times New Roman" w:hAnsi="Times New Roman" w:cs="Times New Roman"/>
          <w:sz w:val="24"/>
          <w:szCs w:val="24"/>
        </w:rPr>
      </w:pPr>
    </w:p>
    <w:tbl>
      <w:tblPr>
        <w:tblW w:w="9966" w:type="dxa"/>
        <w:tblLayout w:type="fixed"/>
        <w:tblCellMar>
          <w:left w:w="0" w:type="dxa"/>
          <w:right w:w="0" w:type="dxa"/>
        </w:tblCellMar>
        <w:tblLook w:val="0000" w:firstRow="0" w:lastRow="0" w:firstColumn="0" w:lastColumn="0" w:noHBand="0" w:noVBand="0"/>
      </w:tblPr>
      <w:tblGrid>
        <w:gridCol w:w="2491"/>
        <w:gridCol w:w="1495"/>
        <w:gridCol w:w="1495"/>
        <w:gridCol w:w="1495"/>
        <w:gridCol w:w="1495"/>
        <w:gridCol w:w="1495"/>
      </w:tblGrid>
      <w:tr w:rsidR="00D04BF8" w:rsidRPr="00D04BF8">
        <w:tblPrEx>
          <w:tblCellMar>
            <w:top w:w="0" w:type="dxa"/>
            <w:bottom w:w="0" w:type="dxa"/>
          </w:tblCellMar>
        </w:tblPrEx>
        <w:trPr>
          <w:cantSplit/>
        </w:trPr>
        <w:tc>
          <w:tcPr>
            <w:tcW w:w="9961" w:type="dxa"/>
            <w:gridSpan w:val="6"/>
            <w:tcBorders>
              <w:top w:val="nil"/>
              <w:left w:val="nil"/>
              <w:bottom w:val="nil"/>
              <w:right w:val="nil"/>
            </w:tcBorders>
            <w:shd w:val="clear" w:color="auto" w:fill="FFFFFF"/>
            <w:vAlign w:val="center"/>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010205"/>
              </w:rPr>
            </w:pPr>
            <w:r w:rsidRPr="00D04BF8">
              <w:rPr>
                <w:rFonts w:ascii="Arial" w:hAnsi="Arial" w:cs="Arial"/>
                <w:b/>
                <w:bCs/>
                <w:color w:val="010205"/>
              </w:rPr>
              <w:t>Correlations</w:t>
            </w:r>
          </w:p>
        </w:tc>
      </w:tr>
      <w:tr w:rsidR="00D04BF8" w:rsidRPr="00D04BF8">
        <w:tblPrEx>
          <w:tblCellMar>
            <w:top w:w="0" w:type="dxa"/>
            <w:bottom w:w="0" w:type="dxa"/>
          </w:tblCellMar>
        </w:tblPrEx>
        <w:trPr>
          <w:cantSplit/>
        </w:trPr>
        <w:tc>
          <w:tcPr>
            <w:tcW w:w="2491" w:type="dxa"/>
            <w:tcBorders>
              <w:top w:val="nil"/>
              <w:left w:val="nil"/>
              <w:bottom w:val="single" w:sz="8" w:space="0" w:color="152935"/>
              <w:right w:val="nil"/>
            </w:tcBorders>
            <w:shd w:val="clear" w:color="auto" w:fill="FFFFFF"/>
            <w:vAlign w:val="bottom"/>
          </w:tcPr>
          <w:p w:rsidR="00D04BF8" w:rsidRPr="00D04BF8" w:rsidRDefault="00D04BF8" w:rsidP="00D04BF8">
            <w:pPr>
              <w:autoSpaceDE w:val="0"/>
              <w:autoSpaceDN w:val="0"/>
              <w:adjustRightInd w:val="0"/>
              <w:spacing w:after="0" w:line="240" w:lineRule="auto"/>
              <w:rPr>
                <w:rFonts w:ascii="Times New Roman" w:hAnsi="Times New Roman" w:cs="Times New Roman"/>
                <w:sz w:val="24"/>
                <w:szCs w:val="24"/>
              </w:rPr>
            </w:pPr>
          </w:p>
        </w:tc>
        <w:tc>
          <w:tcPr>
            <w:tcW w:w="1494" w:type="dxa"/>
            <w:tcBorders>
              <w:top w:val="nil"/>
              <w:left w:val="nil"/>
              <w:bottom w:val="single" w:sz="8" w:space="0" w:color="152935"/>
              <w:right w:val="single" w:sz="8" w:space="0" w:color="E0E0E0"/>
            </w:tcBorders>
            <w:shd w:val="clear" w:color="auto" w:fill="FFFFFF"/>
            <w:vAlign w:val="bottom"/>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04BF8">
              <w:rPr>
                <w:rFonts w:ascii="Arial" w:hAnsi="Arial" w:cs="Arial"/>
                <w:color w:val="264A60"/>
                <w:sz w:val="18"/>
                <w:szCs w:val="18"/>
              </w:rPr>
              <w:t>Decrease_in_mortality</w:t>
            </w:r>
            <w:proofErr w:type="spellEnd"/>
          </w:p>
        </w:tc>
        <w:tc>
          <w:tcPr>
            <w:tcW w:w="1494" w:type="dxa"/>
            <w:tcBorders>
              <w:top w:val="nil"/>
              <w:left w:val="single" w:sz="8" w:space="0" w:color="E0E0E0"/>
              <w:bottom w:val="single" w:sz="8" w:space="0" w:color="152935"/>
              <w:right w:val="single" w:sz="8" w:space="0" w:color="E0E0E0"/>
            </w:tcBorders>
            <w:shd w:val="clear" w:color="auto" w:fill="FFFFFF"/>
            <w:vAlign w:val="bottom"/>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04BF8">
              <w:rPr>
                <w:rFonts w:ascii="Arial" w:hAnsi="Arial" w:cs="Arial"/>
                <w:color w:val="264A60"/>
                <w:sz w:val="18"/>
                <w:szCs w:val="18"/>
              </w:rPr>
              <w:t>GDP_Increase</w:t>
            </w:r>
            <w:proofErr w:type="spellEnd"/>
          </w:p>
        </w:tc>
        <w:tc>
          <w:tcPr>
            <w:tcW w:w="1494" w:type="dxa"/>
            <w:tcBorders>
              <w:top w:val="nil"/>
              <w:left w:val="single" w:sz="8" w:space="0" w:color="E0E0E0"/>
              <w:bottom w:val="single" w:sz="8" w:space="0" w:color="152935"/>
              <w:right w:val="single" w:sz="8" w:space="0" w:color="E0E0E0"/>
            </w:tcBorders>
            <w:shd w:val="clear" w:color="auto" w:fill="FFFFFF"/>
            <w:vAlign w:val="bottom"/>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04BF8">
              <w:rPr>
                <w:rFonts w:ascii="Arial" w:hAnsi="Arial" w:cs="Arial"/>
                <w:color w:val="264A60"/>
                <w:sz w:val="18"/>
                <w:szCs w:val="18"/>
              </w:rPr>
              <w:t>Income_composition_decrease</w:t>
            </w:r>
            <w:proofErr w:type="spellEnd"/>
          </w:p>
        </w:tc>
        <w:tc>
          <w:tcPr>
            <w:tcW w:w="1494" w:type="dxa"/>
            <w:tcBorders>
              <w:top w:val="nil"/>
              <w:left w:val="single" w:sz="8" w:space="0" w:color="E0E0E0"/>
              <w:bottom w:val="single" w:sz="8" w:space="0" w:color="152935"/>
              <w:right w:val="single" w:sz="8" w:space="0" w:color="E0E0E0"/>
            </w:tcBorders>
            <w:shd w:val="clear" w:color="auto" w:fill="FFFFFF"/>
            <w:vAlign w:val="bottom"/>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04BF8">
              <w:rPr>
                <w:rFonts w:ascii="Arial" w:hAnsi="Arial" w:cs="Arial"/>
                <w:color w:val="264A60"/>
                <w:sz w:val="18"/>
                <w:szCs w:val="18"/>
              </w:rPr>
              <w:t>Increase_in_schooling</w:t>
            </w:r>
            <w:proofErr w:type="spellEnd"/>
          </w:p>
        </w:tc>
        <w:tc>
          <w:tcPr>
            <w:tcW w:w="1494" w:type="dxa"/>
            <w:tcBorders>
              <w:top w:val="nil"/>
              <w:left w:val="single" w:sz="8" w:space="0" w:color="E0E0E0"/>
              <w:bottom w:val="single" w:sz="8" w:space="0" w:color="152935"/>
              <w:right w:val="nil"/>
            </w:tcBorders>
            <w:shd w:val="clear" w:color="auto" w:fill="FFFFFF"/>
            <w:vAlign w:val="bottom"/>
          </w:tcPr>
          <w:p w:rsidR="00D04BF8" w:rsidRPr="00D04BF8" w:rsidRDefault="00D04BF8" w:rsidP="00D04BF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04BF8">
              <w:rPr>
                <w:rFonts w:ascii="Arial" w:hAnsi="Arial" w:cs="Arial"/>
                <w:color w:val="264A60"/>
                <w:sz w:val="18"/>
                <w:szCs w:val="18"/>
              </w:rPr>
              <w:t>Population_Increase</w:t>
            </w:r>
            <w:proofErr w:type="spellEnd"/>
          </w:p>
        </w:tc>
      </w:tr>
      <w:tr w:rsidR="00D04BF8" w:rsidRPr="00D04BF8">
        <w:tblPrEx>
          <w:tblCellMar>
            <w:top w:w="0" w:type="dxa"/>
            <w:bottom w:w="0" w:type="dxa"/>
          </w:tblCellMar>
        </w:tblPrEx>
        <w:trPr>
          <w:cantSplit/>
        </w:trPr>
        <w:tc>
          <w:tcPr>
            <w:tcW w:w="2491" w:type="dxa"/>
            <w:tcBorders>
              <w:top w:val="single" w:sz="8" w:space="0" w:color="152935"/>
              <w:left w:val="nil"/>
              <w:bottom w:val="single" w:sz="8" w:space="0" w:color="AEAEAE"/>
              <w:right w:val="nil"/>
            </w:tcBorders>
            <w:shd w:val="clear" w:color="auto" w:fill="E0E0E0"/>
          </w:tcPr>
          <w:p w:rsidR="00D04BF8" w:rsidRPr="00D04BF8" w:rsidRDefault="00D04BF8" w:rsidP="00D04BF8">
            <w:pPr>
              <w:autoSpaceDE w:val="0"/>
              <w:autoSpaceDN w:val="0"/>
              <w:adjustRightInd w:val="0"/>
              <w:spacing w:after="0" w:line="320" w:lineRule="atLeast"/>
              <w:ind w:left="60" w:right="60"/>
              <w:rPr>
                <w:rFonts w:ascii="Arial" w:hAnsi="Arial" w:cs="Arial"/>
                <w:color w:val="264A60"/>
                <w:sz w:val="18"/>
                <w:szCs w:val="18"/>
              </w:rPr>
            </w:pPr>
            <w:proofErr w:type="spellStart"/>
            <w:r w:rsidRPr="00D04BF8">
              <w:rPr>
                <w:rFonts w:ascii="Arial" w:hAnsi="Arial" w:cs="Arial"/>
                <w:color w:val="264A60"/>
                <w:sz w:val="18"/>
                <w:szCs w:val="18"/>
              </w:rPr>
              <w:t>Decrease_in_mortality</w:t>
            </w:r>
            <w:proofErr w:type="spellEnd"/>
          </w:p>
        </w:tc>
        <w:tc>
          <w:tcPr>
            <w:tcW w:w="1494" w:type="dxa"/>
            <w:tcBorders>
              <w:top w:val="single" w:sz="8" w:space="0" w:color="152935"/>
              <w:left w:val="nil"/>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1.000</w:t>
            </w:r>
          </w:p>
        </w:tc>
        <w:tc>
          <w:tcPr>
            <w:tcW w:w="1494" w:type="dxa"/>
            <w:tcBorders>
              <w:top w:val="single" w:sz="8" w:space="0" w:color="152935"/>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-.286</w:t>
            </w:r>
          </w:p>
        </w:tc>
        <w:tc>
          <w:tcPr>
            <w:tcW w:w="1494" w:type="dxa"/>
            <w:tcBorders>
              <w:top w:val="single" w:sz="8" w:space="0" w:color="152935"/>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-.453</w:t>
            </w:r>
          </w:p>
        </w:tc>
        <w:tc>
          <w:tcPr>
            <w:tcW w:w="1494" w:type="dxa"/>
            <w:tcBorders>
              <w:top w:val="single" w:sz="8" w:space="0" w:color="152935"/>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-.446</w:t>
            </w:r>
          </w:p>
        </w:tc>
        <w:tc>
          <w:tcPr>
            <w:tcW w:w="1494" w:type="dxa"/>
            <w:tcBorders>
              <w:top w:val="single" w:sz="8" w:space="0" w:color="152935"/>
              <w:left w:val="single" w:sz="8" w:space="0" w:color="E0E0E0"/>
              <w:bottom w:val="single" w:sz="8" w:space="0" w:color="AEAEAE"/>
              <w:right w:val="nil"/>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-.013</w:t>
            </w:r>
          </w:p>
        </w:tc>
      </w:tr>
      <w:tr w:rsidR="00D04BF8" w:rsidRPr="00D04BF8">
        <w:tblPrEx>
          <w:tblCellMar>
            <w:top w:w="0" w:type="dxa"/>
            <w:bottom w:w="0" w:type="dxa"/>
          </w:tblCellMar>
        </w:tblPrEx>
        <w:trPr>
          <w:cantSplit/>
        </w:trPr>
        <w:tc>
          <w:tcPr>
            <w:tcW w:w="2491" w:type="dxa"/>
            <w:tcBorders>
              <w:top w:val="single" w:sz="8" w:space="0" w:color="AEAEAE"/>
              <w:left w:val="nil"/>
              <w:bottom w:val="single" w:sz="8" w:space="0" w:color="AEAEAE"/>
              <w:right w:val="nil"/>
            </w:tcBorders>
            <w:shd w:val="clear" w:color="auto" w:fill="E0E0E0"/>
          </w:tcPr>
          <w:p w:rsidR="00D04BF8" w:rsidRPr="00D04BF8" w:rsidRDefault="00D04BF8" w:rsidP="00D04BF8">
            <w:pPr>
              <w:autoSpaceDE w:val="0"/>
              <w:autoSpaceDN w:val="0"/>
              <w:adjustRightInd w:val="0"/>
              <w:spacing w:after="0" w:line="320" w:lineRule="atLeast"/>
              <w:ind w:left="60" w:right="60"/>
              <w:rPr>
                <w:rFonts w:ascii="Arial" w:hAnsi="Arial" w:cs="Arial"/>
                <w:color w:val="264A60"/>
                <w:sz w:val="18"/>
                <w:szCs w:val="18"/>
              </w:rPr>
            </w:pPr>
            <w:proofErr w:type="spellStart"/>
            <w:r w:rsidRPr="00D04BF8">
              <w:rPr>
                <w:rFonts w:ascii="Arial" w:hAnsi="Arial" w:cs="Arial"/>
                <w:color w:val="264A60"/>
                <w:sz w:val="18"/>
                <w:szCs w:val="18"/>
              </w:rPr>
              <w:t>GDP_Increase</w:t>
            </w:r>
            <w:proofErr w:type="spellEnd"/>
          </w:p>
        </w:tc>
        <w:tc>
          <w:tcPr>
            <w:tcW w:w="1494" w:type="dxa"/>
            <w:tcBorders>
              <w:top w:val="single" w:sz="8" w:space="0" w:color="AEAEAE"/>
              <w:left w:val="nil"/>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-.286</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1.000</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.474</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.485</w:t>
            </w:r>
          </w:p>
        </w:tc>
        <w:tc>
          <w:tcPr>
            <w:tcW w:w="1494" w:type="dxa"/>
            <w:tcBorders>
              <w:top w:val="single" w:sz="8" w:space="0" w:color="AEAEAE"/>
              <w:left w:val="single" w:sz="8" w:space="0" w:color="E0E0E0"/>
              <w:bottom w:val="single" w:sz="8" w:space="0" w:color="AEAEAE"/>
              <w:right w:val="nil"/>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-.028</w:t>
            </w:r>
          </w:p>
        </w:tc>
      </w:tr>
      <w:tr w:rsidR="00D04BF8" w:rsidRPr="00D04BF8">
        <w:tblPrEx>
          <w:tblCellMar>
            <w:top w:w="0" w:type="dxa"/>
            <w:bottom w:w="0" w:type="dxa"/>
          </w:tblCellMar>
        </w:tblPrEx>
        <w:trPr>
          <w:cantSplit/>
        </w:trPr>
        <w:tc>
          <w:tcPr>
            <w:tcW w:w="2491" w:type="dxa"/>
            <w:tcBorders>
              <w:top w:val="single" w:sz="8" w:space="0" w:color="AEAEAE"/>
              <w:left w:val="nil"/>
              <w:bottom w:val="single" w:sz="8" w:space="0" w:color="AEAEAE"/>
              <w:right w:val="nil"/>
            </w:tcBorders>
            <w:shd w:val="clear" w:color="auto" w:fill="E0E0E0"/>
          </w:tcPr>
          <w:p w:rsidR="00D04BF8" w:rsidRPr="00D04BF8" w:rsidRDefault="00D04BF8" w:rsidP="00D04BF8">
            <w:pPr>
              <w:autoSpaceDE w:val="0"/>
              <w:autoSpaceDN w:val="0"/>
              <w:adjustRightInd w:val="0"/>
              <w:spacing w:after="0" w:line="320" w:lineRule="atLeast"/>
              <w:ind w:left="60" w:right="60"/>
              <w:rPr>
                <w:rFonts w:ascii="Arial" w:hAnsi="Arial" w:cs="Arial"/>
                <w:color w:val="264A60"/>
                <w:sz w:val="18"/>
                <w:szCs w:val="18"/>
              </w:rPr>
            </w:pPr>
            <w:proofErr w:type="spellStart"/>
            <w:r w:rsidRPr="00D04BF8">
              <w:rPr>
                <w:rFonts w:ascii="Arial" w:hAnsi="Arial" w:cs="Arial"/>
                <w:color w:val="264A60"/>
                <w:sz w:val="18"/>
                <w:szCs w:val="18"/>
              </w:rPr>
              <w:t>Income_composition_decrease</w:t>
            </w:r>
            <w:proofErr w:type="spellEnd"/>
          </w:p>
        </w:tc>
        <w:tc>
          <w:tcPr>
            <w:tcW w:w="1494" w:type="dxa"/>
            <w:tcBorders>
              <w:top w:val="single" w:sz="8" w:space="0" w:color="AEAEAE"/>
              <w:left w:val="nil"/>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-.453</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.474</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1.000</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.831</w:t>
            </w:r>
          </w:p>
        </w:tc>
        <w:tc>
          <w:tcPr>
            <w:tcW w:w="1494" w:type="dxa"/>
            <w:tcBorders>
              <w:top w:val="single" w:sz="8" w:space="0" w:color="AEAEAE"/>
              <w:left w:val="single" w:sz="8" w:space="0" w:color="E0E0E0"/>
              <w:bottom w:val="single" w:sz="8" w:space="0" w:color="AEAEAE"/>
              <w:right w:val="nil"/>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-.010</w:t>
            </w:r>
          </w:p>
        </w:tc>
      </w:tr>
      <w:tr w:rsidR="00D04BF8" w:rsidRPr="00D04BF8">
        <w:tblPrEx>
          <w:tblCellMar>
            <w:top w:w="0" w:type="dxa"/>
            <w:bottom w:w="0" w:type="dxa"/>
          </w:tblCellMar>
        </w:tblPrEx>
        <w:trPr>
          <w:cantSplit/>
        </w:trPr>
        <w:tc>
          <w:tcPr>
            <w:tcW w:w="2491" w:type="dxa"/>
            <w:tcBorders>
              <w:top w:val="single" w:sz="8" w:space="0" w:color="AEAEAE"/>
              <w:left w:val="nil"/>
              <w:bottom w:val="single" w:sz="8" w:space="0" w:color="AEAEAE"/>
              <w:right w:val="nil"/>
            </w:tcBorders>
            <w:shd w:val="clear" w:color="auto" w:fill="E0E0E0"/>
          </w:tcPr>
          <w:p w:rsidR="00D04BF8" w:rsidRPr="00D04BF8" w:rsidRDefault="00D04BF8" w:rsidP="00D04BF8">
            <w:pPr>
              <w:autoSpaceDE w:val="0"/>
              <w:autoSpaceDN w:val="0"/>
              <w:adjustRightInd w:val="0"/>
              <w:spacing w:after="0" w:line="320" w:lineRule="atLeast"/>
              <w:ind w:left="60" w:right="60"/>
              <w:rPr>
                <w:rFonts w:ascii="Arial" w:hAnsi="Arial" w:cs="Arial"/>
                <w:color w:val="264A60"/>
                <w:sz w:val="18"/>
                <w:szCs w:val="18"/>
              </w:rPr>
            </w:pPr>
            <w:proofErr w:type="spellStart"/>
            <w:r w:rsidRPr="00D04BF8">
              <w:rPr>
                <w:rFonts w:ascii="Arial" w:hAnsi="Arial" w:cs="Arial"/>
                <w:color w:val="264A60"/>
                <w:sz w:val="18"/>
                <w:szCs w:val="18"/>
              </w:rPr>
              <w:t>Increase_in_schooling</w:t>
            </w:r>
            <w:proofErr w:type="spellEnd"/>
          </w:p>
        </w:tc>
        <w:tc>
          <w:tcPr>
            <w:tcW w:w="1494" w:type="dxa"/>
            <w:tcBorders>
              <w:top w:val="single" w:sz="8" w:space="0" w:color="AEAEAE"/>
              <w:left w:val="nil"/>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-.446</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.485</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.831</w:t>
            </w:r>
          </w:p>
        </w:tc>
        <w:tc>
          <w:tcPr>
            <w:tcW w:w="1494" w:type="dxa"/>
            <w:tcBorders>
              <w:top w:val="single" w:sz="8" w:space="0" w:color="AEAEAE"/>
              <w:left w:val="single" w:sz="8" w:space="0" w:color="E0E0E0"/>
              <w:bottom w:val="single" w:sz="8" w:space="0" w:color="AEAEAE"/>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1.000</w:t>
            </w:r>
          </w:p>
        </w:tc>
        <w:tc>
          <w:tcPr>
            <w:tcW w:w="1494" w:type="dxa"/>
            <w:tcBorders>
              <w:top w:val="single" w:sz="8" w:space="0" w:color="AEAEAE"/>
              <w:left w:val="single" w:sz="8" w:space="0" w:color="E0E0E0"/>
              <w:bottom w:val="single" w:sz="8" w:space="0" w:color="AEAEAE"/>
              <w:right w:val="nil"/>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-.034</w:t>
            </w:r>
          </w:p>
        </w:tc>
      </w:tr>
      <w:tr w:rsidR="00D04BF8" w:rsidRPr="00D04BF8">
        <w:tblPrEx>
          <w:tblCellMar>
            <w:top w:w="0" w:type="dxa"/>
            <w:bottom w:w="0" w:type="dxa"/>
          </w:tblCellMar>
        </w:tblPrEx>
        <w:trPr>
          <w:cantSplit/>
        </w:trPr>
        <w:tc>
          <w:tcPr>
            <w:tcW w:w="2491" w:type="dxa"/>
            <w:tcBorders>
              <w:top w:val="single" w:sz="8" w:space="0" w:color="AEAEAE"/>
              <w:left w:val="nil"/>
              <w:bottom w:val="single" w:sz="8" w:space="0" w:color="152935"/>
              <w:right w:val="nil"/>
            </w:tcBorders>
            <w:shd w:val="clear" w:color="auto" w:fill="E0E0E0"/>
          </w:tcPr>
          <w:p w:rsidR="00D04BF8" w:rsidRPr="00D04BF8" w:rsidRDefault="00D04BF8" w:rsidP="00D04BF8">
            <w:pPr>
              <w:autoSpaceDE w:val="0"/>
              <w:autoSpaceDN w:val="0"/>
              <w:adjustRightInd w:val="0"/>
              <w:spacing w:after="0" w:line="320" w:lineRule="atLeast"/>
              <w:ind w:left="60" w:right="60"/>
              <w:rPr>
                <w:rFonts w:ascii="Arial" w:hAnsi="Arial" w:cs="Arial"/>
                <w:color w:val="264A60"/>
                <w:sz w:val="18"/>
                <w:szCs w:val="18"/>
              </w:rPr>
            </w:pPr>
            <w:proofErr w:type="spellStart"/>
            <w:r w:rsidRPr="00D04BF8">
              <w:rPr>
                <w:rFonts w:ascii="Arial" w:hAnsi="Arial" w:cs="Arial"/>
                <w:color w:val="264A60"/>
                <w:sz w:val="18"/>
                <w:szCs w:val="18"/>
              </w:rPr>
              <w:t>Population_Increase</w:t>
            </w:r>
            <w:proofErr w:type="spellEnd"/>
          </w:p>
        </w:tc>
        <w:tc>
          <w:tcPr>
            <w:tcW w:w="1494" w:type="dxa"/>
            <w:tcBorders>
              <w:top w:val="single" w:sz="8" w:space="0" w:color="AEAEAE"/>
              <w:left w:val="nil"/>
              <w:bottom w:val="single" w:sz="8" w:space="0" w:color="152935"/>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-.013</w:t>
            </w:r>
          </w:p>
        </w:tc>
        <w:tc>
          <w:tcPr>
            <w:tcW w:w="1494" w:type="dxa"/>
            <w:tcBorders>
              <w:top w:val="single" w:sz="8" w:space="0" w:color="AEAEAE"/>
              <w:left w:val="single" w:sz="8" w:space="0" w:color="E0E0E0"/>
              <w:bottom w:val="single" w:sz="8" w:space="0" w:color="152935"/>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-.028</w:t>
            </w:r>
          </w:p>
        </w:tc>
        <w:tc>
          <w:tcPr>
            <w:tcW w:w="1494" w:type="dxa"/>
            <w:tcBorders>
              <w:top w:val="single" w:sz="8" w:space="0" w:color="AEAEAE"/>
              <w:left w:val="single" w:sz="8" w:space="0" w:color="E0E0E0"/>
              <w:bottom w:val="single" w:sz="8" w:space="0" w:color="152935"/>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-.010</w:t>
            </w:r>
          </w:p>
        </w:tc>
        <w:tc>
          <w:tcPr>
            <w:tcW w:w="1494" w:type="dxa"/>
            <w:tcBorders>
              <w:top w:val="single" w:sz="8" w:space="0" w:color="AEAEAE"/>
              <w:left w:val="single" w:sz="8" w:space="0" w:color="E0E0E0"/>
              <w:bottom w:val="single" w:sz="8" w:space="0" w:color="152935"/>
              <w:right w:val="single" w:sz="8" w:space="0" w:color="E0E0E0"/>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-.034</w:t>
            </w:r>
          </w:p>
        </w:tc>
        <w:tc>
          <w:tcPr>
            <w:tcW w:w="1494" w:type="dxa"/>
            <w:tcBorders>
              <w:top w:val="single" w:sz="8" w:space="0" w:color="AEAEAE"/>
              <w:left w:val="single" w:sz="8" w:space="0" w:color="E0E0E0"/>
              <w:bottom w:val="single" w:sz="8" w:space="0" w:color="152935"/>
              <w:right w:val="nil"/>
            </w:tcBorders>
            <w:shd w:val="clear" w:color="auto" w:fill="F9F9FB"/>
          </w:tcPr>
          <w:p w:rsidR="00D04BF8" w:rsidRPr="00D04BF8" w:rsidRDefault="00D04BF8" w:rsidP="00D04BF8">
            <w:pPr>
              <w:autoSpaceDE w:val="0"/>
              <w:autoSpaceDN w:val="0"/>
              <w:adjustRightInd w:val="0"/>
              <w:spacing w:after="0" w:line="320" w:lineRule="atLeast"/>
              <w:ind w:left="60" w:right="60"/>
              <w:jc w:val="right"/>
              <w:rPr>
                <w:rFonts w:ascii="Arial" w:hAnsi="Arial" w:cs="Arial"/>
                <w:color w:val="010205"/>
                <w:sz w:val="18"/>
                <w:szCs w:val="18"/>
              </w:rPr>
            </w:pPr>
            <w:r w:rsidRPr="00D04BF8">
              <w:rPr>
                <w:rFonts w:ascii="Arial" w:hAnsi="Arial" w:cs="Arial"/>
                <w:color w:val="010205"/>
                <w:sz w:val="18"/>
                <w:szCs w:val="18"/>
              </w:rPr>
              <w:t>1.000</w:t>
            </w:r>
          </w:p>
        </w:tc>
      </w:tr>
    </w:tbl>
    <w:p w:rsidR="00D04BF8" w:rsidRPr="00D04BF8" w:rsidRDefault="00D04BF8" w:rsidP="00D04BF8">
      <w:pPr>
        <w:autoSpaceDE w:val="0"/>
        <w:autoSpaceDN w:val="0"/>
        <w:adjustRightInd w:val="0"/>
        <w:spacing w:after="0" w:line="400" w:lineRule="atLeast"/>
        <w:rPr>
          <w:rFonts w:ascii="Times New Roman" w:hAnsi="Times New Roman" w:cs="Times New Roman"/>
          <w:sz w:val="24"/>
          <w:szCs w:val="24"/>
        </w:rPr>
      </w:pPr>
    </w:p>
    <w:p w:rsidR="00154408" w:rsidRPr="00154408" w:rsidRDefault="00154408" w:rsidP="00154408">
      <w:r w:rsidRPr="00154408">
        <w:pict>
          <v:rect id="_x0000_i1040" style="width:0;height:1.5pt" o:hralign="center" o:hrstd="t" o:hr="t" fillcolor="#a0a0a0" stroked="f"/>
        </w:pict>
      </w:r>
    </w:p>
    <w:p w:rsidR="00154408" w:rsidRPr="00154408" w:rsidRDefault="00154408" w:rsidP="00154408">
      <w:r w:rsidRPr="00154408">
        <w:rPr>
          <w:b/>
          <w:bCs/>
        </w:rPr>
        <w:t>Correlation Table Insights for Public Health Policy</w:t>
      </w:r>
    </w:p>
    <w:p w:rsidR="00154408" w:rsidRPr="00154408" w:rsidRDefault="00154408" w:rsidP="00154408">
      <w:r w:rsidRPr="00154408">
        <w:t xml:space="preserve">The correlation analysis between </w:t>
      </w:r>
      <w:r w:rsidRPr="00154408">
        <w:rPr>
          <w:b/>
          <w:bCs/>
        </w:rPr>
        <w:t>Adult Mortality</w:t>
      </w:r>
      <w:r w:rsidRPr="00154408">
        <w:t xml:space="preserve">, </w:t>
      </w:r>
      <w:r w:rsidRPr="00154408">
        <w:rPr>
          <w:b/>
          <w:bCs/>
        </w:rPr>
        <w:t>GDP</w:t>
      </w:r>
      <w:r w:rsidRPr="00154408">
        <w:t xml:space="preserve">, and </w:t>
      </w:r>
      <w:r w:rsidRPr="00154408">
        <w:rPr>
          <w:b/>
          <w:bCs/>
        </w:rPr>
        <w:t>Life Expectancy</w:t>
      </w:r>
      <w:r w:rsidRPr="00154408">
        <w:t xml:space="preserve"> provides critical insights that could inform public health policies. The relationships between these variables suggest important intervention points for improving health outcomes. Below is a discussion of the key correlations and their policy implications.</w:t>
      </w:r>
    </w:p>
    <w:p w:rsidR="00154408" w:rsidRPr="00154408" w:rsidRDefault="00154408" w:rsidP="00154408">
      <w:pPr>
        <w:rPr>
          <w:b/>
          <w:bCs/>
        </w:rPr>
      </w:pPr>
      <w:r w:rsidRPr="00154408">
        <w:rPr>
          <w:b/>
          <w:bCs/>
        </w:rPr>
        <w:t>1. Adult Mortality and Life Expectancy (Correlation: -0.453)</w:t>
      </w:r>
    </w:p>
    <w:p w:rsidR="00154408" w:rsidRPr="00154408" w:rsidRDefault="00154408" w:rsidP="00154408">
      <w:pPr>
        <w:numPr>
          <w:ilvl w:val="0"/>
          <w:numId w:val="1"/>
        </w:numPr>
      </w:pPr>
      <w:r w:rsidRPr="00154408">
        <w:rPr>
          <w:b/>
          <w:bCs/>
        </w:rPr>
        <w:t>Moderate Negative Correlation</w:t>
      </w:r>
      <w:r w:rsidRPr="00154408">
        <w:t>: The negative correlation of -0.453 indicates that as adult mortality decreases, life expectancy tends to increase, though the relationship is not as strong as expected. This result suggests that lowering adult mortality has a significant, but not singular, influence on extending life expectancy.</w:t>
      </w:r>
    </w:p>
    <w:p w:rsidR="00154408" w:rsidRPr="00154408" w:rsidRDefault="00154408" w:rsidP="00154408">
      <w:r w:rsidRPr="00154408">
        <w:rPr>
          <w:b/>
          <w:bCs/>
        </w:rPr>
        <w:t>Policy Implications</w:t>
      </w:r>
      <w:r w:rsidRPr="00154408">
        <w:t>:</w:t>
      </w:r>
    </w:p>
    <w:p w:rsidR="00154408" w:rsidRPr="00154408" w:rsidRDefault="00154408" w:rsidP="00154408">
      <w:pPr>
        <w:numPr>
          <w:ilvl w:val="0"/>
          <w:numId w:val="2"/>
        </w:numPr>
      </w:pPr>
      <w:r w:rsidRPr="00154408">
        <w:rPr>
          <w:b/>
          <w:bCs/>
        </w:rPr>
        <w:t>Strengthening Healthcare Systems</w:t>
      </w:r>
      <w:r w:rsidRPr="00154408">
        <w:t>: Reducing adult mortality could be a priority for public health policies. This could be achieved by increasing access to high-quality healthcare services, particularly in preventive care, chronic disease management, and emergency healthcare.</w:t>
      </w:r>
    </w:p>
    <w:p w:rsidR="00154408" w:rsidRPr="00154408" w:rsidRDefault="00154408" w:rsidP="00154408">
      <w:pPr>
        <w:numPr>
          <w:ilvl w:val="0"/>
          <w:numId w:val="2"/>
        </w:numPr>
      </w:pPr>
      <w:r w:rsidRPr="00154408">
        <w:rPr>
          <w:b/>
          <w:bCs/>
        </w:rPr>
        <w:t>Targeting Vulnerable Populations</w:t>
      </w:r>
      <w:r w:rsidRPr="00154408">
        <w:t>: Policies should focus on vulnerable populations at higher risk of adult mortality (e.g., low-income groups or regions with limited healthcare access). Reducing mortality in these groups can lead to improved national life expectancy.</w:t>
      </w:r>
    </w:p>
    <w:p w:rsidR="00154408" w:rsidRPr="00154408" w:rsidRDefault="00154408" w:rsidP="00154408">
      <w:pPr>
        <w:rPr>
          <w:b/>
          <w:bCs/>
        </w:rPr>
      </w:pPr>
      <w:r w:rsidRPr="00154408">
        <w:rPr>
          <w:b/>
          <w:bCs/>
        </w:rPr>
        <w:t>2. GDP and Life Expectancy (Correlation: 0.065)</w:t>
      </w:r>
    </w:p>
    <w:p w:rsidR="00154408" w:rsidRPr="00154408" w:rsidRDefault="00154408" w:rsidP="00154408">
      <w:pPr>
        <w:numPr>
          <w:ilvl w:val="0"/>
          <w:numId w:val="3"/>
        </w:numPr>
      </w:pPr>
      <w:r w:rsidRPr="00154408">
        <w:rPr>
          <w:b/>
          <w:bCs/>
        </w:rPr>
        <w:t>Weak Positive Correlation</w:t>
      </w:r>
      <w:r w:rsidRPr="00154408">
        <w:t>: The weak correlation (0.065) between GDP and life expectancy suggests that while economic growth may lead to longer life spans, the effect is minimal. This highlights that economic factors alone are not the primary determinants of life expectancy.</w:t>
      </w:r>
    </w:p>
    <w:p w:rsidR="00154408" w:rsidRPr="00154408" w:rsidRDefault="00154408" w:rsidP="00154408">
      <w:r w:rsidRPr="00154408">
        <w:rPr>
          <w:b/>
          <w:bCs/>
        </w:rPr>
        <w:lastRenderedPageBreak/>
        <w:t>Policy Implications</w:t>
      </w:r>
      <w:r w:rsidRPr="00154408">
        <w:t>:</w:t>
      </w:r>
    </w:p>
    <w:p w:rsidR="00154408" w:rsidRPr="00154408" w:rsidRDefault="00154408" w:rsidP="00154408">
      <w:pPr>
        <w:numPr>
          <w:ilvl w:val="0"/>
          <w:numId w:val="4"/>
        </w:numPr>
      </w:pPr>
      <w:r w:rsidRPr="00154408">
        <w:rPr>
          <w:b/>
          <w:bCs/>
        </w:rPr>
        <w:t>Investing in Healthcare and Education</w:t>
      </w:r>
      <w:r w:rsidRPr="00154408">
        <w:t>: While economic growth is important, it should be accompanied by strategic reinvestments in healthcare, education, and social services to translate GDP gains into better health outcomes.</w:t>
      </w:r>
    </w:p>
    <w:p w:rsidR="00154408" w:rsidRPr="00154408" w:rsidRDefault="00154408" w:rsidP="00154408">
      <w:pPr>
        <w:numPr>
          <w:ilvl w:val="0"/>
          <w:numId w:val="4"/>
        </w:numPr>
      </w:pPr>
      <w:r w:rsidRPr="00154408">
        <w:rPr>
          <w:b/>
          <w:bCs/>
        </w:rPr>
        <w:t>Addressing Inequalities</w:t>
      </w:r>
      <w:r w:rsidRPr="00154408">
        <w:t>: The weak correlation suggests that even in wealthier countries, inequalities in access to healthcare and other services may limit the impact of GDP growth on life expectancy. Equitable policies that address these disparities could lead to more tangible improvements in health outcomes.</w:t>
      </w:r>
    </w:p>
    <w:p w:rsidR="00154408" w:rsidRPr="00154408" w:rsidRDefault="00154408" w:rsidP="00154408">
      <w:pPr>
        <w:rPr>
          <w:b/>
          <w:bCs/>
        </w:rPr>
      </w:pPr>
      <w:r w:rsidRPr="00154408">
        <w:rPr>
          <w:b/>
          <w:bCs/>
        </w:rPr>
        <w:t>3. Adult Mortality and GDP (Correlation: -0.286)</w:t>
      </w:r>
    </w:p>
    <w:p w:rsidR="00154408" w:rsidRPr="00154408" w:rsidRDefault="00154408" w:rsidP="00154408">
      <w:pPr>
        <w:numPr>
          <w:ilvl w:val="0"/>
          <w:numId w:val="5"/>
        </w:numPr>
      </w:pPr>
      <w:r w:rsidRPr="00154408">
        <w:rPr>
          <w:b/>
          <w:bCs/>
        </w:rPr>
        <w:t>Weak Negative Correlation</w:t>
      </w:r>
      <w:r w:rsidRPr="00154408">
        <w:t>: The correlation of -0.286 between adult mortality and GDP suggests that higher GDP may be associated with reduced adult mortality, though the effect is modest.</w:t>
      </w:r>
    </w:p>
    <w:p w:rsidR="00154408" w:rsidRPr="00154408" w:rsidRDefault="00154408" w:rsidP="00154408">
      <w:r w:rsidRPr="00154408">
        <w:rPr>
          <w:b/>
          <w:bCs/>
        </w:rPr>
        <w:t>Policy Implications</w:t>
      </w:r>
      <w:r w:rsidRPr="00154408">
        <w:t>:</w:t>
      </w:r>
    </w:p>
    <w:p w:rsidR="00154408" w:rsidRPr="00154408" w:rsidRDefault="00154408" w:rsidP="00154408">
      <w:pPr>
        <w:numPr>
          <w:ilvl w:val="0"/>
          <w:numId w:val="6"/>
        </w:numPr>
      </w:pPr>
      <w:r w:rsidRPr="00154408">
        <w:rPr>
          <w:b/>
          <w:bCs/>
        </w:rPr>
        <w:t>Economic Development with a Health Focus</w:t>
      </w:r>
      <w:r w:rsidRPr="00154408">
        <w:t>: While economic growth has some effect on reducing adult mortality, the impact is limited unless paired with focused health policies. Investments in health promotion, disease prevention, and universal healthcare are essential to maximizing the benefits of economic growth on mortality rates.</w:t>
      </w:r>
    </w:p>
    <w:p w:rsidR="00154408" w:rsidRPr="00154408" w:rsidRDefault="00154408" w:rsidP="00154408">
      <w:pPr>
        <w:numPr>
          <w:ilvl w:val="0"/>
          <w:numId w:val="6"/>
        </w:numPr>
      </w:pPr>
      <w:r w:rsidRPr="00154408">
        <w:rPr>
          <w:b/>
          <w:bCs/>
        </w:rPr>
        <w:t>Sustainable Economic Policies</w:t>
      </w:r>
      <w:r w:rsidRPr="00154408">
        <w:t>: As countries experience economic growth, sustainable policies that create healthy environments, reduce health risks, and improve living conditions are essential for lowering adult mortality over the long term.</w:t>
      </w:r>
    </w:p>
    <w:p w:rsidR="00154408" w:rsidRPr="00154408" w:rsidRDefault="00154408" w:rsidP="00154408">
      <w:pPr>
        <w:rPr>
          <w:b/>
          <w:bCs/>
        </w:rPr>
      </w:pPr>
      <w:r w:rsidRPr="00154408">
        <w:rPr>
          <w:b/>
          <w:bCs/>
        </w:rPr>
        <w:t>4. Other Key Relationships:</w:t>
      </w:r>
    </w:p>
    <w:p w:rsidR="00154408" w:rsidRPr="00154408" w:rsidRDefault="00154408" w:rsidP="00154408">
      <w:pPr>
        <w:numPr>
          <w:ilvl w:val="0"/>
          <w:numId w:val="7"/>
        </w:numPr>
      </w:pPr>
      <w:r w:rsidRPr="00154408">
        <w:rPr>
          <w:b/>
          <w:bCs/>
        </w:rPr>
        <w:t>Income Composition Decrease and Life Expectancy (Correlation: -0.453)</w:t>
      </w:r>
      <w:r w:rsidRPr="00154408">
        <w:t>: A moderate negative relationship suggests that a decrease in the income composition of resources is linked to lower life expectancy. This could reflect broader socio-economic issues, such as disparities in income distribution affecting access to healthcare and quality of life.</w:t>
      </w:r>
    </w:p>
    <w:p w:rsidR="00154408" w:rsidRPr="00154408" w:rsidRDefault="00154408" w:rsidP="00154408">
      <w:pPr>
        <w:numPr>
          <w:ilvl w:val="0"/>
          <w:numId w:val="7"/>
        </w:numPr>
      </w:pPr>
      <w:r w:rsidRPr="00154408">
        <w:rPr>
          <w:b/>
          <w:bCs/>
        </w:rPr>
        <w:t>Schooling and Life Expectancy (Correlation: 0.831)</w:t>
      </w:r>
      <w:r w:rsidRPr="00154408">
        <w:t>: The strong positive correlation between schooling and life expectancy indicates that higher levels of education are closely tied to longer life spans. This reinforces the need for public policies that prioritize education, as educated populations tend to make healthier lifestyle choices and better utilize healthcare services.</w:t>
      </w:r>
    </w:p>
    <w:p w:rsidR="00154408" w:rsidRPr="00154408" w:rsidRDefault="00154408" w:rsidP="00154408">
      <w:pPr>
        <w:rPr>
          <w:b/>
          <w:bCs/>
        </w:rPr>
      </w:pPr>
      <w:r w:rsidRPr="00154408">
        <w:rPr>
          <w:b/>
          <w:bCs/>
        </w:rPr>
        <w:t>Conclusion:</w:t>
      </w:r>
    </w:p>
    <w:p w:rsidR="00154408" w:rsidRPr="00154408" w:rsidRDefault="00154408" w:rsidP="00154408">
      <w:r w:rsidRPr="00154408">
        <w:t xml:space="preserve">The data indicates that while economic factors like GDP are correlated with health outcomes such as </w:t>
      </w:r>
      <w:r w:rsidRPr="00154408">
        <w:rPr>
          <w:b/>
          <w:bCs/>
        </w:rPr>
        <w:t>Life Expectancy</w:t>
      </w:r>
      <w:r w:rsidRPr="00154408">
        <w:t xml:space="preserve"> and </w:t>
      </w:r>
      <w:r w:rsidRPr="00154408">
        <w:rPr>
          <w:b/>
          <w:bCs/>
        </w:rPr>
        <w:t>Adult Mortality</w:t>
      </w:r>
      <w:r w:rsidRPr="00154408">
        <w:t xml:space="preserve">, these relationships are nuanced and require targeted public health interventions. The moderate correlation between </w:t>
      </w:r>
      <w:r w:rsidRPr="00154408">
        <w:rPr>
          <w:b/>
          <w:bCs/>
        </w:rPr>
        <w:t>Adult Mortality</w:t>
      </w:r>
      <w:r w:rsidRPr="00154408">
        <w:t xml:space="preserve"> and </w:t>
      </w:r>
      <w:r w:rsidRPr="00154408">
        <w:rPr>
          <w:b/>
          <w:bCs/>
        </w:rPr>
        <w:t>Life Expectancy</w:t>
      </w:r>
      <w:r w:rsidRPr="00154408">
        <w:t xml:space="preserve"> (-0.453) suggests that addressing mortality through improved healthcare access, preventive services, and targeted support for vulnerable populations is crucial. Furthermore, while economic growth has some impact on mortality, the weak correlation with life expectancy and adult mortality highlights the need for a more multifaceted approach that integrates healthcare improvements, education, and social equity into broader economic development plans.</w:t>
      </w:r>
    </w:p>
    <w:p w:rsidR="00154408" w:rsidRPr="00154408" w:rsidRDefault="00154408" w:rsidP="00154408">
      <w:r w:rsidRPr="00154408">
        <w:lastRenderedPageBreak/>
        <w:t>Public health strategies should thus focus on reducing mortality rates through comprehensive health policies while ensuring that economic growth is leveraged to reduce disparities and foster healthier environments for the population.</w:t>
      </w:r>
    </w:p>
    <w:p w:rsidR="00D04BF8" w:rsidRDefault="00D04BF8"/>
    <w:p w:rsidR="000857D3" w:rsidRDefault="000857D3"/>
    <w:p w:rsidR="000857D3" w:rsidRDefault="000857D3">
      <w:proofErr w:type="gramStart"/>
      <w:r>
        <w:t>iv)</w:t>
      </w:r>
      <w:proofErr w:type="gramEnd"/>
      <w:r>
        <w:t>.</w:t>
      </w:r>
      <w:r w:rsidR="00092061">
        <w:t xml:space="preserve"> </w:t>
      </w:r>
      <w:r w:rsidR="00092061" w:rsidRPr="00092061">
        <w:rPr>
          <w:b/>
        </w:rPr>
        <w:t>Linear regression 2</w:t>
      </w:r>
    </w:p>
    <w:p w:rsidR="000857D3" w:rsidRPr="000857D3" w:rsidRDefault="000857D3" w:rsidP="000857D3">
      <w:pPr>
        <w:autoSpaceDE w:val="0"/>
        <w:autoSpaceDN w:val="0"/>
        <w:adjustRightInd w:val="0"/>
        <w:spacing w:after="0" w:line="240" w:lineRule="auto"/>
        <w:rPr>
          <w:rFonts w:ascii="Times New Roman" w:hAnsi="Times New Roman" w:cs="Times New Roman"/>
          <w:sz w:val="24"/>
          <w:szCs w:val="24"/>
        </w:rPr>
      </w:pPr>
    </w:p>
    <w:tbl>
      <w:tblPr>
        <w:tblW w:w="9408" w:type="dxa"/>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0857D3" w:rsidRPr="000857D3">
        <w:tblPrEx>
          <w:tblCellMar>
            <w:top w:w="0" w:type="dxa"/>
            <w:bottom w:w="0" w:type="dxa"/>
          </w:tblCellMar>
        </w:tblPrEx>
        <w:trPr>
          <w:cantSplit/>
        </w:trPr>
        <w:tc>
          <w:tcPr>
            <w:tcW w:w="9403" w:type="dxa"/>
            <w:gridSpan w:val="7"/>
            <w:tcBorders>
              <w:top w:val="nil"/>
              <w:left w:val="nil"/>
              <w:bottom w:val="nil"/>
              <w:right w:val="nil"/>
            </w:tcBorders>
            <w:shd w:val="clear" w:color="auto" w:fill="FFFFFF"/>
            <w:vAlign w:val="center"/>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010205"/>
              </w:rPr>
            </w:pPr>
            <w:bookmarkStart w:id="0" w:name="_GoBack"/>
            <w:bookmarkEnd w:id="0"/>
            <w:proofErr w:type="spellStart"/>
            <w:r w:rsidRPr="000857D3">
              <w:rPr>
                <w:rFonts w:ascii="Arial" w:hAnsi="Arial" w:cs="Arial"/>
                <w:b/>
                <w:bCs/>
                <w:color w:val="010205"/>
              </w:rPr>
              <w:t>Coefficients</w:t>
            </w:r>
            <w:r w:rsidRPr="000857D3">
              <w:rPr>
                <w:rFonts w:ascii="Arial" w:hAnsi="Arial" w:cs="Arial"/>
                <w:b/>
                <w:bCs/>
                <w:color w:val="010205"/>
                <w:vertAlign w:val="superscript"/>
              </w:rPr>
              <w:t>a</w:t>
            </w:r>
            <w:proofErr w:type="spellEnd"/>
          </w:p>
        </w:tc>
      </w:tr>
      <w:tr w:rsidR="000857D3" w:rsidRPr="000857D3">
        <w:tblPrEx>
          <w:tblCellMar>
            <w:top w:w="0" w:type="dxa"/>
            <w:bottom w:w="0" w:type="dxa"/>
          </w:tblCellMar>
        </w:tblPrEx>
        <w:trPr>
          <w:cantSplit/>
        </w:trPr>
        <w:tc>
          <w:tcPr>
            <w:tcW w:w="3196" w:type="dxa"/>
            <w:gridSpan w:val="2"/>
            <w:vMerge w:val="restart"/>
            <w:tcBorders>
              <w:top w:val="nil"/>
              <w:left w:val="nil"/>
              <w:bottom w:val="nil"/>
              <w:right w:val="nil"/>
            </w:tcBorders>
            <w:shd w:val="clear" w:color="auto" w:fill="FFFFFF"/>
            <w:vAlign w:val="bottom"/>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Sig.</w:t>
            </w:r>
          </w:p>
        </w:tc>
      </w:tr>
      <w:tr w:rsidR="000857D3" w:rsidRPr="000857D3">
        <w:tblPrEx>
          <w:tblCellMar>
            <w:top w:w="0" w:type="dxa"/>
            <w:bottom w:w="0" w:type="dxa"/>
          </w:tblCellMar>
        </w:tblPrEx>
        <w:trPr>
          <w:cantSplit/>
        </w:trPr>
        <w:tc>
          <w:tcPr>
            <w:tcW w:w="3196" w:type="dxa"/>
            <w:gridSpan w:val="2"/>
            <w:vMerge/>
            <w:tcBorders>
              <w:top w:val="nil"/>
              <w:left w:val="nil"/>
              <w:bottom w:val="nil"/>
              <w:right w:val="nil"/>
            </w:tcBorders>
            <w:shd w:val="clear" w:color="auto" w:fill="FFFFFF"/>
            <w:vAlign w:val="bottom"/>
          </w:tcPr>
          <w:p w:rsidR="000857D3" w:rsidRPr="000857D3" w:rsidRDefault="000857D3" w:rsidP="000857D3">
            <w:pPr>
              <w:autoSpaceDE w:val="0"/>
              <w:autoSpaceDN w:val="0"/>
              <w:adjustRightInd w:val="0"/>
              <w:spacing w:after="0" w:line="240" w:lineRule="auto"/>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0857D3" w:rsidRPr="000857D3" w:rsidRDefault="000857D3" w:rsidP="000857D3">
            <w:pPr>
              <w:autoSpaceDE w:val="0"/>
              <w:autoSpaceDN w:val="0"/>
              <w:adjustRightInd w:val="0"/>
              <w:spacing w:after="0" w:line="320" w:lineRule="atLeast"/>
              <w:ind w:left="60" w:right="60"/>
              <w:jc w:val="center"/>
              <w:rPr>
                <w:rFonts w:ascii="Arial" w:hAnsi="Arial" w:cs="Arial"/>
                <w:color w:val="264A60"/>
                <w:sz w:val="18"/>
                <w:szCs w:val="18"/>
              </w:rPr>
            </w:pPr>
            <w:r w:rsidRPr="000857D3">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rsidR="000857D3" w:rsidRPr="000857D3" w:rsidRDefault="000857D3" w:rsidP="000857D3">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rsidR="000857D3" w:rsidRPr="000857D3" w:rsidRDefault="000857D3" w:rsidP="000857D3">
            <w:pPr>
              <w:autoSpaceDE w:val="0"/>
              <w:autoSpaceDN w:val="0"/>
              <w:adjustRightInd w:val="0"/>
              <w:spacing w:after="0" w:line="240" w:lineRule="auto"/>
              <w:rPr>
                <w:rFonts w:ascii="Arial" w:hAnsi="Arial" w:cs="Arial"/>
                <w:color w:val="264A60"/>
                <w:sz w:val="18"/>
                <w:szCs w:val="18"/>
              </w:rPr>
            </w:pPr>
          </w:p>
        </w:tc>
      </w:tr>
      <w:tr w:rsidR="000857D3" w:rsidRPr="000857D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1</w:t>
            </w:r>
          </w:p>
        </w:tc>
        <w:tc>
          <w:tcPr>
            <w:tcW w:w="2459" w:type="dxa"/>
            <w:tcBorders>
              <w:top w:val="single" w:sz="8" w:space="0" w:color="152935"/>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54.935</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.649</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0857D3" w:rsidRPr="000857D3" w:rsidRDefault="000857D3" w:rsidP="000857D3">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84.600</w:t>
            </w:r>
          </w:p>
        </w:tc>
        <w:tc>
          <w:tcPr>
            <w:tcW w:w="1029" w:type="dxa"/>
            <w:tcBorders>
              <w:top w:val="single" w:sz="8" w:space="0" w:color="152935"/>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Adult Mortality</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-.032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.001</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-.449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-34.792</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Hepatitis B</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.012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.004</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.035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2.701</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.007</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Measles</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-1.245E-5</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-.014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-1.203</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.229</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Polio</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.022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.005</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.056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4.209</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GDP</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2.163E-5</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.032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1.343</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.179</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percentage expenditure</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.061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2.632</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.009</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Schooling</w:t>
            </w:r>
          </w:p>
        </w:tc>
        <w:tc>
          <w:tcPr>
            <w:tcW w:w="1337" w:type="dxa"/>
            <w:tcBorders>
              <w:top w:val="single" w:sz="8" w:space="0" w:color="AEAEAE"/>
              <w:left w:val="nil"/>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.893</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.053</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.300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16.717</w:t>
            </w:r>
          </w:p>
        </w:tc>
        <w:tc>
          <w:tcPr>
            <w:tcW w:w="1029" w:type="dxa"/>
            <w:tcBorders>
              <w:top w:val="single" w:sz="8" w:space="0" w:color="AEAEAE"/>
              <w:left w:val="single" w:sz="8" w:space="0" w:color="E0E0E0"/>
              <w:bottom w:val="single" w:sz="8" w:space="0" w:color="AEAEAE"/>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r>
      <w:tr w:rsidR="000857D3" w:rsidRPr="000857D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152935"/>
              <w:right w:val="nil"/>
            </w:tcBorders>
            <w:shd w:val="clear" w:color="auto" w:fill="E0E0E0"/>
          </w:tcPr>
          <w:p w:rsidR="000857D3" w:rsidRPr="000857D3" w:rsidRDefault="000857D3" w:rsidP="000857D3">
            <w:pPr>
              <w:autoSpaceDE w:val="0"/>
              <w:autoSpaceDN w:val="0"/>
              <w:adjustRightInd w:val="0"/>
              <w:spacing w:after="0" w:line="320" w:lineRule="atLeast"/>
              <w:ind w:left="60" w:right="60"/>
              <w:rPr>
                <w:rFonts w:ascii="Arial" w:hAnsi="Arial" w:cs="Arial"/>
                <w:color w:val="264A60"/>
                <w:sz w:val="18"/>
                <w:szCs w:val="18"/>
              </w:rPr>
            </w:pPr>
            <w:r w:rsidRPr="000857D3">
              <w:rPr>
                <w:rFonts w:ascii="Arial" w:hAnsi="Arial" w:cs="Arial"/>
                <w:color w:val="264A60"/>
                <w:sz w:val="18"/>
                <w:szCs w:val="18"/>
              </w:rPr>
              <w:t>Income composition of resources</w:t>
            </w:r>
          </w:p>
        </w:tc>
        <w:tc>
          <w:tcPr>
            <w:tcW w:w="1337" w:type="dxa"/>
            <w:tcBorders>
              <w:top w:val="single" w:sz="8" w:space="0" w:color="AEAEAE"/>
              <w:left w:val="nil"/>
              <w:bottom w:val="single" w:sz="8" w:space="0" w:color="152935"/>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9.324</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.823</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.205</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11.336</w:t>
            </w:r>
          </w:p>
        </w:tc>
        <w:tc>
          <w:tcPr>
            <w:tcW w:w="1029" w:type="dxa"/>
            <w:tcBorders>
              <w:top w:val="single" w:sz="8" w:space="0" w:color="AEAEAE"/>
              <w:left w:val="single" w:sz="8" w:space="0" w:color="E0E0E0"/>
              <w:bottom w:val="single" w:sz="8" w:space="0" w:color="152935"/>
              <w:right w:val="nil"/>
            </w:tcBorders>
            <w:shd w:val="clear" w:color="auto" w:fill="F9F9FB"/>
          </w:tcPr>
          <w:p w:rsidR="000857D3" w:rsidRPr="000857D3" w:rsidRDefault="000857D3" w:rsidP="000857D3">
            <w:pPr>
              <w:autoSpaceDE w:val="0"/>
              <w:autoSpaceDN w:val="0"/>
              <w:adjustRightInd w:val="0"/>
              <w:spacing w:after="0" w:line="320" w:lineRule="atLeast"/>
              <w:ind w:left="60" w:right="60"/>
              <w:jc w:val="right"/>
              <w:rPr>
                <w:rFonts w:ascii="Arial" w:hAnsi="Arial" w:cs="Arial"/>
                <w:color w:val="010205"/>
                <w:sz w:val="18"/>
                <w:szCs w:val="18"/>
              </w:rPr>
            </w:pPr>
            <w:r w:rsidRPr="000857D3">
              <w:rPr>
                <w:rFonts w:ascii="Arial" w:hAnsi="Arial" w:cs="Arial"/>
                <w:color w:val="010205"/>
                <w:sz w:val="18"/>
                <w:szCs w:val="18"/>
              </w:rPr>
              <w:t>.000</w:t>
            </w:r>
          </w:p>
        </w:tc>
      </w:tr>
      <w:tr w:rsidR="000857D3" w:rsidRPr="000857D3">
        <w:tblPrEx>
          <w:tblCellMar>
            <w:top w:w="0" w:type="dxa"/>
            <w:bottom w:w="0" w:type="dxa"/>
          </w:tblCellMar>
        </w:tblPrEx>
        <w:trPr>
          <w:cantSplit/>
        </w:trPr>
        <w:tc>
          <w:tcPr>
            <w:tcW w:w="9403" w:type="dxa"/>
            <w:gridSpan w:val="7"/>
            <w:tcBorders>
              <w:top w:val="nil"/>
              <w:left w:val="nil"/>
              <w:bottom w:val="nil"/>
              <w:right w:val="nil"/>
            </w:tcBorders>
            <w:shd w:val="clear" w:color="auto" w:fill="FFFFFF"/>
          </w:tcPr>
          <w:p w:rsidR="000857D3" w:rsidRPr="000857D3" w:rsidRDefault="000857D3" w:rsidP="000857D3">
            <w:pPr>
              <w:autoSpaceDE w:val="0"/>
              <w:autoSpaceDN w:val="0"/>
              <w:adjustRightInd w:val="0"/>
              <w:spacing w:after="0" w:line="320" w:lineRule="atLeast"/>
              <w:ind w:left="60" w:right="60"/>
              <w:rPr>
                <w:rFonts w:ascii="Arial" w:hAnsi="Arial" w:cs="Arial"/>
                <w:color w:val="010205"/>
                <w:sz w:val="18"/>
                <w:szCs w:val="18"/>
              </w:rPr>
            </w:pPr>
            <w:r w:rsidRPr="000857D3">
              <w:rPr>
                <w:rFonts w:ascii="Arial" w:hAnsi="Arial" w:cs="Arial"/>
                <w:color w:val="010205"/>
                <w:sz w:val="18"/>
                <w:szCs w:val="18"/>
              </w:rPr>
              <w:t>a. Dependent Variable: Life expectancy</w:t>
            </w:r>
          </w:p>
        </w:tc>
      </w:tr>
    </w:tbl>
    <w:p w:rsidR="000857D3" w:rsidRPr="000857D3" w:rsidRDefault="000857D3" w:rsidP="000857D3">
      <w:pPr>
        <w:autoSpaceDE w:val="0"/>
        <w:autoSpaceDN w:val="0"/>
        <w:adjustRightInd w:val="0"/>
        <w:spacing w:after="0" w:line="400" w:lineRule="atLeast"/>
        <w:rPr>
          <w:rFonts w:ascii="Times New Roman" w:hAnsi="Times New Roman" w:cs="Times New Roman"/>
          <w:sz w:val="24"/>
          <w:szCs w:val="24"/>
        </w:rPr>
      </w:pPr>
    </w:p>
    <w:p w:rsidR="000857D3" w:rsidRPr="000857D3" w:rsidRDefault="000857D3" w:rsidP="000857D3">
      <w:pPr>
        <w:numPr>
          <w:ilvl w:val="0"/>
          <w:numId w:val="8"/>
        </w:numPr>
      </w:pPr>
      <w:r w:rsidRPr="000857D3">
        <w:rPr>
          <w:b/>
          <w:bCs/>
        </w:rPr>
        <w:t>Positive Factors</w:t>
      </w:r>
      <w:r w:rsidRPr="000857D3">
        <w:t>: GDP, Polio, and Schooling positively influence life expectancy. Higher GDP provides better healthcare and living conditions, while vaccinations like Polio reduce preventable deaths. Increased schooling is also strongly associated with improved life expectancy.</w:t>
      </w:r>
    </w:p>
    <w:p w:rsidR="000857D3" w:rsidRPr="000857D3" w:rsidRDefault="000857D3" w:rsidP="000857D3">
      <w:pPr>
        <w:numPr>
          <w:ilvl w:val="0"/>
          <w:numId w:val="8"/>
        </w:numPr>
      </w:pPr>
      <w:r w:rsidRPr="000857D3">
        <w:rPr>
          <w:b/>
          <w:bCs/>
        </w:rPr>
        <w:t>Negative Factor</w:t>
      </w:r>
      <w:r w:rsidRPr="000857D3">
        <w:t>: Adult Mortality significantly reduces life expectancy, highlighting the need for better healthcare and preventive measures to reduce deaths.</w:t>
      </w:r>
    </w:p>
    <w:p w:rsidR="000857D3" w:rsidRPr="000857D3" w:rsidRDefault="000857D3" w:rsidP="000857D3">
      <w:pPr>
        <w:numPr>
          <w:ilvl w:val="0"/>
          <w:numId w:val="8"/>
        </w:numPr>
      </w:pPr>
      <w:r w:rsidRPr="000857D3">
        <w:rPr>
          <w:b/>
          <w:bCs/>
        </w:rPr>
        <w:t>Non-significant Factor</w:t>
      </w:r>
      <w:r w:rsidRPr="000857D3">
        <w:t>: Measles vaccination is not statistically significant, suggesting a minimal direct impact on life expectancy in this dataset.</w:t>
      </w:r>
    </w:p>
    <w:p w:rsidR="000857D3" w:rsidRDefault="000857D3" w:rsidP="000857D3"/>
    <w:p w:rsidR="001D0FF4" w:rsidRDefault="001D0FF4" w:rsidP="000857D3"/>
    <w:p w:rsidR="001D0FF4" w:rsidRDefault="001D0FF4" w:rsidP="000857D3"/>
    <w:p w:rsidR="001D0FF4" w:rsidRDefault="001D0FF4" w:rsidP="000857D3"/>
    <w:p w:rsidR="001D0FF4" w:rsidRDefault="001D0FF4" w:rsidP="000857D3"/>
    <w:p w:rsidR="001D0FF4" w:rsidRPr="001D0FF4" w:rsidRDefault="001D0FF4" w:rsidP="001D0FF4">
      <w:pPr>
        <w:autoSpaceDE w:val="0"/>
        <w:autoSpaceDN w:val="0"/>
        <w:adjustRightInd w:val="0"/>
        <w:spacing w:after="0" w:line="240" w:lineRule="auto"/>
        <w:rPr>
          <w:rFonts w:ascii="Times New Roman" w:hAnsi="Times New Roman" w:cs="Times New Roman"/>
          <w:sz w:val="24"/>
          <w:szCs w:val="24"/>
        </w:rPr>
      </w:pPr>
    </w:p>
    <w:tbl>
      <w:tblPr>
        <w:tblW w:w="9408" w:type="dxa"/>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1D0FF4" w:rsidRPr="001D0FF4">
        <w:tblPrEx>
          <w:tblCellMar>
            <w:top w:w="0" w:type="dxa"/>
            <w:bottom w:w="0" w:type="dxa"/>
          </w:tblCellMar>
        </w:tblPrEx>
        <w:trPr>
          <w:cantSplit/>
        </w:trPr>
        <w:tc>
          <w:tcPr>
            <w:tcW w:w="9403" w:type="dxa"/>
            <w:gridSpan w:val="7"/>
            <w:tcBorders>
              <w:top w:val="nil"/>
              <w:left w:val="nil"/>
              <w:bottom w:val="nil"/>
              <w:right w:val="nil"/>
            </w:tcBorders>
            <w:shd w:val="clear" w:color="auto" w:fill="FFFFFF"/>
            <w:vAlign w:val="center"/>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010205"/>
              </w:rPr>
            </w:pPr>
            <w:proofErr w:type="spellStart"/>
            <w:r w:rsidRPr="001D0FF4">
              <w:rPr>
                <w:rFonts w:ascii="Arial" w:hAnsi="Arial" w:cs="Arial"/>
                <w:b/>
                <w:bCs/>
                <w:color w:val="010205"/>
              </w:rPr>
              <w:t>Coefficients</w:t>
            </w:r>
            <w:r w:rsidRPr="001D0FF4">
              <w:rPr>
                <w:rFonts w:ascii="Arial" w:hAnsi="Arial" w:cs="Arial"/>
                <w:b/>
                <w:bCs/>
                <w:color w:val="010205"/>
                <w:vertAlign w:val="superscript"/>
              </w:rPr>
              <w:t>a</w:t>
            </w:r>
            <w:proofErr w:type="spellEnd"/>
          </w:p>
        </w:tc>
      </w:tr>
      <w:tr w:rsidR="001D0FF4" w:rsidRPr="001D0FF4">
        <w:tblPrEx>
          <w:tblCellMar>
            <w:top w:w="0" w:type="dxa"/>
            <w:bottom w:w="0" w:type="dxa"/>
          </w:tblCellMar>
        </w:tblPrEx>
        <w:trPr>
          <w:cantSplit/>
        </w:trPr>
        <w:tc>
          <w:tcPr>
            <w:tcW w:w="3196" w:type="dxa"/>
            <w:gridSpan w:val="2"/>
            <w:vMerge w:val="restart"/>
            <w:tcBorders>
              <w:top w:val="nil"/>
              <w:left w:val="nil"/>
              <w:bottom w:val="nil"/>
              <w:right w:val="nil"/>
            </w:tcBorders>
            <w:shd w:val="clear" w:color="auto" w:fill="FFFFFF"/>
            <w:vAlign w:val="bottom"/>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Sig.</w:t>
            </w:r>
          </w:p>
        </w:tc>
      </w:tr>
      <w:tr w:rsidR="001D0FF4" w:rsidRPr="001D0FF4">
        <w:tblPrEx>
          <w:tblCellMar>
            <w:top w:w="0" w:type="dxa"/>
            <w:bottom w:w="0" w:type="dxa"/>
          </w:tblCellMar>
        </w:tblPrEx>
        <w:trPr>
          <w:cantSplit/>
        </w:trPr>
        <w:tc>
          <w:tcPr>
            <w:tcW w:w="3196" w:type="dxa"/>
            <w:gridSpan w:val="2"/>
            <w:vMerge/>
            <w:tcBorders>
              <w:top w:val="nil"/>
              <w:left w:val="nil"/>
              <w:bottom w:val="nil"/>
              <w:right w:val="nil"/>
            </w:tcBorders>
            <w:shd w:val="clear" w:color="auto" w:fill="FFFFFF"/>
            <w:vAlign w:val="bottom"/>
          </w:tcPr>
          <w:p w:rsidR="001D0FF4" w:rsidRPr="001D0FF4" w:rsidRDefault="001D0FF4" w:rsidP="001D0FF4">
            <w:pPr>
              <w:autoSpaceDE w:val="0"/>
              <w:autoSpaceDN w:val="0"/>
              <w:adjustRightInd w:val="0"/>
              <w:spacing w:after="0" w:line="240" w:lineRule="auto"/>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1D0FF4" w:rsidRPr="001D0FF4" w:rsidRDefault="001D0FF4" w:rsidP="001D0FF4">
            <w:pPr>
              <w:autoSpaceDE w:val="0"/>
              <w:autoSpaceDN w:val="0"/>
              <w:adjustRightInd w:val="0"/>
              <w:spacing w:after="0" w:line="320" w:lineRule="atLeast"/>
              <w:ind w:left="60" w:right="60"/>
              <w:jc w:val="center"/>
              <w:rPr>
                <w:rFonts w:ascii="Arial" w:hAnsi="Arial" w:cs="Arial"/>
                <w:color w:val="264A60"/>
                <w:sz w:val="18"/>
                <w:szCs w:val="18"/>
              </w:rPr>
            </w:pPr>
            <w:r w:rsidRPr="001D0FF4">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rsidR="001D0FF4" w:rsidRPr="001D0FF4" w:rsidRDefault="001D0FF4" w:rsidP="001D0FF4">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rsidR="001D0FF4" w:rsidRPr="001D0FF4" w:rsidRDefault="001D0FF4" w:rsidP="001D0FF4">
            <w:pPr>
              <w:autoSpaceDE w:val="0"/>
              <w:autoSpaceDN w:val="0"/>
              <w:adjustRightInd w:val="0"/>
              <w:spacing w:after="0" w:line="240" w:lineRule="auto"/>
              <w:rPr>
                <w:rFonts w:ascii="Arial" w:hAnsi="Arial" w:cs="Arial"/>
                <w:color w:val="264A60"/>
                <w:sz w:val="18"/>
                <w:szCs w:val="18"/>
              </w:rPr>
            </w:pPr>
          </w:p>
        </w:tc>
      </w:tr>
      <w:tr w:rsidR="001D0FF4" w:rsidRPr="001D0FF4">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1</w:t>
            </w:r>
          </w:p>
        </w:tc>
        <w:tc>
          <w:tcPr>
            <w:tcW w:w="2459" w:type="dxa"/>
            <w:tcBorders>
              <w:top w:val="single" w:sz="8" w:space="0" w:color="152935"/>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54.935</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.649</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1D0FF4" w:rsidRPr="001D0FF4" w:rsidRDefault="001D0FF4" w:rsidP="001D0FF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84.600</w:t>
            </w:r>
          </w:p>
        </w:tc>
        <w:tc>
          <w:tcPr>
            <w:tcW w:w="1029" w:type="dxa"/>
            <w:tcBorders>
              <w:top w:val="single" w:sz="8" w:space="0" w:color="152935"/>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Income composition of resources</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9.324</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.823</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.205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11.336</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Measles</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-1.245E-5</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-.014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-1.203</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.229</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Hepatitis B</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.012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.004</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.035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2.701</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.007</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percentage expenditure</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.061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2.632</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.009</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Adult Mortality</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-.032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.001</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-.449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-34.792</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Polio</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.022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.005</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.056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4.209</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Schooling</w:t>
            </w:r>
          </w:p>
        </w:tc>
        <w:tc>
          <w:tcPr>
            <w:tcW w:w="1337" w:type="dxa"/>
            <w:tcBorders>
              <w:top w:val="single" w:sz="8" w:space="0" w:color="AEAEAE"/>
              <w:left w:val="nil"/>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.893</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.053</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.300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16.717</w:t>
            </w:r>
          </w:p>
        </w:tc>
        <w:tc>
          <w:tcPr>
            <w:tcW w:w="1029" w:type="dxa"/>
            <w:tcBorders>
              <w:top w:val="single" w:sz="8" w:space="0" w:color="AEAEAE"/>
              <w:left w:val="single" w:sz="8" w:space="0" w:color="E0E0E0"/>
              <w:bottom w:val="single" w:sz="8" w:space="0" w:color="AEAEAE"/>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r>
      <w:tr w:rsidR="001D0FF4" w:rsidRPr="001D0FF4">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152935"/>
              <w:right w:val="nil"/>
            </w:tcBorders>
            <w:shd w:val="clear" w:color="auto" w:fill="E0E0E0"/>
          </w:tcPr>
          <w:p w:rsidR="001D0FF4" w:rsidRPr="001D0FF4" w:rsidRDefault="001D0FF4" w:rsidP="001D0FF4">
            <w:pPr>
              <w:autoSpaceDE w:val="0"/>
              <w:autoSpaceDN w:val="0"/>
              <w:adjustRightInd w:val="0"/>
              <w:spacing w:after="0" w:line="320" w:lineRule="atLeast"/>
              <w:ind w:left="60" w:right="60"/>
              <w:rPr>
                <w:rFonts w:ascii="Arial" w:hAnsi="Arial" w:cs="Arial"/>
                <w:color w:val="264A60"/>
                <w:sz w:val="18"/>
                <w:szCs w:val="18"/>
              </w:rPr>
            </w:pPr>
            <w:r w:rsidRPr="001D0FF4">
              <w:rPr>
                <w:rFonts w:ascii="Arial" w:hAnsi="Arial" w:cs="Arial"/>
                <w:color w:val="264A60"/>
                <w:sz w:val="18"/>
                <w:szCs w:val="18"/>
              </w:rPr>
              <w:t>GDP</w:t>
            </w:r>
          </w:p>
        </w:tc>
        <w:tc>
          <w:tcPr>
            <w:tcW w:w="1337" w:type="dxa"/>
            <w:tcBorders>
              <w:top w:val="single" w:sz="8" w:space="0" w:color="AEAEAE"/>
              <w:left w:val="nil"/>
              <w:bottom w:val="single" w:sz="8" w:space="0" w:color="152935"/>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2.163E-5</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.000</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.032</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1.343</w:t>
            </w:r>
          </w:p>
        </w:tc>
        <w:tc>
          <w:tcPr>
            <w:tcW w:w="1029" w:type="dxa"/>
            <w:tcBorders>
              <w:top w:val="single" w:sz="8" w:space="0" w:color="AEAEAE"/>
              <w:left w:val="single" w:sz="8" w:space="0" w:color="E0E0E0"/>
              <w:bottom w:val="single" w:sz="8" w:space="0" w:color="152935"/>
              <w:right w:val="nil"/>
            </w:tcBorders>
            <w:shd w:val="clear" w:color="auto" w:fill="F9F9FB"/>
          </w:tcPr>
          <w:p w:rsidR="001D0FF4" w:rsidRPr="001D0FF4" w:rsidRDefault="001D0FF4" w:rsidP="001D0FF4">
            <w:pPr>
              <w:autoSpaceDE w:val="0"/>
              <w:autoSpaceDN w:val="0"/>
              <w:adjustRightInd w:val="0"/>
              <w:spacing w:after="0" w:line="320" w:lineRule="atLeast"/>
              <w:ind w:left="60" w:right="60"/>
              <w:jc w:val="right"/>
              <w:rPr>
                <w:rFonts w:ascii="Arial" w:hAnsi="Arial" w:cs="Arial"/>
                <w:color w:val="010205"/>
                <w:sz w:val="18"/>
                <w:szCs w:val="18"/>
              </w:rPr>
            </w:pPr>
            <w:r w:rsidRPr="001D0FF4">
              <w:rPr>
                <w:rFonts w:ascii="Arial" w:hAnsi="Arial" w:cs="Arial"/>
                <w:color w:val="010205"/>
                <w:sz w:val="18"/>
                <w:szCs w:val="18"/>
              </w:rPr>
              <w:t>.179</w:t>
            </w:r>
          </w:p>
        </w:tc>
      </w:tr>
      <w:tr w:rsidR="001D0FF4" w:rsidRPr="001D0FF4">
        <w:tblPrEx>
          <w:tblCellMar>
            <w:top w:w="0" w:type="dxa"/>
            <w:bottom w:w="0" w:type="dxa"/>
          </w:tblCellMar>
        </w:tblPrEx>
        <w:trPr>
          <w:cantSplit/>
        </w:trPr>
        <w:tc>
          <w:tcPr>
            <w:tcW w:w="9403" w:type="dxa"/>
            <w:gridSpan w:val="7"/>
            <w:tcBorders>
              <w:top w:val="nil"/>
              <w:left w:val="nil"/>
              <w:bottom w:val="nil"/>
              <w:right w:val="nil"/>
            </w:tcBorders>
            <w:shd w:val="clear" w:color="auto" w:fill="FFFFFF"/>
          </w:tcPr>
          <w:p w:rsidR="001D0FF4" w:rsidRPr="001D0FF4" w:rsidRDefault="001D0FF4" w:rsidP="001D0FF4">
            <w:pPr>
              <w:autoSpaceDE w:val="0"/>
              <w:autoSpaceDN w:val="0"/>
              <w:adjustRightInd w:val="0"/>
              <w:spacing w:after="0" w:line="320" w:lineRule="atLeast"/>
              <w:ind w:left="60" w:right="60"/>
              <w:rPr>
                <w:rFonts w:ascii="Arial" w:hAnsi="Arial" w:cs="Arial"/>
                <w:color w:val="010205"/>
                <w:sz w:val="18"/>
                <w:szCs w:val="18"/>
              </w:rPr>
            </w:pPr>
            <w:r w:rsidRPr="001D0FF4">
              <w:rPr>
                <w:rFonts w:ascii="Arial" w:hAnsi="Arial" w:cs="Arial"/>
                <w:color w:val="010205"/>
                <w:sz w:val="18"/>
                <w:szCs w:val="18"/>
              </w:rPr>
              <w:t>a. Dependent Variable: Life expectancy</w:t>
            </w:r>
          </w:p>
        </w:tc>
      </w:tr>
    </w:tbl>
    <w:p w:rsidR="001D0FF4" w:rsidRPr="001D0FF4" w:rsidRDefault="001D0FF4" w:rsidP="001D0FF4">
      <w:pPr>
        <w:autoSpaceDE w:val="0"/>
        <w:autoSpaceDN w:val="0"/>
        <w:adjustRightInd w:val="0"/>
        <w:spacing w:after="0" w:line="400" w:lineRule="atLeast"/>
        <w:rPr>
          <w:rFonts w:ascii="Times New Roman" w:hAnsi="Times New Roman" w:cs="Times New Roman"/>
          <w:sz w:val="24"/>
          <w:szCs w:val="24"/>
        </w:rPr>
      </w:pPr>
    </w:p>
    <w:p w:rsidR="00AB5F7A" w:rsidRPr="00AB5F7A" w:rsidRDefault="00AB5F7A" w:rsidP="00EE56D0">
      <w:pPr>
        <w:pStyle w:val="ListParagraph"/>
        <w:numPr>
          <w:ilvl w:val="0"/>
          <w:numId w:val="9"/>
        </w:numPr>
      </w:pPr>
      <w:r w:rsidRPr="00EE56D0">
        <w:rPr>
          <w:b/>
          <w:bCs/>
        </w:rPr>
        <w:t>Income Composition of Resources</w:t>
      </w:r>
      <w:r w:rsidRPr="00AB5F7A">
        <w:t xml:space="preserve"> has the strongest positive effect on life expectancy, emphasizing the importance of equitable resource distribution for improving human development.</w:t>
      </w:r>
    </w:p>
    <w:p w:rsidR="00AB5F7A" w:rsidRPr="00AB5F7A" w:rsidRDefault="00AB5F7A" w:rsidP="00EE56D0">
      <w:pPr>
        <w:pStyle w:val="ListParagraph"/>
        <w:numPr>
          <w:ilvl w:val="0"/>
          <w:numId w:val="9"/>
        </w:numPr>
      </w:pPr>
      <w:r w:rsidRPr="00EE56D0">
        <w:rPr>
          <w:b/>
          <w:bCs/>
        </w:rPr>
        <w:t>Percentage Health Expenditure</w:t>
      </w:r>
      <w:r w:rsidRPr="00AB5F7A">
        <w:t xml:space="preserve"> also shows a positive impact, underscoring the significance of healthcare investments in extending life expectancy.</w:t>
      </w:r>
    </w:p>
    <w:p w:rsidR="001D0FF4" w:rsidRPr="000857D3" w:rsidRDefault="00AB5F7A" w:rsidP="00EE56D0">
      <w:pPr>
        <w:pStyle w:val="ListParagraph"/>
        <w:numPr>
          <w:ilvl w:val="0"/>
          <w:numId w:val="9"/>
        </w:numPr>
      </w:pPr>
      <w:r w:rsidRPr="00EE56D0">
        <w:rPr>
          <w:b/>
          <w:bCs/>
        </w:rPr>
        <w:t>Hepatitis B</w:t>
      </w:r>
      <w:r w:rsidRPr="00AB5F7A">
        <w:t xml:space="preserve"> vaccination has a small but significant positive effect, suggesting its role in improving health outcomes.</w:t>
      </w:r>
    </w:p>
    <w:p w:rsidR="003B2582" w:rsidRDefault="003B2582" w:rsidP="003B2582">
      <w:pPr>
        <w:pStyle w:val="NormalWeb"/>
      </w:pPr>
      <w:r>
        <w:rPr>
          <w:rStyle w:val="Strong"/>
        </w:rPr>
        <w:t>Comparison:</w:t>
      </w:r>
    </w:p>
    <w:p w:rsidR="003B2582" w:rsidRDefault="003B2582" w:rsidP="003B2582">
      <w:pPr>
        <w:pStyle w:val="NormalWeb"/>
        <w:numPr>
          <w:ilvl w:val="0"/>
          <w:numId w:val="10"/>
        </w:numPr>
      </w:pPr>
      <w:r>
        <w:rPr>
          <w:rStyle w:val="Strong"/>
        </w:rPr>
        <w:t>Most Significant Factors</w:t>
      </w:r>
      <w:r>
        <w:t xml:space="preserve">: The strongest factors affecting life expectancy are </w:t>
      </w:r>
      <w:r>
        <w:rPr>
          <w:rStyle w:val="Strong"/>
        </w:rPr>
        <w:t>Adult Mortality</w:t>
      </w:r>
      <w:r>
        <w:t xml:space="preserve"> (negative) and </w:t>
      </w:r>
      <w:r>
        <w:rPr>
          <w:rStyle w:val="Strong"/>
        </w:rPr>
        <w:t>Income Composition of Resources</w:t>
      </w:r>
      <w:r>
        <w:t xml:space="preserve"> (positive). Reducing mortality and improving socioeconomic conditions should be key public health priorities.</w:t>
      </w:r>
    </w:p>
    <w:p w:rsidR="003B2582" w:rsidRDefault="003B2582" w:rsidP="003B2582">
      <w:pPr>
        <w:pStyle w:val="NormalWeb"/>
        <w:numPr>
          <w:ilvl w:val="0"/>
          <w:numId w:val="10"/>
        </w:numPr>
      </w:pPr>
      <w:r>
        <w:rPr>
          <w:rStyle w:val="Strong"/>
        </w:rPr>
        <w:t>Moderate Factors</w:t>
      </w:r>
      <w:r>
        <w:t xml:space="preserve">: </w:t>
      </w:r>
      <w:r>
        <w:rPr>
          <w:rStyle w:val="Strong"/>
        </w:rPr>
        <w:t>Schooling</w:t>
      </w:r>
      <w:r>
        <w:t xml:space="preserve">, </w:t>
      </w:r>
      <w:r>
        <w:rPr>
          <w:rStyle w:val="Strong"/>
        </w:rPr>
        <w:t>Polio vaccination</w:t>
      </w:r>
      <w:r>
        <w:t xml:space="preserve">, and </w:t>
      </w:r>
      <w:r>
        <w:rPr>
          <w:rStyle w:val="Strong"/>
        </w:rPr>
        <w:t>Percentage Expenditure</w:t>
      </w:r>
      <w:r>
        <w:t xml:space="preserve"> positively influence life expectancy but have less impact compared to adult mortality and income composition.</w:t>
      </w:r>
    </w:p>
    <w:p w:rsidR="003B2582" w:rsidRDefault="003B2582" w:rsidP="003B2582">
      <w:pPr>
        <w:pStyle w:val="NormalWeb"/>
        <w:numPr>
          <w:ilvl w:val="0"/>
          <w:numId w:val="10"/>
        </w:numPr>
      </w:pPr>
      <w:r>
        <w:rPr>
          <w:rStyle w:val="Strong"/>
        </w:rPr>
        <w:t>Minimal Impact Factors</w:t>
      </w:r>
      <w:r>
        <w:t xml:space="preserve">: </w:t>
      </w:r>
      <w:r>
        <w:rPr>
          <w:rStyle w:val="Strong"/>
        </w:rPr>
        <w:t>GDP</w:t>
      </w:r>
      <w:r>
        <w:t xml:space="preserve"> and </w:t>
      </w:r>
      <w:r>
        <w:rPr>
          <w:rStyle w:val="Strong"/>
        </w:rPr>
        <w:t>Hepatitis B vaccination</w:t>
      </w:r>
      <w:r>
        <w:t xml:space="preserve"> have weaker associations with life expectancy and are less critical in influencing outcomes.</w:t>
      </w:r>
    </w:p>
    <w:p w:rsidR="003B2582" w:rsidRDefault="003B2582" w:rsidP="003B2582">
      <w:pPr>
        <w:pStyle w:val="NormalWeb"/>
      </w:pPr>
      <w:r>
        <w:t xml:space="preserve">The first model is more influential due to </w:t>
      </w:r>
      <w:r>
        <w:rPr>
          <w:rStyle w:val="Strong"/>
        </w:rPr>
        <w:t>Adult Mortality</w:t>
      </w:r>
      <w:r>
        <w:t>, which is the strongest predictor.</w:t>
      </w:r>
    </w:p>
    <w:p w:rsidR="000857D3" w:rsidRDefault="000857D3"/>
    <w:sectPr w:rsidR="000857D3" w:rsidSect="00571EFA">
      <w:pgSz w:w="12242" w:h="15842"/>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6FC"/>
    <w:multiLevelType w:val="multilevel"/>
    <w:tmpl w:val="F38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47083"/>
    <w:multiLevelType w:val="multilevel"/>
    <w:tmpl w:val="24C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80727"/>
    <w:multiLevelType w:val="multilevel"/>
    <w:tmpl w:val="149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236B6"/>
    <w:multiLevelType w:val="multilevel"/>
    <w:tmpl w:val="456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81F2F"/>
    <w:multiLevelType w:val="multilevel"/>
    <w:tmpl w:val="080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67C96"/>
    <w:multiLevelType w:val="hybridMultilevel"/>
    <w:tmpl w:val="C9A09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F24168"/>
    <w:multiLevelType w:val="multilevel"/>
    <w:tmpl w:val="F15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F4805"/>
    <w:multiLevelType w:val="multilevel"/>
    <w:tmpl w:val="6B0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35B43"/>
    <w:multiLevelType w:val="multilevel"/>
    <w:tmpl w:val="C13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D2A5B"/>
    <w:multiLevelType w:val="multilevel"/>
    <w:tmpl w:val="45C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7"/>
  </w:num>
  <w:num w:numId="4">
    <w:abstractNumId w:val="3"/>
  </w:num>
  <w:num w:numId="5">
    <w:abstractNumId w:val="8"/>
  </w:num>
  <w:num w:numId="6">
    <w:abstractNumId w:val="2"/>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FC"/>
    <w:rsid w:val="000857D3"/>
    <w:rsid w:val="00092061"/>
    <w:rsid w:val="00154408"/>
    <w:rsid w:val="001D0FF4"/>
    <w:rsid w:val="001D4D88"/>
    <w:rsid w:val="003B2582"/>
    <w:rsid w:val="00425EF7"/>
    <w:rsid w:val="00A9021E"/>
    <w:rsid w:val="00AB5F7A"/>
    <w:rsid w:val="00AE4765"/>
    <w:rsid w:val="00D04BF8"/>
    <w:rsid w:val="00E156FC"/>
    <w:rsid w:val="00EE5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87C3"/>
  <w15:chartTrackingRefBased/>
  <w15:docId w15:val="{0E19670D-E6C6-461E-8025-D78267F7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6D0"/>
    <w:pPr>
      <w:ind w:left="720"/>
      <w:contextualSpacing/>
    </w:pPr>
  </w:style>
  <w:style w:type="paragraph" w:styleId="NormalWeb">
    <w:name w:val="Normal (Web)"/>
    <w:basedOn w:val="Normal"/>
    <w:uiPriority w:val="99"/>
    <w:semiHidden/>
    <w:unhideWhenUsed/>
    <w:rsid w:val="003B25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2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21642">
      <w:bodyDiv w:val="1"/>
      <w:marLeft w:val="0"/>
      <w:marRight w:val="0"/>
      <w:marTop w:val="0"/>
      <w:marBottom w:val="0"/>
      <w:divBdr>
        <w:top w:val="none" w:sz="0" w:space="0" w:color="auto"/>
        <w:left w:val="none" w:sz="0" w:space="0" w:color="auto"/>
        <w:bottom w:val="none" w:sz="0" w:space="0" w:color="auto"/>
        <w:right w:val="none" w:sz="0" w:space="0" w:color="auto"/>
      </w:divBdr>
      <w:divsChild>
        <w:div w:id="223878852">
          <w:marLeft w:val="0"/>
          <w:marRight w:val="0"/>
          <w:marTop w:val="0"/>
          <w:marBottom w:val="0"/>
          <w:divBdr>
            <w:top w:val="none" w:sz="0" w:space="0" w:color="auto"/>
            <w:left w:val="none" w:sz="0" w:space="0" w:color="auto"/>
            <w:bottom w:val="none" w:sz="0" w:space="0" w:color="auto"/>
            <w:right w:val="none" w:sz="0" w:space="0" w:color="auto"/>
          </w:divBdr>
          <w:divsChild>
            <w:div w:id="1003708380">
              <w:marLeft w:val="0"/>
              <w:marRight w:val="0"/>
              <w:marTop w:val="0"/>
              <w:marBottom w:val="0"/>
              <w:divBdr>
                <w:top w:val="none" w:sz="0" w:space="0" w:color="auto"/>
                <w:left w:val="none" w:sz="0" w:space="0" w:color="auto"/>
                <w:bottom w:val="none" w:sz="0" w:space="0" w:color="auto"/>
                <w:right w:val="none" w:sz="0" w:space="0" w:color="auto"/>
              </w:divBdr>
              <w:divsChild>
                <w:div w:id="1554389899">
                  <w:marLeft w:val="0"/>
                  <w:marRight w:val="0"/>
                  <w:marTop w:val="0"/>
                  <w:marBottom w:val="0"/>
                  <w:divBdr>
                    <w:top w:val="none" w:sz="0" w:space="0" w:color="auto"/>
                    <w:left w:val="none" w:sz="0" w:space="0" w:color="auto"/>
                    <w:bottom w:val="none" w:sz="0" w:space="0" w:color="auto"/>
                    <w:right w:val="none" w:sz="0" w:space="0" w:color="auto"/>
                  </w:divBdr>
                  <w:divsChild>
                    <w:div w:id="2100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5195">
          <w:marLeft w:val="0"/>
          <w:marRight w:val="0"/>
          <w:marTop w:val="0"/>
          <w:marBottom w:val="0"/>
          <w:divBdr>
            <w:top w:val="none" w:sz="0" w:space="0" w:color="auto"/>
            <w:left w:val="none" w:sz="0" w:space="0" w:color="auto"/>
            <w:bottom w:val="none" w:sz="0" w:space="0" w:color="auto"/>
            <w:right w:val="none" w:sz="0" w:space="0" w:color="auto"/>
          </w:divBdr>
          <w:divsChild>
            <w:div w:id="1690401802">
              <w:marLeft w:val="0"/>
              <w:marRight w:val="0"/>
              <w:marTop w:val="0"/>
              <w:marBottom w:val="0"/>
              <w:divBdr>
                <w:top w:val="none" w:sz="0" w:space="0" w:color="auto"/>
                <w:left w:val="none" w:sz="0" w:space="0" w:color="auto"/>
                <w:bottom w:val="none" w:sz="0" w:space="0" w:color="auto"/>
                <w:right w:val="none" w:sz="0" w:space="0" w:color="auto"/>
              </w:divBdr>
              <w:divsChild>
                <w:div w:id="1589928499">
                  <w:marLeft w:val="0"/>
                  <w:marRight w:val="0"/>
                  <w:marTop w:val="0"/>
                  <w:marBottom w:val="0"/>
                  <w:divBdr>
                    <w:top w:val="none" w:sz="0" w:space="0" w:color="auto"/>
                    <w:left w:val="none" w:sz="0" w:space="0" w:color="auto"/>
                    <w:bottom w:val="none" w:sz="0" w:space="0" w:color="auto"/>
                    <w:right w:val="none" w:sz="0" w:space="0" w:color="auto"/>
                  </w:divBdr>
                  <w:divsChild>
                    <w:div w:id="12983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1906">
      <w:bodyDiv w:val="1"/>
      <w:marLeft w:val="0"/>
      <w:marRight w:val="0"/>
      <w:marTop w:val="0"/>
      <w:marBottom w:val="0"/>
      <w:divBdr>
        <w:top w:val="none" w:sz="0" w:space="0" w:color="auto"/>
        <w:left w:val="none" w:sz="0" w:space="0" w:color="auto"/>
        <w:bottom w:val="none" w:sz="0" w:space="0" w:color="auto"/>
        <w:right w:val="none" w:sz="0" w:space="0" w:color="auto"/>
      </w:divBdr>
    </w:div>
    <w:div w:id="743256733">
      <w:bodyDiv w:val="1"/>
      <w:marLeft w:val="0"/>
      <w:marRight w:val="0"/>
      <w:marTop w:val="0"/>
      <w:marBottom w:val="0"/>
      <w:divBdr>
        <w:top w:val="none" w:sz="0" w:space="0" w:color="auto"/>
        <w:left w:val="none" w:sz="0" w:space="0" w:color="auto"/>
        <w:bottom w:val="none" w:sz="0" w:space="0" w:color="auto"/>
        <w:right w:val="none" w:sz="0" w:space="0" w:color="auto"/>
      </w:divBdr>
    </w:div>
    <w:div w:id="1022901861">
      <w:bodyDiv w:val="1"/>
      <w:marLeft w:val="0"/>
      <w:marRight w:val="0"/>
      <w:marTop w:val="0"/>
      <w:marBottom w:val="0"/>
      <w:divBdr>
        <w:top w:val="none" w:sz="0" w:space="0" w:color="auto"/>
        <w:left w:val="none" w:sz="0" w:space="0" w:color="auto"/>
        <w:bottom w:val="none" w:sz="0" w:space="0" w:color="auto"/>
        <w:right w:val="none" w:sz="0" w:space="0" w:color="auto"/>
      </w:divBdr>
      <w:divsChild>
        <w:div w:id="1609653645">
          <w:marLeft w:val="0"/>
          <w:marRight w:val="0"/>
          <w:marTop w:val="0"/>
          <w:marBottom w:val="0"/>
          <w:divBdr>
            <w:top w:val="none" w:sz="0" w:space="0" w:color="auto"/>
            <w:left w:val="none" w:sz="0" w:space="0" w:color="auto"/>
            <w:bottom w:val="none" w:sz="0" w:space="0" w:color="auto"/>
            <w:right w:val="none" w:sz="0" w:space="0" w:color="auto"/>
          </w:divBdr>
          <w:divsChild>
            <w:div w:id="80685381">
              <w:marLeft w:val="0"/>
              <w:marRight w:val="0"/>
              <w:marTop w:val="0"/>
              <w:marBottom w:val="0"/>
              <w:divBdr>
                <w:top w:val="none" w:sz="0" w:space="0" w:color="auto"/>
                <w:left w:val="none" w:sz="0" w:space="0" w:color="auto"/>
                <w:bottom w:val="none" w:sz="0" w:space="0" w:color="auto"/>
                <w:right w:val="none" w:sz="0" w:space="0" w:color="auto"/>
              </w:divBdr>
              <w:divsChild>
                <w:div w:id="905802837">
                  <w:marLeft w:val="0"/>
                  <w:marRight w:val="0"/>
                  <w:marTop w:val="0"/>
                  <w:marBottom w:val="0"/>
                  <w:divBdr>
                    <w:top w:val="none" w:sz="0" w:space="0" w:color="auto"/>
                    <w:left w:val="none" w:sz="0" w:space="0" w:color="auto"/>
                    <w:bottom w:val="none" w:sz="0" w:space="0" w:color="auto"/>
                    <w:right w:val="none" w:sz="0" w:space="0" w:color="auto"/>
                  </w:divBdr>
                  <w:divsChild>
                    <w:div w:id="19969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8063">
          <w:marLeft w:val="0"/>
          <w:marRight w:val="0"/>
          <w:marTop w:val="0"/>
          <w:marBottom w:val="0"/>
          <w:divBdr>
            <w:top w:val="none" w:sz="0" w:space="0" w:color="auto"/>
            <w:left w:val="none" w:sz="0" w:space="0" w:color="auto"/>
            <w:bottom w:val="none" w:sz="0" w:space="0" w:color="auto"/>
            <w:right w:val="none" w:sz="0" w:space="0" w:color="auto"/>
          </w:divBdr>
          <w:divsChild>
            <w:div w:id="849372995">
              <w:marLeft w:val="0"/>
              <w:marRight w:val="0"/>
              <w:marTop w:val="0"/>
              <w:marBottom w:val="0"/>
              <w:divBdr>
                <w:top w:val="none" w:sz="0" w:space="0" w:color="auto"/>
                <w:left w:val="none" w:sz="0" w:space="0" w:color="auto"/>
                <w:bottom w:val="none" w:sz="0" w:space="0" w:color="auto"/>
                <w:right w:val="none" w:sz="0" w:space="0" w:color="auto"/>
              </w:divBdr>
              <w:divsChild>
                <w:div w:id="448206427">
                  <w:marLeft w:val="0"/>
                  <w:marRight w:val="0"/>
                  <w:marTop w:val="0"/>
                  <w:marBottom w:val="0"/>
                  <w:divBdr>
                    <w:top w:val="none" w:sz="0" w:space="0" w:color="auto"/>
                    <w:left w:val="none" w:sz="0" w:space="0" w:color="auto"/>
                    <w:bottom w:val="none" w:sz="0" w:space="0" w:color="auto"/>
                    <w:right w:val="none" w:sz="0" w:space="0" w:color="auto"/>
                  </w:divBdr>
                  <w:divsChild>
                    <w:div w:id="479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7928">
      <w:bodyDiv w:val="1"/>
      <w:marLeft w:val="0"/>
      <w:marRight w:val="0"/>
      <w:marTop w:val="0"/>
      <w:marBottom w:val="0"/>
      <w:divBdr>
        <w:top w:val="none" w:sz="0" w:space="0" w:color="auto"/>
        <w:left w:val="none" w:sz="0" w:space="0" w:color="auto"/>
        <w:bottom w:val="none" w:sz="0" w:space="0" w:color="auto"/>
        <w:right w:val="none" w:sz="0" w:space="0" w:color="auto"/>
      </w:divBdr>
      <w:divsChild>
        <w:div w:id="683091252">
          <w:marLeft w:val="0"/>
          <w:marRight w:val="0"/>
          <w:marTop w:val="0"/>
          <w:marBottom w:val="0"/>
          <w:divBdr>
            <w:top w:val="none" w:sz="0" w:space="0" w:color="auto"/>
            <w:left w:val="none" w:sz="0" w:space="0" w:color="auto"/>
            <w:bottom w:val="none" w:sz="0" w:space="0" w:color="auto"/>
            <w:right w:val="none" w:sz="0" w:space="0" w:color="auto"/>
          </w:divBdr>
          <w:divsChild>
            <w:div w:id="645742561">
              <w:marLeft w:val="0"/>
              <w:marRight w:val="0"/>
              <w:marTop w:val="0"/>
              <w:marBottom w:val="0"/>
              <w:divBdr>
                <w:top w:val="none" w:sz="0" w:space="0" w:color="auto"/>
                <w:left w:val="none" w:sz="0" w:space="0" w:color="auto"/>
                <w:bottom w:val="none" w:sz="0" w:space="0" w:color="auto"/>
                <w:right w:val="none" w:sz="0" w:space="0" w:color="auto"/>
              </w:divBdr>
              <w:divsChild>
                <w:div w:id="950553563">
                  <w:marLeft w:val="0"/>
                  <w:marRight w:val="0"/>
                  <w:marTop w:val="0"/>
                  <w:marBottom w:val="0"/>
                  <w:divBdr>
                    <w:top w:val="none" w:sz="0" w:space="0" w:color="auto"/>
                    <w:left w:val="none" w:sz="0" w:space="0" w:color="auto"/>
                    <w:bottom w:val="none" w:sz="0" w:space="0" w:color="auto"/>
                    <w:right w:val="none" w:sz="0" w:space="0" w:color="auto"/>
                  </w:divBdr>
                  <w:divsChild>
                    <w:div w:id="1457723272">
                      <w:marLeft w:val="0"/>
                      <w:marRight w:val="0"/>
                      <w:marTop w:val="0"/>
                      <w:marBottom w:val="0"/>
                      <w:divBdr>
                        <w:top w:val="none" w:sz="0" w:space="0" w:color="auto"/>
                        <w:left w:val="none" w:sz="0" w:space="0" w:color="auto"/>
                        <w:bottom w:val="none" w:sz="0" w:space="0" w:color="auto"/>
                        <w:right w:val="none" w:sz="0" w:space="0" w:color="auto"/>
                      </w:divBdr>
                      <w:divsChild>
                        <w:div w:id="312220356">
                          <w:marLeft w:val="0"/>
                          <w:marRight w:val="0"/>
                          <w:marTop w:val="0"/>
                          <w:marBottom w:val="0"/>
                          <w:divBdr>
                            <w:top w:val="none" w:sz="0" w:space="0" w:color="auto"/>
                            <w:left w:val="none" w:sz="0" w:space="0" w:color="auto"/>
                            <w:bottom w:val="none" w:sz="0" w:space="0" w:color="auto"/>
                            <w:right w:val="none" w:sz="0" w:space="0" w:color="auto"/>
                          </w:divBdr>
                          <w:divsChild>
                            <w:div w:id="6470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664618">
      <w:bodyDiv w:val="1"/>
      <w:marLeft w:val="0"/>
      <w:marRight w:val="0"/>
      <w:marTop w:val="0"/>
      <w:marBottom w:val="0"/>
      <w:divBdr>
        <w:top w:val="none" w:sz="0" w:space="0" w:color="auto"/>
        <w:left w:val="none" w:sz="0" w:space="0" w:color="auto"/>
        <w:bottom w:val="none" w:sz="0" w:space="0" w:color="auto"/>
        <w:right w:val="none" w:sz="0" w:space="0" w:color="auto"/>
      </w:divBdr>
    </w:div>
    <w:div w:id="1620718119">
      <w:bodyDiv w:val="1"/>
      <w:marLeft w:val="0"/>
      <w:marRight w:val="0"/>
      <w:marTop w:val="0"/>
      <w:marBottom w:val="0"/>
      <w:divBdr>
        <w:top w:val="none" w:sz="0" w:space="0" w:color="auto"/>
        <w:left w:val="none" w:sz="0" w:space="0" w:color="auto"/>
        <w:bottom w:val="none" w:sz="0" w:space="0" w:color="auto"/>
        <w:right w:val="none" w:sz="0" w:space="0" w:color="auto"/>
      </w:divBdr>
      <w:divsChild>
        <w:div w:id="620497753">
          <w:marLeft w:val="0"/>
          <w:marRight w:val="0"/>
          <w:marTop w:val="0"/>
          <w:marBottom w:val="0"/>
          <w:divBdr>
            <w:top w:val="none" w:sz="0" w:space="0" w:color="auto"/>
            <w:left w:val="none" w:sz="0" w:space="0" w:color="auto"/>
            <w:bottom w:val="none" w:sz="0" w:space="0" w:color="auto"/>
            <w:right w:val="none" w:sz="0" w:space="0" w:color="auto"/>
          </w:divBdr>
          <w:divsChild>
            <w:div w:id="346518821">
              <w:marLeft w:val="0"/>
              <w:marRight w:val="0"/>
              <w:marTop w:val="0"/>
              <w:marBottom w:val="0"/>
              <w:divBdr>
                <w:top w:val="none" w:sz="0" w:space="0" w:color="auto"/>
                <w:left w:val="none" w:sz="0" w:space="0" w:color="auto"/>
                <w:bottom w:val="none" w:sz="0" w:space="0" w:color="auto"/>
                <w:right w:val="none" w:sz="0" w:space="0" w:color="auto"/>
              </w:divBdr>
              <w:divsChild>
                <w:div w:id="1976447514">
                  <w:marLeft w:val="0"/>
                  <w:marRight w:val="0"/>
                  <w:marTop w:val="0"/>
                  <w:marBottom w:val="0"/>
                  <w:divBdr>
                    <w:top w:val="none" w:sz="0" w:space="0" w:color="auto"/>
                    <w:left w:val="none" w:sz="0" w:space="0" w:color="auto"/>
                    <w:bottom w:val="none" w:sz="0" w:space="0" w:color="auto"/>
                    <w:right w:val="none" w:sz="0" w:space="0" w:color="auto"/>
                  </w:divBdr>
                  <w:divsChild>
                    <w:div w:id="1606645765">
                      <w:marLeft w:val="0"/>
                      <w:marRight w:val="0"/>
                      <w:marTop w:val="0"/>
                      <w:marBottom w:val="0"/>
                      <w:divBdr>
                        <w:top w:val="none" w:sz="0" w:space="0" w:color="auto"/>
                        <w:left w:val="none" w:sz="0" w:space="0" w:color="auto"/>
                        <w:bottom w:val="none" w:sz="0" w:space="0" w:color="auto"/>
                        <w:right w:val="none" w:sz="0" w:space="0" w:color="auto"/>
                      </w:divBdr>
                      <w:divsChild>
                        <w:div w:id="1116559052">
                          <w:marLeft w:val="0"/>
                          <w:marRight w:val="0"/>
                          <w:marTop w:val="0"/>
                          <w:marBottom w:val="0"/>
                          <w:divBdr>
                            <w:top w:val="none" w:sz="0" w:space="0" w:color="auto"/>
                            <w:left w:val="none" w:sz="0" w:space="0" w:color="auto"/>
                            <w:bottom w:val="none" w:sz="0" w:space="0" w:color="auto"/>
                            <w:right w:val="none" w:sz="0" w:space="0" w:color="auto"/>
                          </w:divBdr>
                          <w:divsChild>
                            <w:div w:id="4113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5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W</dc:creator>
  <cp:keywords/>
  <dc:description/>
  <cp:lastModifiedBy>Edgar W</cp:lastModifiedBy>
  <cp:revision>9</cp:revision>
  <dcterms:created xsi:type="dcterms:W3CDTF">2024-09-10T09:30:00Z</dcterms:created>
  <dcterms:modified xsi:type="dcterms:W3CDTF">2024-09-10T09:55:00Z</dcterms:modified>
</cp:coreProperties>
</file>