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Análisis técnico</w:t>
      </w:r>
    </w:p>
    <w:p>
      <w:pPr>
        <w:pStyle w:val="Subtitle"/>
        <w:widowControl/>
      </w:pPr>
      <w:r>
        <w:t>Proyecto Nexo</w:t>
      </w:r>
    </w:p>
    <w:p>
      <w:pPr>
        <w:widowControl/>
      </w:pPr>
      <w:r>
        <w:t>Plataforma multiempresa de conectividad y soporte remoto</w:t>
      </w:r>
    </w:p>
    <w:p>
      <w:pPr>
        <w:widowControl/>
      </w:pPr>
      <w:r>
        <w:t>Versión 1.2  |  20 de octubre de 2026  |  Responsable del proyecto Edgar Garay</w:t>
      </w:r>
    </w:p>
    <w:p>
      <w:pPr>
        <w:pStyle w:val="Heading2"/>
      </w:pPr>
      <w:r>
        <w:t>Propósito y recomendación</w:t>
      </w:r>
    </w:p>
    <w:p>
      <w:pPr>
        <w:widowControl/>
      </w:pPr>
      <w:r>
        <w:t>Nexo es el nombre clave de una plataforma desarrollada a la medida para ofrecer conectividad privada, gestión de equipos y soporte remoto a empresas independientes. El nombre identifica el proyecto durante su análisis y construcción; no constituye una decisión sobre la marca comercial final.</w:t>
      </w:r>
    </w:p>
    <w:p>
      <w:pPr>
        <w:widowControl/>
      </w:pPr>
      <w:r>
        <w:t>Se recomienda construir una administración propia y un cliente universal con módulos activables. OpenVPN Community y WireGuard conectarán exclusivamente redes y recursos privados. El escritorio remoto será un servicio adicional a la VPN o a los respaldos, utilizable por los técnicos de la empresa y por el proveedor autorizado. El respaldo empresarial se conserva como ampliación opcional.</w:t>
      </w:r>
    </w:p>
    <w:p>
      <w:pPr>
        <w:pStyle w:val="Heading2"/>
      </w:pPr>
      <w:r>
        <w:t>Punto de partida confirmado</w:t>
      </w:r>
    </w:p>
    <w:p>
      <w:pPr>
        <w:widowControl/>
      </w:pPr>
      <w:r>
        <w:t>El servicio actual atiende a tres empresas independientes desde AWS EC2. Utiliza OpenVPN Community sobre UDP, OpenVPN Connect en los dispositivos y un módulo de Webmin para la administración. Existen conexiones de sucursales completas y equipos Windows, Mac, Android e iOS. Se prevé incorporar más empresas.</w:t>
      </w:r>
    </w:p>
    <w:p>
      <w:pPr>
        <w:pStyle w:val="Heading2"/>
      </w:pPr>
      <w:r>
        <w:t>Condiciones de diseño</w:t>
      </w:r>
    </w:p>
    <w:p>
      <w:pPr>
        <w:pStyle w:val="ListBullet"/>
        <w:widowControl/>
      </w:pPr>
      <w:r>
        <w:t>Desarrollo propio con panel del proveedor y portal de autoservicio por empresa.</w:t>
      </w:r>
    </w:p>
    <w:p>
      <w:pPr>
        <w:pStyle w:val="ListBullet"/>
        <w:widowControl/>
      </w:pPr>
      <w:r>
        <w:t>Un único cliente por plataforma, con VPN, soporte y respaldo activables según contrato y compatibilidad. El escritorio remoto se limita a computadoras; los móviles mantienen alcance VPN.</w:t>
      </w:r>
    </w:p>
    <w:p>
      <w:pPr>
        <w:pStyle w:val="ListBullet"/>
        <w:widowControl/>
      </w:pPr>
      <w:r>
        <w:t>Sin dependencia obligatoria de licencias comerciales por usuario o dispositivo. Se respetarán las licencias de los componentes abiertos.</w:t>
      </w:r>
    </w:p>
    <w:p>
      <w:pPr>
        <w:pStyle w:val="ListBullet"/>
        <w:widowControl/>
      </w:pPr>
      <w:r>
        <w:t>EC2 nueva para Nexo, con entornos VPN aislados por empresa y migración gradual desde el servidor actual.</w:t>
      </w:r>
    </w:p>
    <w:p>
      <w:pPr>
        <w:widowControl/>
      </w:pPr>
      <w:r>
        <w:t>Las secciones siguientes especifican el alcance, las decisiones propuestas, los contratos técnicos, la operación y las pruebas de aceptación. Las tecnologías complementarias, los objetivos de servicio y el dimensionamiento se presentan como propuestas que deben validarse en el piloto.</w:t>
      </w:r>
    </w:p>
    <w:p>
      <w:r>
        <w:br w:type="page"/>
      </w:r>
    </w:p>
    <w:p>
      <w:pPr>
        <w:pStyle w:val="Heading1"/>
      </w:pPr>
      <w:r>
        <w:t>1 Alcance y requisitos</w:t>
      </w:r>
    </w:p>
    <w:p>
      <w:pPr>
        <w:widowControl/>
      </w:pPr>
      <w:r>
        <w:t>Cada empresa administrará sus recursos y podrá contratar escritorio remoto como servicio adicional a la VPN o a los respaldos. Las funciones se habilitarán en el mismo endpoint según la suscripción; el proveedor conservará el control de los nodos y del servicio global.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7848"/>
        <w:gridCol w:w="1296"/>
      </w:tblGrid>
      <w:tr>
        <w:trPr>
          <w:cantSplit/>
          <w:tblHeader/>
        </w:trPr>
        <w:tc>
          <w:tcPr>
            <w:tcW w:type="dxa" w:w="936"/>
            <w:vAlign w:val="center"/>
            <w:shd w:fill="243746"/>
            <w:tcMar>
              <w:top w:w="85" w:type="dxa"/>
              <w:bottom w:w="85" w:type="dxa"/>
              <w:left w:w="85" w:type="dxa"/>
              <w:right w:w="85" w:type="dxa"/>
            </w:tcMar>
          </w:tcPr>
          <w:p>
            <w:pPr>
              <w:keepNext/>
              <w:spacing w:after="40" w:before="40" w:line="245" w:lineRule="auto"/>
            </w:pPr>
            <w:r>
              <w:rPr>
                <w:b/>
                <w:color w:val="FFFFFF"/>
                <w:sz w:val="20"/>
              </w:rPr>
              <w:t>ID</w:t>
            </w:r>
          </w:p>
        </w:tc>
        <w:tc>
          <w:tcPr>
            <w:tcW w:type="dxa" w:w="7848"/>
            <w:vAlign w:val="center"/>
            <w:shd w:fill="243746"/>
            <w:tcMar>
              <w:top w:w="85" w:type="dxa"/>
              <w:bottom w:w="85" w:type="dxa"/>
              <w:left w:w="85" w:type="dxa"/>
              <w:right w:w="85" w:type="dxa"/>
            </w:tcMar>
          </w:tcPr>
          <w:p>
            <w:pPr>
              <w:keepNext/>
              <w:spacing w:after="40" w:before="40" w:line="245" w:lineRule="auto"/>
            </w:pPr>
            <w:r>
              <w:rPr>
                <w:b/>
                <w:color w:val="FFFFFF"/>
                <w:sz w:val="20"/>
              </w:rPr>
              <w:t>Requisito</w:t>
            </w:r>
          </w:p>
        </w:tc>
        <w:tc>
          <w:tcPr>
            <w:tcW w:type="dxa" w:w="1296"/>
            <w:vAlign w:val="center"/>
            <w:shd w:fill="243746"/>
            <w:tcMar>
              <w:top w:w="85" w:type="dxa"/>
              <w:bottom w:w="85" w:type="dxa"/>
              <w:left w:w="85" w:type="dxa"/>
              <w:right w:w="85" w:type="dxa"/>
            </w:tcMar>
          </w:tcPr>
          <w:p>
            <w:pPr>
              <w:keepNext/>
              <w:spacing w:after="40" w:before="40" w:line="245" w:lineRule="auto"/>
            </w:pPr>
            <w:r>
              <w:rPr>
                <w:b/>
                <w:color w:val="FFFFFF"/>
                <w:sz w:val="20"/>
              </w:rPr>
              <w:t>Prioridad</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RF01</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Empresas aisladas con usuarios y permisos propios.</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1F4F6"/>
            <w:tcMar>
              <w:top w:w="85" w:type="dxa"/>
              <w:bottom w:w="85" w:type="dxa"/>
              <w:left w:w="85" w:type="dxa"/>
              <w:right w:w="85" w:type="dxa"/>
            </w:tcMar>
          </w:tcPr>
          <w:p>
            <w:pPr>
              <w:keepNext w:val="0"/>
              <w:spacing w:after="40" w:before="40" w:line="245" w:lineRule="auto"/>
            </w:pPr>
            <w:r>
              <w:rPr>
                <w:b w:val="0"/>
                <w:color w:val="000000"/>
                <w:sz w:val="20"/>
              </w:rPr>
              <w:t>RF02</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Planes, suscripciones, límites y estados de servicio.</w:t>
            </w:r>
          </w:p>
        </w:tc>
        <w:tc>
          <w:tcPr>
            <w:tcW w:type="dxa" w:w="1296"/>
            <w:vAlign w:val="center"/>
            <w:shd w:fill="F1F4F6"/>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RF03</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Registro autónomo de endpoints mediante invitaciones.</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1F4F6"/>
            <w:tcMar>
              <w:top w:w="85" w:type="dxa"/>
              <w:bottom w:w="85" w:type="dxa"/>
              <w:left w:w="85" w:type="dxa"/>
              <w:right w:w="85" w:type="dxa"/>
            </w:tcMar>
          </w:tcPr>
          <w:p>
            <w:pPr>
              <w:keepNext w:val="0"/>
              <w:spacing w:after="40" w:before="40" w:line="245" w:lineRule="auto"/>
            </w:pPr>
            <w:r>
              <w:rPr>
                <w:b w:val="0"/>
                <w:color w:val="000000"/>
                <w:sz w:val="20"/>
              </w:rPr>
              <w:t>RF04</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Inventario de equipos, sucursales, gateways y redes.</w:t>
            </w:r>
          </w:p>
        </w:tc>
        <w:tc>
          <w:tcPr>
            <w:tcW w:type="dxa" w:w="1296"/>
            <w:vAlign w:val="center"/>
            <w:shd w:fill="F1F4F6"/>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RF05</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VPN para interconexión privada, sin salida a Internet.</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1F4F6"/>
            <w:tcMar>
              <w:top w:w="85" w:type="dxa"/>
              <w:bottom w:w="85" w:type="dxa"/>
              <w:left w:w="85" w:type="dxa"/>
              <w:right w:w="85" w:type="dxa"/>
            </w:tcMar>
          </w:tcPr>
          <w:p>
            <w:pPr>
              <w:keepNext w:val="0"/>
              <w:spacing w:after="40" w:before="40" w:line="245" w:lineRule="auto"/>
            </w:pPr>
            <w:r>
              <w:rPr>
                <w:b w:val="0"/>
                <w:color w:val="000000"/>
                <w:sz w:val="20"/>
              </w:rPr>
              <w:t>RF06</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Cliente universal con módulos activables sin reinstalación.</w:t>
            </w:r>
          </w:p>
        </w:tc>
        <w:tc>
          <w:tcPr>
            <w:tcW w:type="dxa" w:w="1296"/>
            <w:vAlign w:val="center"/>
            <w:shd w:fill="F1F4F6"/>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RF07</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Escritorio remoto para la empresa como adicional a VPN o respaldo.</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1F4F6"/>
            <w:tcMar>
              <w:top w:w="85" w:type="dxa"/>
              <w:bottom w:w="85" w:type="dxa"/>
              <w:left w:w="85" w:type="dxa"/>
              <w:right w:w="85" w:type="dxa"/>
            </w:tcMar>
          </w:tcPr>
          <w:p>
            <w:pPr>
              <w:keepNext w:val="0"/>
              <w:spacing w:after="40" w:before="40" w:line="245" w:lineRule="auto"/>
            </w:pPr>
            <w:r>
              <w:rPr>
                <w:b w:val="0"/>
                <w:color w:val="000000"/>
                <w:sz w:val="20"/>
              </w:rPr>
              <w:t>RF08</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Tráfico, conexiones, auditoría, alertas y reportes por empresa.</w:t>
            </w:r>
          </w:p>
        </w:tc>
        <w:tc>
          <w:tcPr>
            <w:tcW w:type="dxa" w:w="1296"/>
            <w:vAlign w:val="center"/>
            <w:shd w:fill="F1F4F6"/>
            <w:tcMar>
              <w:top w:w="85" w:type="dxa"/>
              <w:bottom w:w="85" w:type="dxa"/>
              <w:left w:w="85" w:type="dxa"/>
              <w:right w:w="85" w:type="dxa"/>
            </w:tcMar>
          </w:tcPr>
          <w:p>
            <w:pPr>
              <w:keepNext w:val="0"/>
              <w:spacing w:after="40" w:before="40" w:line="245" w:lineRule="auto"/>
            </w:pPr>
            <w:r>
              <w:rPr>
                <w:b w:val="0"/>
                <w:color w:val="000000"/>
                <w:sz w:val="20"/>
              </w:rPr>
              <w:t>Inicial</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RF09</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Conexiones directas con descubrimiento y relay cuando proceda.</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Evolutiva</w:t>
            </w:r>
          </w:p>
        </w:tc>
      </w:tr>
      <w:tr>
        <w:trPr>
          <w:cantSplit/>
        </w:trPr>
        <w:tc>
          <w:tcPr>
            <w:tcW w:type="dxa" w:w="936"/>
            <w:vAlign w:val="center"/>
            <w:shd w:fill="F1F4F6"/>
            <w:tcMar>
              <w:top w:w="85" w:type="dxa"/>
              <w:bottom w:w="85" w:type="dxa"/>
              <w:left w:w="85" w:type="dxa"/>
              <w:right w:w="85" w:type="dxa"/>
            </w:tcMar>
          </w:tcPr>
          <w:p>
            <w:pPr>
              <w:keepNext w:val="0"/>
              <w:spacing w:after="40" w:before="40" w:line="245" w:lineRule="auto"/>
            </w:pPr>
            <w:r>
              <w:rPr>
                <w:b w:val="0"/>
                <w:color w:val="000000"/>
                <w:sz w:val="20"/>
              </w:rPr>
              <w:t>RF10</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Clientes móviles propios para VPN.</w:t>
            </w:r>
          </w:p>
        </w:tc>
        <w:tc>
          <w:tcPr>
            <w:tcW w:type="dxa" w:w="1296"/>
            <w:vAlign w:val="center"/>
            <w:shd w:fill="F1F4F6"/>
            <w:tcMar>
              <w:top w:w="85" w:type="dxa"/>
              <w:bottom w:w="85" w:type="dxa"/>
              <w:left w:w="85" w:type="dxa"/>
              <w:right w:w="85" w:type="dxa"/>
            </w:tcMar>
          </w:tcPr>
          <w:p>
            <w:pPr>
              <w:keepNext w:val="0"/>
              <w:spacing w:after="40" w:before="40" w:line="245" w:lineRule="auto"/>
            </w:pPr>
            <w:r>
              <w:rPr>
                <w:b w:val="0"/>
                <w:color w:val="000000"/>
                <w:sz w:val="20"/>
              </w:rPr>
              <w:t>Evolutiva</w:t>
            </w:r>
          </w:p>
        </w:tc>
      </w:tr>
      <w:tr>
        <w:trPr>
          <w:cantSplit/>
        </w:trPr>
        <w:tc>
          <w:tcPr>
            <w:tcW w:type="dxa" w:w="936"/>
            <w:vAlign w:val="center"/>
            <w:shd w:fill="FFFFFF"/>
            <w:tcMar>
              <w:top w:w="85" w:type="dxa"/>
              <w:bottom w:w="85" w:type="dxa"/>
              <w:left w:w="85" w:type="dxa"/>
              <w:right w:w="85" w:type="dxa"/>
            </w:tcMar>
          </w:tcPr>
          <w:p>
            <w:pPr>
              <w:keepNext w:val="0"/>
              <w:spacing w:after="40" w:before="40" w:line="245" w:lineRule="auto"/>
            </w:pPr>
            <w:r>
              <w:rPr>
                <w:b w:val="0"/>
                <w:color w:val="000000"/>
                <w:sz w:val="20"/>
              </w:rPr>
              <w:t>RF11</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Respaldo de archivos y restauración desde el portal.</w:t>
            </w:r>
          </w:p>
        </w:tc>
        <w:tc>
          <w:tcPr>
            <w:tcW w:type="dxa" w:w="1296"/>
            <w:vAlign w:val="center"/>
            <w:shd w:fill="FFFFFF"/>
            <w:tcMar>
              <w:top w:w="85" w:type="dxa"/>
              <w:bottom w:w="85" w:type="dxa"/>
              <w:left w:w="85" w:type="dxa"/>
              <w:right w:w="85" w:type="dxa"/>
            </w:tcMar>
          </w:tcPr>
          <w:p>
            <w:pPr>
              <w:keepNext w:val="0"/>
              <w:spacing w:after="40" w:before="40" w:line="245" w:lineRule="auto"/>
            </w:pPr>
            <w:r>
              <w:rPr>
                <w:b w:val="0"/>
                <w:color w:val="000000"/>
                <w:sz w:val="20"/>
              </w:rPr>
              <w:t>Opcional</w:t>
            </w:r>
          </w:p>
        </w:tc>
      </w:tr>
    </w:tbl>
    <w:p>
      <w:pPr>
        <w:widowControl/>
        <w:spacing w:after="0"/>
      </w:pPr>
    </w:p>
    <w:p>
      <w:pPr>
        <w:pStyle w:val="Heading2"/>
      </w:pPr>
      <w:r>
        <w:t>Límites del alcance</w:t>
      </w:r>
    </w:p>
    <w:p>
      <w:pPr>
        <w:widowControl/>
      </w:pPr>
      <w:r>
        <w:t>El escritorio remoto en Android e iOS queda excluido. La primera versión tampoco incluye un antivirus, un MDM completo, inspección general del contenido de navegación, una pasarela de pago específica ni recuperación instantánea de servidores. La protección de archivos no debe presentarse como recuperación integral de un equipo o como DRaaS.</w:t>
      </w:r>
    </w:p>
    <w:p>
      <w:pPr>
        <w:pStyle w:val="Heading2"/>
      </w:pPr>
      <w:r>
        <w:t>Definiciones operativas</w:t>
      </w:r>
    </w:p>
    <w:p>
      <w:pPr>
        <w:widowControl/>
      </w:pPr>
      <w:r>
        <w:t>Un endpoint es un dispositivo registrado; un gateway conecta su LAN. Un nodo de infraestructura es el host administrado por el proveedor, inicialmente una EC2. Cada empresa tendrá un entorno VPN lógico con red aislada dentro del nodo. Un tenant delimita datos y permisos. Una EC2 es una máquina virtual, no un servidor físico dedicado.</w:t>
      </w:r>
    </w:p>
    <w:p>
      <w:pPr>
        <w:widowControl/>
      </w:pPr>
      <w:r>
        <w:t>Un gateway puede representar muchos dispositivos detrás de él. El número de túneles activos no sirve por sí solo para contar todos los equipos de una empresa ni para facturar inventario final.</w:t>
      </w:r>
    </w:p>
    <w:p>
      <w:r>
        <w:br w:type="page"/>
      </w:r>
    </w:p>
    <w:p>
      <w:pPr>
        <w:pStyle w:val="Heading1"/>
      </w:pPr>
      <w:r>
        <w:t>2 Arquitectura de referencia</w:t>
      </w:r>
    </w:p>
    <w:p>
      <w:pPr>
        <w:widowControl/>
      </w:pPr>
      <w:r>
        <w:t>Se propone un backend modular con base transaccional y trabajadores asíncronos. Los motores de VPN, soporte y futuro respaldo tendrán adaptadores independientes. El cliente universal conservará identidad, registro y actualización comunes; cada módulo tendrá permisos, configuración y estado propios.</w:t>
      </w:r>
    </w:p>
    <w:p>
      <w:r>
        <w:drawing>
          <wp:inline xmlns:a="http://schemas.openxmlformats.org/drawingml/2006/main" xmlns:pic="http://schemas.openxmlformats.org/drawingml/2006/picture">
            <wp:extent cx="6355080" cy="32199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55080" cy="3219907"/>
                    </a:xfrm>
                    <a:prstGeom prst="rect"/>
                  </pic:spPr>
                </pic:pic>
              </a:graphicData>
            </a:graphic>
          </wp:inline>
        </w:drawing>
      </w:r>
    </w:p>
    <w:p>
      <w:pPr>
        <w:pStyle w:val="Caption"/>
        <w:widowControl/>
      </w:pPr>
      <w:r>
        <w:t>Figura 1 Responsabilidades lógicas de la plataforma propuesta</w:t>
      </w:r>
    </w:p>
    <w:p>
      <w:pPr>
        <w:pStyle w:val="Heading2"/>
      </w:pPr>
      <w:r>
        <w:t>Separación de responsabilidades</w:t>
      </w:r>
    </w:p>
    <w:p>
      <w:pPr>
        <w:widowControl/>
      </w:pPr>
      <w:r>
        <w:t>El plano de control mantiene identidad, permisos y configuración deseada. El plano de datos transporta tráfico VPN y sesiones remotas. La telemetría registra estado y consumo. Una caída del portal no debe derribar por sí misma túneles ya establecidos; los nodos conservan la última política válida durante el período definido por la operación.</w:t>
      </w:r>
    </w:p>
    <w:p>
      <w:pPr>
        <w:widowControl/>
      </w:pPr>
      <w:r>
        <w:t>El navegador nunca recibe credenciales administrativas de los nodos ni ejecuta comandos privilegiados. El agente recibe operaciones tipadas y autenticadas, valida su versión y reporta el resultado. Se distinguen solicitud aceptada, configuración aplicada y conectividad observada.</w:t>
      </w:r>
    </w:p>
    <w:p>
      <w:pPr>
        <w:pStyle w:val="Heading2"/>
      </w:pPr>
      <w:r>
        <w:t>Evolución de despliegue</w:t>
      </w:r>
    </w:p>
    <w:p>
      <w:pPr>
        <w:widowControl/>
      </w:pPr>
      <w:r>
        <w:t>El piloto se desplegará en una EC2 nueva. Podrá alojar control y conectividad separados por servicio; cada empresa tendrá un entorno VPN aislado. El servidor OpenVPN actual continuará operativo durante la migración. El crecimiento separará control, nodos y relays. Una sola EC2 no ofrece alta disponibilidad.</w:t>
      </w:r>
    </w:p>
    <w:p>
      <w:r>
        <w:br w:type="page"/>
      </w:r>
    </w:p>
    <w:p>
      <w:pPr>
        <w:pStyle w:val="Heading1"/>
      </w:pPr>
      <w:r>
        <w:t>3 Paneles y permisos</w:t>
      </w:r>
    </w:p>
    <w:p>
      <w:pPr>
        <w:widowControl/>
      </w:pPr>
      <w:r>
        <w:t>El proveedor y cada cliente utilizarán superficies distintas sobre la misma API. El contexto de empresa provendrá de la identidad autenticada y de sus membresías. Toda consulta, exportación, tarea y sesión remota deberá comprobar ese contexto en el servidor.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960"/>
      </w:tblGrid>
      <w:tr>
        <w:trPr>
          <w:cantSplit/>
          <w:tblHeader/>
        </w:trPr>
        <w:tc>
          <w:tcPr>
            <w:tcW w:type="dxa" w:w="2088"/>
            <w:vAlign w:val="center"/>
            <w:shd w:fill="243746"/>
            <w:tcMar>
              <w:top w:w="85" w:type="dxa"/>
              <w:bottom w:w="85" w:type="dxa"/>
              <w:left w:w="85" w:type="dxa"/>
              <w:right w:w="85" w:type="dxa"/>
            </w:tcMar>
          </w:tcPr>
          <w:p>
            <w:pPr>
              <w:keepNext/>
              <w:spacing w:after="40" w:before="40" w:line="245" w:lineRule="auto"/>
            </w:pPr>
            <w:r>
              <w:rPr>
                <w:b/>
                <w:color w:val="FFFFFF"/>
                <w:sz w:val="20"/>
              </w:rPr>
              <w:t>Rol</w:t>
            </w:r>
          </w:p>
        </w:tc>
        <w:tc>
          <w:tcPr>
            <w:tcW w:type="dxa" w:w="4032"/>
            <w:vAlign w:val="center"/>
            <w:shd w:fill="243746"/>
            <w:tcMar>
              <w:top w:w="85" w:type="dxa"/>
              <w:bottom w:w="85" w:type="dxa"/>
              <w:left w:w="85" w:type="dxa"/>
              <w:right w:w="85" w:type="dxa"/>
            </w:tcMar>
          </w:tcPr>
          <w:p>
            <w:pPr>
              <w:keepNext/>
              <w:spacing w:after="40" w:before="40" w:line="245" w:lineRule="auto"/>
            </w:pPr>
            <w:r>
              <w:rPr>
                <w:b/>
                <w:color w:val="FFFFFF"/>
                <w:sz w:val="20"/>
              </w:rPr>
              <w:t>Facultades propuestas</w:t>
            </w:r>
          </w:p>
        </w:tc>
        <w:tc>
          <w:tcPr>
            <w:tcW w:type="dxa" w:w="3960"/>
            <w:vAlign w:val="center"/>
            <w:shd w:fill="243746"/>
            <w:tcMar>
              <w:top w:w="85" w:type="dxa"/>
              <w:bottom w:w="85" w:type="dxa"/>
              <w:left w:w="85" w:type="dxa"/>
              <w:right w:w="85" w:type="dxa"/>
            </w:tcMar>
          </w:tcPr>
          <w:p>
            <w:pPr>
              <w:keepNext/>
              <w:spacing w:after="40" w:before="40" w:line="245" w:lineRule="auto"/>
            </w:pPr>
            <w:r>
              <w:rPr>
                <w:b/>
                <w:color w:val="FFFFFF"/>
                <w:sz w:val="20"/>
              </w:rPr>
              <w:t>Restricción principal</w:t>
            </w:r>
          </w:p>
        </w:tc>
      </w:tr>
      <w:tr>
        <w:trPr>
          <w:cantSplit/>
        </w:trPr>
        <w:tc>
          <w:tcPr>
            <w:tcW w:type="dxa" w:w="2088"/>
            <w:vAlign w:val="center"/>
            <w:shd w:fill="FFFFFF"/>
            <w:tcMar>
              <w:top w:w="85" w:type="dxa"/>
              <w:bottom w:w="85" w:type="dxa"/>
              <w:left w:w="85" w:type="dxa"/>
              <w:right w:w="85" w:type="dxa"/>
            </w:tcMar>
          </w:tcPr>
          <w:p>
            <w:pPr>
              <w:keepNext w:val="0"/>
              <w:spacing w:after="40" w:before="40" w:line="245" w:lineRule="auto"/>
            </w:pPr>
            <w:r>
              <w:rPr>
                <w:b w:val="0"/>
                <w:color w:val="000000"/>
                <w:sz w:val="20"/>
              </w:rPr>
              <w:t>Propietario del proveedor</w:t>
            </w:r>
          </w:p>
        </w:tc>
        <w:tc>
          <w:tcPr>
            <w:tcW w:type="dxa" w:w="4032"/>
            <w:vAlign w:val="center"/>
            <w:shd w:fill="FFFFFF"/>
            <w:tcMar>
              <w:top w:w="85" w:type="dxa"/>
              <w:bottom w:w="85" w:type="dxa"/>
              <w:left w:w="85" w:type="dxa"/>
              <w:right w:w="85" w:type="dxa"/>
            </w:tcMar>
          </w:tcPr>
          <w:p>
            <w:pPr>
              <w:keepNext w:val="0"/>
              <w:spacing w:after="40" w:before="40" w:line="245" w:lineRule="auto"/>
            </w:pPr>
            <w:r>
              <w:rPr>
                <w:b w:val="0"/>
                <w:color w:val="000000"/>
                <w:sz w:val="20"/>
              </w:rPr>
              <w:t>Empresas, planes, nodos y administración de operadores.</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El acceso remoto exige una autorización de soporte vigente.</w:t>
            </w:r>
          </w:p>
        </w:tc>
      </w:tr>
      <w:tr>
        <w:trPr>
          <w:cantSplit/>
        </w:trPr>
        <w:tc>
          <w:tcPr>
            <w:tcW w:type="dxa" w:w="2088"/>
            <w:vAlign w:val="center"/>
            <w:shd w:fill="F1F4F6"/>
            <w:tcMar>
              <w:top w:w="85" w:type="dxa"/>
              <w:bottom w:w="85" w:type="dxa"/>
              <w:left w:w="85" w:type="dxa"/>
              <w:right w:w="85" w:type="dxa"/>
            </w:tcMar>
          </w:tcPr>
          <w:p>
            <w:pPr>
              <w:keepNext w:val="0"/>
              <w:spacing w:after="40" w:before="40" w:line="245" w:lineRule="auto"/>
            </w:pPr>
            <w:r>
              <w:rPr>
                <w:b w:val="0"/>
                <w:color w:val="000000"/>
                <w:sz w:val="20"/>
              </w:rPr>
              <w:t>Operador del proveedor</w:t>
            </w:r>
          </w:p>
        </w:tc>
        <w:tc>
          <w:tcPr>
            <w:tcW w:type="dxa" w:w="4032"/>
            <w:vAlign w:val="center"/>
            <w:shd w:fill="F1F4F6"/>
            <w:tcMar>
              <w:top w:w="85" w:type="dxa"/>
              <w:bottom w:w="85" w:type="dxa"/>
              <w:left w:w="85" w:type="dxa"/>
              <w:right w:w="85" w:type="dxa"/>
            </w:tcMar>
          </w:tcPr>
          <w:p>
            <w:pPr>
              <w:keepNext w:val="0"/>
              <w:spacing w:after="40" w:before="40" w:line="245" w:lineRule="auto"/>
            </w:pPr>
            <w:r>
              <w:rPr>
                <w:b w:val="0"/>
                <w:color w:val="000000"/>
                <w:sz w:val="20"/>
              </w:rPr>
              <w:t>Diagnóstico y soporte sobre clientes asignados.</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Sin acceso general a cobros, claves o empresas no asignadas.</w:t>
            </w:r>
          </w:p>
        </w:tc>
      </w:tr>
      <w:tr>
        <w:trPr>
          <w:cantSplit/>
        </w:trPr>
        <w:tc>
          <w:tcPr>
            <w:tcW w:type="dxa" w:w="2088"/>
            <w:vAlign w:val="center"/>
            <w:shd w:fill="FFFFFF"/>
            <w:tcMar>
              <w:top w:w="85" w:type="dxa"/>
              <w:bottom w:w="85" w:type="dxa"/>
              <w:left w:w="85" w:type="dxa"/>
              <w:right w:w="85" w:type="dxa"/>
            </w:tcMar>
          </w:tcPr>
          <w:p>
            <w:pPr>
              <w:keepNext w:val="0"/>
              <w:spacing w:after="40" w:before="40" w:line="245" w:lineRule="auto"/>
            </w:pPr>
            <w:r>
              <w:rPr>
                <w:b w:val="0"/>
                <w:color w:val="000000"/>
                <w:sz w:val="20"/>
              </w:rPr>
              <w:t>Administrador de empresa</w:t>
            </w:r>
          </w:p>
        </w:tc>
        <w:tc>
          <w:tcPr>
            <w:tcW w:type="dxa" w:w="4032"/>
            <w:vAlign w:val="center"/>
            <w:shd w:fill="FFFFFF"/>
            <w:tcMar>
              <w:top w:w="85" w:type="dxa"/>
              <w:bottom w:w="85" w:type="dxa"/>
              <w:left w:w="85" w:type="dxa"/>
              <w:right w:w="85" w:type="dxa"/>
            </w:tcMar>
          </w:tcPr>
          <w:p>
            <w:pPr>
              <w:keepNext w:val="0"/>
              <w:spacing w:after="40" w:before="40" w:line="245" w:lineRule="auto"/>
            </w:pPr>
            <w:r>
              <w:rPr>
                <w:b w:val="0"/>
                <w:color w:val="000000"/>
                <w:sz w:val="20"/>
              </w:rPr>
              <w:t>Usuarios, equipos, redes y permisos de soporte contratado.</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Sin control de servidores globales ni de otros clientes.</w:t>
            </w:r>
          </w:p>
        </w:tc>
      </w:tr>
      <w:tr>
        <w:trPr>
          <w:cantSplit/>
        </w:trPr>
        <w:tc>
          <w:tcPr>
            <w:tcW w:type="dxa" w:w="2088"/>
            <w:vAlign w:val="center"/>
            <w:shd w:fill="F1F4F6"/>
            <w:tcMar>
              <w:top w:w="85" w:type="dxa"/>
              <w:bottom w:w="85" w:type="dxa"/>
              <w:left w:w="85" w:type="dxa"/>
              <w:right w:w="85" w:type="dxa"/>
            </w:tcMar>
          </w:tcPr>
          <w:p>
            <w:pPr>
              <w:keepNext w:val="0"/>
              <w:spacing w:after="40" w:before="40" w:line="245" w:lineRule="auto"/>
            </w:pPr>
            <w:r>
              <w:rPr>
                <w:b w:val="0"/>
                <w:color w:val="000000"/>
                <w:sz w:val="20"/>
              </w:rPr>
              <w:t>Técnico de empresa</w:t>
            </w:r>
          </w:p>
        </w:tc>
        <w:tc>
          <w:tcPr>
            <w:tcW w:type="dxa" w:w="4032"/>
            <w:vAlign w:val="center"/>
            <w:shd w:fill="F1F4F6"/>
            <w:tcMar>
              <w:top w:w="85" w:type="dxa"/>
              <w:bottom w:w="85" w:type="dxa"/>
              <w:left w:w="85" w:type="dxa"/>
              <w:right w:w="85" w:type="dxa"/>
            </w:tcMar>
          </w:tcPr>
          <w:p>
            <w:pPr>
              <w:keepNext w:val="0"/>
              <w:spacing w:after="40" w:before="40" w:line="245" w:lineRule="auto"/>
            </w:pPr>
            <w:r>
              <w:rPr>
                <w:b w:val="0"/>
                <w:color w:val="000000"/>
                <w:sz w:val="20"/>
              </w:rPr>
              <w:t>Registro de equipos, políticas delegadas y soporte de su empresa.</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Acceso delimitado por equipos y acciones.</w:t>
            </w:r>
          </w:p>
        </w:tc>
      </w:tr>
      <w:tr>
        <w:trPr>
          <w:cantSplit/>
        </w:trPr>
        <w:tc>
          <w:tcPr>
            <w:tcW w:type="dxa" w:w="2088"/>
            <w:vAlign w:val="center"/>
            <w:shd w:fill="FFFFFF"/>
            <w:tcMar>
              <w:top w:w="85" w:type="dxa"/>
              <w:bottom w:w="85" w:type="dxa"/>
              <w:left w:w="85" w:type="dxa"/>
              <w:right w:w="85" w:type="dxa"/>
            </w:tcMar>
          </w:tcPr>
          <w:p>
            <w:pPr>
              <w:keepNext w:val="0"/>
              <w:spacing w:after="40" w:before="40" w:line="245" w:lineRule="auto"/>
            </w:pPr>
            <w:r>
              <w:rPr>
                <w:b w:val="0"/>
                <w:color w:val="000000"/>
                <w:sz w:val="20"/>
              </w:rPr>
              <w:t>Auditor de empresa</w:t>
            </w:r>
          </w:p>
        </w:tc>
        <w:tc>
          <w:tcPr>
            <w:tcW w:type="dxa" w:w="4032"/>
            <w:vAlign w:val="center"/>
            <w:shd w:fill="FFFFFF"/>
            <w:tcMar>
              <w:top w:w="85" w:type="dxa"/>
              <w:bottom w:w="85" w:type="dxa"/>
              <w:left w:w="85" w:type="dxa"/>
              <w:right w:w="85" w:type="dxa"/>
            </w:tcMar>
          </w:tcPr>
          <w:p>
            <w:pPr>
              <w:keepNext w:val="0"/>
              <w:spacing w:after="40" w:before="40" w:line="245" w:lineRule="auto"/>
            </w:pPr>
            <w:r>
              <w:rPr>
                <w:b w:val="0"/>
                <w:color w:val="000000"/>
                <w:sz w:val="20"/>
              </w:rPr>
              <w:t>Lectura de reportes y eventos.</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Sin cambios de configuración ni control remoto.</w:t>
            </w:r>
          </w:p>
        </w:tc>
      </w:tr>
      <w:tr>
        <w:trPr>
          <w:cantSplit/>
        </w:trPr>
        <w:tc>
          <w:tcPr>
            <w:tcW w:type="dxa" w:w="2088"/>
            <w:vAlign w:val="center"/>
            <w:shd w:fill="F1F4F6"/>
            <w:tcMar>
              <w:top w:w="85" w:type="dxa"/>
              <w:bottom w:w="85" w:type="dxa"/>
              <w:left w:w="85" w:type="dxa"/>
              <w:right w:w="85" w:type="dxa"/>
            </w:tcMar>
          </w:tcPr>
          <w:p>
            <w:pPr>
              <w:keepNext w:val="0"/>
              <w:spacing w:after="40" w:before="40" w:line="245" w:lineRule="auto"/>
            </w:pPr>
            <w:r>
              <w:rPr>
                <w:b w:val="0"/>
                <w:color w:val="000000"/>
                <w:sz w:val="20"/>
              </w:rPr>
              <w:t>Usuario final</w:t>
            </w:r>
          </w:p>
        </w:tc>
        <w:tc>
          <w:tcPr>
            <w:tcW w:type="dxa" w:w="4032"/>
            <w:vAlign w:val="center"/>
            <w:shd w:fill="F1F4F6"/>
            <w:tcMar>
              <w:top w:w="85" w:type="dxa"/>
              <w:bottom w:w="85" w:type="dxa"/>
              <w:left w:w="85" w:type="dxa"/>
              <w:right w:w="85" w:type="dxa"/>
            </w:tcMar>
          </w:tcPr>
          <w:p>
            <w:pPr>
              <w:keepNext w:val="0"/>
              <w:spacing w:after="40" w:before="40" w:line="245" w:lineRule="auto"/>
            </w:pPr>
            <w:r>
              <w:rPr>
                <w:b w:val="0"/>
                <w:color w:val="000000"/>
                <w:sz w:val="20"/>
              </w:rPr>
              <w:t>Su equipo, conexión y solicitud de ayuda.</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Sin administración de redes ni de otros endpoints.</w:t>
            </w:r>
          </w:p>
        </w:tc>
      </w:tr>
    </w:tbl>
    <w:p>
      <w:pPr>
        <w:widowControl/>
        <w:spacing w:after="0"/>
      </w:pPr>
    </w:p>
    <w:p>
      <w:pPr>
        <w:pStyle w:val="Heading2"/>
      </w:pPr>
      <w:r>
        <w:t>Autoservicio del cliente</w:t>
      </w:r>
    </w:p>
    <w:p>
      <w:pPr>
        <w:widowControl/>
      </w:pPr>
      <w:r>
        <w:t>El portal permitirá a la empresa administrar infraestructura, suscripción y reportes, registrar equipos y delegar permisos. Con el adicional de escritorio remoto contratado, sus técnicos podrán iniciar sesiones sobre equipos autorizados, consultar su historial y gestionar acceso asistido o desatendido. El acceso del proveedor se autoriza por separado.</w:t>
      </w:r>
    </w:p>
    <w:p>
      <w:pPr>
        <w:pStyle w:val="Heading2"/>
      </w:pPr>
      <w:r>
        <w:t>Acceso de soporte del proveedor</w:t>
      </w:r>
    </w:p>
    <w:p>
      <w:pPr>
        <w:widowControl/>
      </w:pPr>
      <w:r>
        <w:t>La pertenencia al proveedor no concede control remoto implícito sobre todos los equipos. Se registrará una autorización por empresa con alcance, modalidad, vigencia y responsable. Las sesiones asistidas pedirán aceptación local; las desatendidas requerirán una política previa de la empresa y permisos del sistema operativo.</w:t>
      </w:r>
    </w:p>
    <w:p>
      <w:pPr>
        <w:widowControl/>
      </w:pPr>
      <w:r>
        <w:t>Los permisos se expresarán por recurso y acción, por ejemplo endpoint.create, network.update, support.start y report.export. La API comprobará pertenencia, rol, grupo y capacidad contratada. Los nombres son contratos propuestos y no rutas existentes.</w:t>
      </w:r>
    </w:p>
    <w:p>
      <w:r>
        <w:br w:type="page"/>
      </w:r>
    </w:p>
    <w:p>
      <w:pPr>
        <w:pStyle w:val="Heading1"/>
      </w:pPr>
      <w:r>
        <w:t>4 Modelo de información</w:t>
      </w:r>
    </w:p>
    <w:p>
      <w:pPr>
        <w:widowControl/>
      </w:pPr>
      <w:r>
        <w:t>Se propone una base relacional para el estado comercial y la configuración. El esquema debe preservar las relaciones de empresa incluso cuando una tarea se ejecuta fuera de la petición web. Las siguientes entidades son un modelo conceptual inicial.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shd w:fill="243746"/>
            <w:tcMar>
              <w:top w:w="85" w:type="dxa"/>
              <w:bottom w:w="85" w:type="dxa"/>
              <w:left w:w="85" w:type="dxa"/>
              <w:right w:w="85" w:type="dxa"/>
            </w:tcMar>
          </w:tcPr>
          <w:p>
            <w:pPr>
              <w:keepNext/>
              <w:spacing w:after="40" w:before="40" w:line="245" w:lineRule="auto"/>
            </w:pPr>
            <w:r>
              <w:rPr>
                <w:b/>
                <w:color w:val="FFFFFF"/>
                <w:sz w:val="20"/>
              </w:rPr>
              <w:t>Entidad</w:t>
            </w:r>
          </w:p>
        </w:tc>
        <w:tc>
          <w:tcPr>
            <w:tcW w:type="dxa" w:w="7704"/>
            <w:vAlign w:val="center"/>
            <w:shd w:fill="243746"/>
            <w:tcMar>
              <w:top w:w="85" w:type="dxa"/>
              <w:bottom w:w="85" w:type="dxa"/>
              <w:left w:w="85" w:type="dxa"/>
              <w:right w:w="85" w:type="dxa"/>
            </w:tcMar>
          </w:tcPr>
          <w:p>
            <w:pPr>
              <w:keepNext/>
              <w:spacing w:after="40" w:before="40" w:line="245" w:lineRule="auto"/>
            </w:pPr>
            <w:r>
              <w:rPr>
                <w:b/>
                <w:color w:val="FFFFFF"/>
                <w:sz w:val="20"/>
              </w:rPr>
              <w:t>Relación y propósito</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Tenant y Membership</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Empresa, personas y roles. Una persona puede tener membresías explícitas en varias empresas.</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Plan y Subscription</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Catálogo, capacidades por servicio, cuotas, vigencias y excepciones.</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Site y Network</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Sucursal, CIDR, dominio de enrutamiento, DNS y gateway responsable.</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Endpoint y Enrollment</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Identidad común del equipo, invitación y estado por módulo.</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Credential y Tunnel</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Certificados o claves públicas, protocolo y entorno VPN de la empresa.</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Policy y Assignment</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Reglas versionadas y asignaciones a usuarios, equipos o redes.</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Node y TenantEnvironment</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Host del proveedor y entorno por empresa: namespace, motor, puerto y revisión aplicada.</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Operation y AgentAck</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Cambio solicitado, ejecución, reintentos y confirmación de la revisión aplicada.</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SupportSession</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Participantes, autorización, modalidad, inicio, fin y resultado.</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UsageSample y AuditEvent</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Métricas, calidad de medición y eventos administrativos.</w:t>
            </w:r>
          </w:p>
        </w:tc>
      </w:tr>
    </w:tbl>
    <w:p>
      <w:pPr>
        <w:widowControl/>
        <w:spacing w:after="0"/>
      </w:pPr>
    </w:p>
    <w:p>
      <w:pPr>
        <w:pStyle w:val="Heading2"/>
      </w:pPr>
      <w:r>
        <w:t>Integridad y separación</w:t>
      </w:r>
    </w:p>
    <w:p>
      <w:pPr>
        <w:widowControl/>
      </w:pPr>
      <w:r>
        <w:t>Cada entidad de cliente llevará tenant_id. Las claves foráneas compuestas o controles equivalentes impedirán asociar una red de una empresa a un endpoint de otra. Las restricciones de unicidad usarán el ámbito correcto: el CIDR puede repetirse entre empresas aisladas, pero no generar rutas ambiguas dentro de un mismo dominio.</w:t>
      </w:r>
    </w:p>
    <w:p>
      <w:pPr>
        <w:widowControl/>
      </w:pPr>
      <w:r>
        <w:t>Las claves privadas no se guardarán como texto en tablas de inventario ni en registros de tareas. Se almacenarán referencias a secretos cuando el servidor deba custodiarlos. La identidad del endpoint se separará de su hostname, dirección IP o MAC, que pueden cambiar.</w:t>
      </w:r>
    </w:p>
    <w:p>
      <w:pPr>
        <w:pStyle w:val="Heading2"/>
      </w:pPr>
      <w:r>
        <w:t>Historial</w:t>
      </w:r>
    </w:p>
    <w:p>
      <w:pPr>
        <w:widowControl/>
      </w:pPr>
      <w:r>
        <w:t>Planes, capacidades contratadas y asignaciones conservarán revisión y vigencia. Cada endpoint registrará módulos disponibles, habilitados y efectivamente operativos. Activar una función conservará su identidad e historial; la baja lógica seguirá la política de retención de cada servicio.</w:t>
      </w:r>
    </w:p>
    <w:p>
      <w:r>
        <w:br w:type="page"/>
      </w:r>
    </w:p>
    <w:p>
      <w:pPr>
        <w:pStyle w:val="Heading1"/>
      </w:pPr>
      <w:r>
        <w:t>5 Registro y ciclo de vida de endpoints</w:t>
      </w:r>
    </w:p>
    <w:p>
      <w:pPr>
        <w:widowControl/>
      </w:pPr>
      <w:r>
        <w:t>El registro incorporará equipos con un único instalador por plataforma y versión. La empresa se asignará mediante una invitación. Agregar VPN, soporte o respaldo al contrato no exigirá otro cliente, reinstalación manual ni un nuevo registro del endpoint.</w:t>
      </w:r>
    </w:p>
    <w:p>
      <w:pPr>
        <w:pStyle w:val="Heading2"/>
      </w:pPr>
      <w:r>
        <w:t>Secuencia de incorporación</w:t>
      </w:r>
    </w:p>
    <w:p>
      <w:pPr>
        <w:pStyle w:val="ListBullet"/>
        <w:widowControl/>
      </w:pPr>
      <w:r>
        <w:t>El administrador crea una invitación para una empresa, sucursal y grupo. Selecciona las capacidades y el sistema operativo permitido.</w:t>
      </w:r>
    </w:p>
    <w:p>
      <w:pPr>
        <w:pStyle w:val="ListBullet"/>
        <w:widowControl/>
      </w:pPr>
      <w:r>
        <w:t>La API reserva cupo dentro del plan y emite un token de registro con caducidad y límite de usos. En instalaciones individuales será de un solo uso.</w:t>
      </w:r>
    </w:p>
    <w:p>
      <w:pPr>
        <w:pStyle w:val="ListBullet"/>
        <w:widowControl/>
      </w:pPr>
      <w:r>
        <w:t>El agente genera localmente su identidad y claves. Envía el token y la prueba de posesión de la clave mediante el canal autenticado.</w:t>
      </w:r>
    </w:p>
    <w:p>
      <w:pPr>
        <w:pStyle w:val="ListBullet"/>
        <w:widowControl/>
      </w:pPr>
      <w:r>
        <w:t>El servidor consume el token de forma atómica, valida el cupo y registra un identificador inmutable. Un reintento debe devolver el mismo resultado lógico.</w:t>
      </w:r>
    </w:p>
    <w:p>
      <w:pPr>
        <w:pStyle w:val="ListBullet"/>
        <w:widowControl/>
      </w:pPr>
      <w:r>
        <w:t>El agente recibe las capacidades autorizadas y la configuración de cada módulo. Sólo provisiona credenciales VPN si ese servicio está habilitado. Reporta disponibilidad y aplicación por módulo antes de mostrarlo como operativo.</w:t>
      </w:r>
    </w:p>
    <w:p>
      <w:pPr>
        <w:pStyle w:val="Heading2"/>
      </w:pPr>
      <w:r>
        <w:t>Credenciales y recuperación</w:t>
      </w:r>
    </w:p>
    <w:p>
      <w:pPr>
        <w:widowControl/>
      </w:pPr>
      <w:r>
        <w:t>Para OpenVPN, la opción preferida es generar la clave privada en el dispositivo y tramitar una solicitud de certificado. Para WireGuard, el agente comparte su clave pública. La aplicación visible usa un canal local restringido para solicitar acciones al servicio. Los tokens de registro se almacenan mediante una representación no reversible y nunca aparecen completos en logs.</w:t>
      </w:r>
    </w:p>
    <w:p>
      <w:pPr>
        <w:widowControl/>
      </w:pPr>
      <w:r>
        <w:t>Un equipo reinstalado recibe una identidad nueva o sigue un proceso explícito de recuperación. Se revoca la credencial anterior y se verifica la reasignación. Las plantillas de VM y las imágenes de sistema deben distribuirse sin una identidad ya registrada para evitar equipos clonados con las mismas claves.</w:t>
      </w:r>
    </w:p>
    <w:p>
      <w:pPr>
        <w:pStyle w:val="Heading2"/>
      </w:pPr>
      <w:r>
        <w:t>Estados</w:t>
      </w:r>
    </w:p>
    <w:p>
      <w:pPr>
        <w:widowControl/>
      </w:pPr>
      <w:r>
        <w:t>El ciclo propuesto es invitado, pendiente, activo, suspendido y retirado. Los estados de conexión son independientes. Retirar un endpoint revoca credenciales, elimina asignaciones activas y conserva el historial según la política de retención. La suspensión puede revertirse sin reutilizar una credencial comprometida.</w:t>
      </w:r>
    </w:p>
    <w:p>
      <w:pPr>
        <w:widowControl/>
      </w:pPr>
      <w:r>
        <w:t>Se probarán expiración, repetición de token, dos registros simultáneos por el último cupo, pérdida de red y recuperación después de reiniciar el servicio.</w:t>
      </w:r>
    </w:p>
    <w:p>
      <w:r>
        <w:br w:type="page"/>
      </w:r>
    </w:p>
    <w:p>
      <w:pPr>
        <w:pStyle w:val="Heading1"/>
      </w:pPr>
      <w:r>
        <w:t>6 Conectividad y aislamiento de redes</w:t>
      </w:r>
    </w:p>
    <w:p>
      <w:pPr>
        <w:widowControl/>
      </w:pPr>
      <w:r>
        <w:t>La VPN servirá exclusivamente para interconectar redes y permitir acceso a recursos privados autorizados desde endpoints. La topología inicial utilizará gateways centrales y rutas explícitas. OpenVPN conservará compatibilidad con los clientes actuales y WireGuard se integrará mediante un adaptador independiente.</w:t>
      </w:r>
    </w:p>
    <w:p>
      <w:pPr>
        <w:pStyle w:val="Heading2"/>
      </w:pPr>
      <w:r>
        <w:t>Integración con los motores</w:t>
      </w:r>
    </w:p>
    <w:p>
      <w:pPr>
        <w:widowControl/>
      </w:pPr>
      <w:r>
        <w:t>OpenVPN ofrece una interfaz de administración para estado, contadores y desconexión de clientes. Se expondrá únicamente mediante socket local o un canal local restringido. Las configuraciones específicas de gateway utilizarán los mecanismos documentados de rutas y client-config-dir cuando correspondan. [S01] [S02]</w:t>
      </w:r>
    </w:p>
    <w:p>
      <w:pPr>
        <w:widowControl/>
      </w:pPr>
      <w:r>
        <w:t>El adaptador de WireGuard administrará peers y claves públicas mediante las herramientas o bibliotecas de la plataforma. AllowedIPs relaciona prefijos con peers; las rutas del sistema y las reglas de firewall deberán mantenerse coherentes. Ninguno de estos elementos sustituye por sí solo al modelo de autorización del producto. [S03] [S04]</w:t>
      </w:r>
    </w:p>
    <w:p>
      <w:pPr>
        <w:pStyle w:val="Heading2"/>
      </w:pPr>
      <w:r>
        <w:t>Frontera por empresa</w:t>
      </w:r>
    </w:p>
    <w:p>
      <w:pPr>
        <w:widowControl/>
      </w:pPr>
      <w:r>
        <w:t>La base del piloto será una EC2 nueva con un namespace de red por empresa y servicios VPN independientes. Se separarán interfaces, rutas y firewall, además de credenciales y archivos. Los namespaces aíslan recursos de red; los procesos y recursos requieren controles adicionales. No equivalen a una EC2 dedicada. Las secciones 20 a 23 especifican despliegue y pruebas. [S17]</w:t>
      </w:r>
    </w:p>
    <w:p>
      <w:pPr>
        <w:widowControl/>
      </w:pPr>
      <w:r>
        <w:t>Ejemplo: Empresa A y Empresa B pueden publicar 192.168.1.0/24 únicamente dentro de sus respectivos dominios. Si un técnico necesita atender ambas, deberá seleccionar un contexto o utilizar destinos traducidos definidos explícitamente. El cliente no instalará dos rutas idénticas con resultados ambiguos.</w:t>
      </w:r>
    </w:p>
    <w:p>
      <w:pPr>
        <w:pStyle w:val="Heading2"/>
      </w:pPr>
      <w:r>
        <w:t>Políticas de acceso</w:t>
      </w:r>
    </w:p>
    <w:p>
      <w:pPr>
        <w:widowControl/>
      </w:pPr>
      <w:r>
        <w:t>La base será denegar comunicaciones no autorizadas y permitir recursos por origen, destino, protocolo y puerto. Las rutas publicadas por una sucursal deberán pertenecer a redes aprobadas. Se validarán accesos en ambos sentidos, DNS privado, tráfico IPv6 y las rutas de retorno; asignar IP VPN distintas no demuestra aislamiento.</w:t>
      </w:r>
    </w:p>
    <w:p>
      <w:pPr>
        <w:widowControl/>
      </w:pPr>
      <w:r>
        <w:t>La VPN no ofrecerá salida a Internet. Se conservará la ruta predeterminada local y se permitirán únicamente prefijos privados autorizados. API y agentes rechazarán rutas por defecto y agregados que pretendan sustituirlas, tanto IPv4 como IPv6. Los gateways bloquearán tránsito hacia destinos no autorizados; el SNAT, si se necesita, se limitará al acceso a las redes privadas.</w:t>
      </w:r>
    </w:p>
    <w:p>
      <w:r>
        <w:br w:type="page"/>
      </w:r>
    </w:p>
    <w:p>
      <w:pPr>
        <w:pStyle w:val="Heading1"/>
      </w:pPr>
      <w:r>
        <w:t>7 Conexiones directas y rendimiento</w:t>
      </w:r>
    </w:p>
    <w:p>
      <w:pPr>
        <w:widowControl/>
      </w:pPr>
      <w:r>
        <w:t>La experiencia tipo NetBird requiere una capa de coordinación adicional al túnel. WireGuard deja la distribución de claves y la configuración a otros componentes. Nexo deberá resolver identidad, descubrimiento de endpoints, publicación de políticas, establecimiento de conexiones y recuperación de cambios de red. [S03]</w:t>
      </w:r>
    </w:p>
    <w:p>
      <w:pPr>
        <w:pStyle w:val="Heading2"/>
      </w:pPr>
      <w:r>
        <w:t>Evolución hacia una malla controlada</w:t>
      </w:r>
    </w:p>
    <w:p>
      <w:pPr>
        <w:pStyle w:val="ListBullet"/>
        <w:widowControl/>
      </w:pPr>
      <w:r>
        <w:t>Primera etapa: conectividad mediante gateways conocidos, métricas y políticas estables.</w:t>
      </w:r>
    </w:p>
    <w:p>
      <w:pPr>
        <w:pStyle w:val="ListBullet"/>
        <w:widowControl/>
      </w:pPr>
      <w:r>
        <w:t>Segunda etapa: intercambio autenticado de candidatos de conexión entre peers autorizados y prueba de establecimiento directo.</w:t>
      </w:r>
    </w:p>
    <w:p>
      <w:pPr>
        <w:pStyle w:val="ListBullet"/>
        <w:widowControl/>
      </w:pPr>
      <w:r>
        <w:t>Tercera etapa: relay compatible con el transporte elegido cuando NAT o firewall impidan una conexión directa, con límites y medición de uso.</w:t>
      </w:r>
    </w:p>
    <w:p>
      <w:pPr>
        <w:widowControl/>
      </w:pPr>
      <w:r>
        <w:t>El protocolo de relay VPN debe elegirse y probarse. Un servidor STUN ayuda a descubrir direcciones; no transporta por sí mismo el tráfico. Un relay de soporte remoto tampoco funciona automáticamente como relay WireGuard. La selección deberá cubrir redes con CGNAT, NAT restrictivo, UDP bloqueado y cambios entre interfaces.</w:t>
      </w:r>
    </w:p>
    <w:p>
      <w:pPr>
        <w:pStyle w:val="Heading2"/>
      </w:pPr>
      <w:r>
        <w:t>Aplicación de políticas y revocación</w:t>
      </w:r>
    </w:p>
    <w:p>
      <w:pPr>
        <w:widowControl/>
      </w:pPr>
      <w:r>
        <w:t>Las conexiones directas seguirán sujetas a las políticas de empresa. Los agentes recibirán revisiones con vigencia y eliminarán peers que pierdan autorización. Se definirán tiempos máximos de aplicación y comportamiento al perder el plano de control. No se prometerá revocación instantánea de un equipo que está desconectado del control sin un mecanismo de expiración local.</w:t>
      </w:r>
    </w:p>
    <w:p>
      <w:pPr>
        <w:pStyle w:val="Heading2"/>
      </w:pPr>
      <w:r>
        <w:t>Método de evaluación</w:t>
      </w:r>
    </w:p>
    <w:p>
      <w:pPr>
        <w:widowControl/>
      </w:pPr>
      <w:r>
        <w:t>La comparación medirá OpenVPN UDP actual, OpenVPN con DCO cuando sea compatible y WireGuard con la misma infraestructura y carga. DCO requiere versiones, kernel y configuración compatibles; su disponibilidad se verificará antes de activarlo. [S02]</w:t>
      </w:r>
    </w:p>
    <w:p>
      <w:pPr>
        <w:widowControl/>
      </w:pPr>
      <w:r>
        <w:t>Se registrarán transferencia útil, latencia, pérdida, CPU, memoria, reconexión y efecto de sesiones simultáneas. Las pruebas se repetirán por ruta directa y retransmitida. Se incluirán transferencias de archivos y aplicaciones reales; un único resultado de velocidad no representa toda la experiencia.</w:t>
      </w:r>
    </w:p>
    <w:p>
      <w:pPr>
        <w:widowControl/>
      </w:pPr>
      <w:r>
        <w:t>La región AWS, la distancia entre sucursales, la capacidad de sus enlaces y los límites de la instancia pueden dominar el resultado. El rendimiento de red de EC2 depende del tipo de instancia y otras condiciones documentadas. [S10] No se fija una mejora porcentual antes de medir la línea base.</w:t>
      </w:r>
    </w:p>
    <w:p>
      <w:r>
        <w:br w:type="page"/>
      </w:r>
    </w:p>
    <w:p>
      <w:pPr>
        <w:pStyle w:val="Heading1"/>
      </w:pPr>
      <w:r>
        <w:t>8 Soporte remoto de escritorio</w:t>
      </w:r>
    </w:p>
    <w:p>
      <w:pPr>
        <w:widowControl/>
      </w:pPr>
      <w:r>
        <w:t>La empresa podrá contratar escritorio remoto como adicional a VPN o respaldos para que sus propios técnicos atiendan equipos autorizados. Operará en Windows, macOS y Linux según compatibilidad, sin exigir un túnel VPN activo. Android e iOS quedan excluidos del control de pantalla. El proveedor sólo accederá con autorización específica.</w:t>
      </w:r>
    </w:p>
    <w:p>
      <w:pPr>
        <w:pStyle w:val="Heading2"/>
      </w:pPr>
      <w:r>
        <w:t>Motor candidato</w:t>
      </w:r>
    </w:p>
    <w:p>
      <w:pPr>
        <w:widowControl/>
      </w:pPr>
      <w:r>
        <w:t>MeshCentral y MeshAgent son candidatos para escritorio, terminal y archivos. La documentación permite integrar funciones remotas en otro portal mediante sesiones autenticadas. Nexo mantendrá el control de las empresas y permisos; la integración mapeará cada identidad al alcance equivalente del motor remoto. [S05] [S06]</w:t>
      </w:r>
    </w:p>
    <w:p>
      <w:pPr>
        <w:widowControl/>
      </w:pPr>
      <w:r>
        <w:t>La prueba debe confirmar aislamiento de dominios y grupos, emisión de sesiones con mínimo privilegio, revocación y mantenimiento. No se utilizará una cuenta administrativa compartida para todas las sesiones del portal. Ocultar opciones en una vista embebida no sustituye la autorización en el servidor.</w:t>
      </w:r>
    </w:p>
    <w:p>
      <w:pPr>
        <w:pStyle w:val="Heading2"/>
      </w:pPr>
      <w:r>
        <w:t>Flujo de una sesión</w:t>
      </w:r>
    </w:p>
    <w:p>
      <w:pPr>
        <w:pStyle w:val="ListBullet"/>
        <w:widowControl/>
      </w:pPr>
      <w:r>
        <w:t>El técnico de la empresa o del proveedor autorizado selecciona el equipo. La API valida empresa, rol, alcance, adicional contratado y autorización de soporte.</w:t>
      </w:r>
    </w:p>
    <w:p>
      <w:pPr>
        <w:pStyle w:val="ListBullet"/>
        <w:widowControl/>
      </w:pPr>
      <w:r>
        <w:t>En modo asistido, el usuario acepta y ve quién se conectará. En modo desatendido se aplica una política previamente habilitada por la empresa.</w:t>
      </w:r>
    </w:p>
    <w:p>
      <w:pPr>
        <w:pStyle w:val="ListBullet"/>
        <w:widowControl/>
      </w:pPr>
      <w:r>
        <w:t>Se emite una autorización temporal para la sesión, con permisos separados de escritorio, archivos, portapapeles y terminal.</w:t>
      </w:r>
    </w:p>
    <w:p>
      <w:pPr>
        <w:pStyle w:val="ListBullet"/>
        <w:widowControl/>
      </w:pPr>
      <w:r>
        <w:t>La sesión muestra estado, permite terminar y registra participantes, inicio, fin y resultado. Una revocación activa debe cerrar el acceso correspondiente.</w:t>
      </w:r>
    </w:p>
    <w:p>
      <w:pPr>
        <w:pStyle w:val="Heading2"/>
      </w:pPr>
      <w:r>
        <w:t>Pruebas específicas y transporte</w:t>
      </w:r>
    </w:p>
    <w:p>
      <w:pPr>
        <w:widowControl/>
      </w:pPr>
      <w:r>
        <w:t>Se verificarán varios monitores, bloqueo de sesión, elevación UAC en Windows, permisos de captura y accesibilidad en macOS, y diferencias entre X11 y Wayland en Linux. Las capacidades se publicarán sólo después de probar versiones concretas.</w:t>
      </w:r>
    </w:p>
    <w:p>
      <w:pPr>
        <w:widowControl/>
      </w:pPr>
      <w:r>
        <w:t>MeshCentral documenta conexiones mediante relay WebSocket y una posible transición a WebRTC directo. En el modo relay descrito, el servidor termina y vuelve a cifrar TLS, por lo que no se debe afirmar cifrado extremo a extremo en todos los modos. La operación y la comunicación comercial deberán reflejar la implementación elegida. [S07]</w:t>
      </w:r>
    </w:p>
    <w:p>
      <w:pPr>
        <w:widowControl/>
      </w:pPr>
      <w:r>
        <w:t>La grabación de sesiones será una capacidad posterior con retención y permisos propios. La primera entrega conservará eventos y metadatos suficientes para auditoría, sin registrar secretos ni contenido de pantalla por defecto.</w:t>
      </w:r>
    </w:p>
    <w:p>
      <w:r>
        <w:br w:type="page"/>
      </w:r>
    </w:p>
    <w:p>
      <w:pPr>
        <w:pStyle w:val="Heading1"/>
      </w:pPr>
      <w:r>
        <w:t>9 Cliente universal y distribución</w:t>
      </w:r>
    </w:p>
    <w:p>
      <w:pPr>
        <w:widowControl/>
      </w:pPr>
      <w:r>
        <w:t>Nexo tendrá un único cliente y registro por dispositivo. Sus módulos VPN, soporte y futuro backup se activarán según suscripción y permisos. Universal significa un producto común con paquetes por sistema y arquitectura; no un mismo binario para todos los sistemas. La interfaz mostrará estado independiente por función.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600"/>
        <w:gridCol w:w="4824"/>
      </w:tblGrid>
      <w:tr>
        <w:trPr>
          <w:cantSplit/>
          <w:tblHeader/>
        </w:trPr>
        <w:tc>
          <w:tcPr>
            <w:tcW w:type="dxa" w:w="1656"/>
            <w:vAlign w:val="center"/>
            <w:shd w:fill="243746"/>
            <w:tcMar>
              <w:top w:w="85" w:type="dxa"/>
              <w:bottom w:w="85" w:type="dxa"/>
              <w:left w:w="85" w:type="dxa"/>
              <w:right w:w="85" w:type="dxa"/>
            </w:tcMar>
          </w:tcPr>
          <w:p>
            <w:pPr>
              <w:keepNext/>
              <w:spacing w:after="40" w:before="40" w:line="245" w:lineRule="auto"/>
            </w:pPr>
            <w:r>
              <w:rPr>
                <w:b/>
                <w:color w:val="FFFFFF"/>
                <w:sz w:val="20"/>
              </w:rPr>
              <w:t>Plataforma</w:t>
            </w:r>
          </w:p>
        </w:tc>
        <w:tc>
          <w:tcPr>
            <w:tcW w:type="dxa" w:w="3600"/>
            <w:vAlign w:val="center"/>
            <w:shd w:fill="243746"/>
            <w:tcMar>
              <w:top w:w="85" w:type="dxa"/>
              <w:bottom w:w="85" w:type="dxa"/>
              <w:left w:w="85" w:type="dxa"/>
              <w:right w:w="85" w:type="dxa"/>
            </w:tcMar>
          </w:tcPr>
          <w:p>
            <w:pPr>
              <w:keepNext/>
              <w:spacing w:after="40" w:before="40" w:line="245" w:lineRule="auto"/>
            </w:pPr>
            <w:r>
              <w:rPr>
                <w:b/>
                <w:color w:val="FFFFFF"/>
                <w:sz w:val="20"/>
              </w:rPr>
              <w:t>Objetivo</w:t>
            </w:r>
          </w:p>
        </w:tc>
        <w:tc>
          <w:tcPr>
            <w:tcW w:type="dxa" w:w="4824"/>
            <w:vAlign w:val="center"/>
            <w:shd w:fill="243746"/>
            <w:tcMar>
              <w:top w:w="85" w:type="dxa"/>
              <w:bottom w:w="85" w:type="dxa"/>
              <w:left w:w="85" w:type="dxa"/>
              <w:right w:w="85" w:type="dxa"/>
            </w:tcMar>
          </w:tcPr>
          <w:p>
            <w:pPr>
              <w:keepNext/>
              <w:spacing w:after="40" w:before="40" w:line="245" w:lineRule="auto"/>
            </w:pPr>
            <w:r>
              <w:rPr>
                <w:b/>
                <w:color w:val="FFFFFF"/>
                <w:sz w:val="20"/>
              </w:rPr>
              <w:t>Condición de entrega</w:t>
            </w:r>
          </w:p>
        </w:tc>
      </w:tr>
      <w:tr>
        <w:trPr>
          <w:cantSplit/>
        </w:trPr>
        <w:tc>
          <w:tcPr>
            <w:tcW w:type="dxa" w:w="1656"/>
            <w:vAlign w:val="center"/>
            <w:shd w:fill="FFFFFF"/>
            <w:tcMar>
              <w:top w:w="85" w:type="dxa"/>
              <w:bottom w:w="85" w:type="dxa"/>
              <w:left w:w="85" w:type="dxa"/>
              <w:right w:w="85" w:type="dxa"/>
            </w:tcMar>
          </w:tcPr>
          <w:p>
            <w:pPr>
              <w:keepNext w:val="0"/>
              <w:spacing w:after="40" w:before="40" w:line="245" w:lineRule="auto"/>
            </w:pPr>
            <w:r>
              <w:rPr>
                <w:b w:val="0"/>
                <w:color w:val="000000"/>
                <w:sz w:val="20"/>
              </w:rPr>
              <w:t>Windows</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Cliente universal: VPN y remoto; backup posterior.</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Instalación, servicio, firewall, reconexión y actualización probados.</w:t>
            </w:r>
          </w:p>
        </w:tc>
      </w:tr>
      <w:tr>
        <w:trPr>
          <w:cantSplit/>
        </w:trPr>
        <w:tc>
          <w:tcPr>
            <w:tcW w:type="dxa" w:w="1656"/>
            <w:vAlign w:val="center"/>
            <w:shd w:fill="F1F4F6"/>
            <w:tcMar>
              <w:top w:w="85" w:type="dxa"/>
              <w:bottom w:w="85" w:type="dxa"/>
              <w:left w:w="85" w:type="dxa"/>
              <w:right w:w="85" w:type="dxa"/>
            </w:tcMar>
          </w:tcPr>
          <w:p>
            <w:pPr>
              <w:keepNext w:val="0"/>
              <w:spacing w:after="40" w:before="40" w:line="245" w:lineRule="auto"/>
            </w:pPr>
            <w:r>
              <w:rPr>
                <w:b w:val="0"/>
                <w:color w:val="000000"/>
                <w:sz w:val="20"/>
              </w:rPr>
              <w:t>macOS</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Mismo cliente para VPN, remoto y futuro backup.</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Firma, distribución y permisos nativos verificados.</w:t>
            </w:r>
          </w:p>
        </w:tc>
      </w:tr>
      <w:tr>
        <w:trPr>
          <w:cantSplit/>
        </w:trPr>
        <w:tc>
          <w:tcPr>
            <w:tcW w:type="dxa" w:w="1656"/>
            <w:vAlign w:val="center"/>
            <w:shd w:fill="FFFFFF"/>
            <w:tcMar>
              <w:top w:w="85" w:type="dxa"/>
              <w:bottom w:w="85" w:type="dxa"/>
              <w:left w:w="85" w:type="dxa"/>
              <w:right w:w="85" w:type="dxa"/>
            </w:tcMar>
          </w:tcPr>
          <w:p>
            <w:pPr>
              <w:keepNext w:val="0"/>
              <w:spacing w:after="40" w:before="40" w:line="245" w:lineRule="auto"/>
            </w:pPr>
            <w:r>
              <w:rPr>
                <w:b w:val="0"/>
                <w:color w:val="000000"/>
                <w:sz w:val="20"/>
              </w:rPr>
              <w:t>Linux</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Agente modular; gateway y escritorio según entorno.</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Distribuciones y entornos gráficos definidos.</w:t>
            </w:r>
          </w:p>
        </w:tc>
      </w:tr>
      <w:tr>
        <w:trPr>
          <w:cantSplit/>
        </w:trPr>
        <w:tc>
          <w:tcPr>
            <w:tcW w:type="dxa" w:w="1656"/>
            <w:vAlign w:val="center"/>
            <w:shd w:fill="F1F4F6"/>
            <w:tcMar>
              <w:top w:w="85" w:type="dxa"/>
              <w:bottom w:w="85" w:type="dxa"/>
              <w:left w:w="85" w:type="dxa"/>
              <w:right w:w="85" w:type="dxa"/>
            </w:tcMar>
          </w:tcPr>
          <w:p>
            <w:pPr>
              <w:keepNext w:val="0"/>
              <w:spacing w:after="40" w:before="40" w:line="245" w:lineRule="auto"/>
            </w:pPr>
            <w:r>
              <w:rPr>
                <w:b w:val="0"/>
                <w:color w:val="000000"/>
                <w:sz w:val="20"/>
              </w:rPr>
              <w:t>Android</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VPN y diagnóstico básico.</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Integración nativa y ciclo de vida móvil verificados.</w:t>
            </w:r>
          </w:p>
        </w:tc>
      </w:tr>
      <w:tr>
        <w:trPr>
          <w:cantSplit/>
        </w:trPr>
        <w:tc>
          <w:tcPr>
            <w:tcW w:type="dxa" w:w="1656"/>
            <w:vAlign w:val="center"/>
            <w:shd w:fill="FFFFFF"/>
            <w:tcMar>
              <w:top w:w="85" w:type="dxa"/>
              <w:bottom w:w="85" w:type="dxa"/>
              <w:left w:w="85" w:type="dxa"/>
              <w:right w:w="85" w:type="dxa"/>
            </w:tcMar>
          </w:tcPr>
          <w:p>
            <w:pPr>
              <w:keepNext w:val="0"/>
              <w:spacing w:after="40" w:before="40" w:line="245" w:lineRule="auto"/>
            </w:pPr>
            <w:r>
              <w:rPr>
                <w:b w:val="0"/>
                <w:color w:val="000000"/>
                <w:sz w:val="20"/>
              </w:rPr>
              <w:t>iOS e iPadOS</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VPN y diagnóstico básico.</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Extensión de red, distribución y restricciones de plataforma verificadas.</w:t>
            </w:r>
          </w:p>
        </w:tc>
      </w:tr>
    </w:tbl>
    <w:p>
      <w:pPr>
        <w:widowControl/>
        <w:spacing w:after="0"/>
      </w:pPr>
    </w:p>
    <w:p>
      <w:pPr>
        <w:pStyle w:val="Heading2"/>
      </w:pPr>
      <w:r>
        <w:t>Adaptación por sistema</w:t>
      </w:r>
    </w:p>
    <w:p>
      <w:pPr>
        <w:widowControl/>
      </w:pPr>
      <w:r>
        <w:t>WireGuard publica opciones de integración específicas: servicio embebible en Windows, WireGuardKit para plataformas Apple y biblioteca de túnel en Android. La biblioteca y versión concreta se seleccionarán por plataforma. El diseño de escritorio no debe asumirse transferible sin cambios a móviles. [S04]</w:t>
      </w:r>
    </w:p>
    <w:p>
      <w:pPr>
        <w:widowControl/>
      </w:pPr>
      <w:r>
        <w:t>El cliente conservará identidad, configuración e historial al ampliar el contrato. Los módulos podrán estar incluidos e inactivos o incorporarse mediante actualización firmada del mismo agente, sin otro instalador manual ni nuevo registro. Los permisos nativos necesarios seguirán requiriendo autorización. OpenVPN Connect se mantendrá durante la migración. [S12]</w:t>
      </w:r>
    </w:p>
    <w:p>
      <w:pPr>
        <w:pStyle w:val="Heading2"/>
      </w:pPr>
      <w:r>
        <w:t>Actualización y confianza</w:t>
      </w:r>
    </w:p>
    <w:p>
      <w:pPr>
        <w:widowControl/>
      </w:pPr>
      <w:r>
        <w:t>La API autorizará cada capacidad y el agente confirmará su aplicación; ocultar un botón no deshabilita el servicio. Las actualizaciones de módulos usarán artefactos firmados, versiones compatibles y despliegue gradual. Ante fallos se recuperará la última versión funcional sin detener innecesariamente los demás módulos.</w:t>
      </w:r>
    </w:p>
    <w:p>
      <w:pPr>
        <w:widowControl/>
      </w:pPr>
      <w:r>
        <w:t>La identidad sobrevivirá a actualizaciones normales. La desinstalación y el retiro se tratarán por separado: borrar el programa no sustituye la revocación del endpoint. Las imágenes corporativas se prepararán sin claves de un dispositivo ya registrado.</w:t>
      </w:r>
    </w:p>
    <w:p>
      <w:pPr>
        <w:widowControl/>
      </w:pPr>
      <w:r>
        <w:t>El diagnóstico incluirá versiones y estados por módulo, sin secretos. Android e iOS conservarán alcance VPN. En escritorios compatibles, activar backup o soporte reutilizará la instalación existente; una ampliación comercial no cambiará la aplicación.</w:t>
      </w:r>
    </w:p>
    <w:p>
      <w:r>
        <w:br w:type="page"/>
      </w:r>
    </w:p>
    <w:p>
      <w:pPr>
        <w:pStyle w:val="Heading1"/>
      </w:pPr>
      <w:r>
        <w:t>10 Telemetría y reportes</w:t>
      </w:r>
    </w:p>
    <w:p>
      <w:pPr>
        <w:widowControl/>
      </w:pPr>
      <w:r>
        <w:t>Los reportes deberán explicar qué se midió y con qué cobertura. Se distinguirán agente disponible, túnel configurado, comunicación verificada y soporte disponible. En WireGuard, un handshake reciente es una señal de actividad, no una sesión persistente equivalente a OpenVPN.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600"/>
      </w:tblGrid>
      <w:tr>
        <w:trPr>
          <w:cantSplit/>
          <w:tblHeader/>
        </w:trPr>
        <w:tc>
          <w:tcPr>
            <w:tcW w:type="dxa" w:w="2160"/>
            <w:vAlign w:val="center"/>
            <w:shd w:fill="243746"/>
            <w:tcMar>
              <w:top w:w="85" w:type="dxa"/>
              <w:bottom w:w="85" w:type="dxa"/>
              <w:left w:w="85" w:type="dxa"/>
              <w:right w:w="85" w:type="dxa"/>
            </w:tcMar>
          </w:tcPr>
          <w:p>
            <w:pPr>
              <w:keepNext/>
              <w:spacing w:after="40" w:before="40" w:line="245" w:lineRule="auto"/>
            </w:pPr>
            <w:r>
              <w:rPr>
                <w:b/>
                <w:color w:val="FFFFFF"/>
                <w:sz w:val="20"/>
              </w:rPr>
              <w:t>Medición</w:t>
            </w:r>
          </w:p>
        </w:tc>
        <w:tc>
          <w:tcPr>
            <w:tcW w:type="dxa" w:w="4320"/>
            <w:vAlign w:val="center"/>
            <w:shd w:fill="243746"/>
            <w:tcMar>
              <w:top w:w="85" w:type="dxa"/>
              <w:bottom w:w="85" w:type="dxa"/>
              <w:left w:w="85" w:type="dxa"/>
              <w:right w:w="85" w:type="dxa"/>
            </w:tcMar>
          </w:tcPr>
          <w:p>
            <w:pPr>
              <w:keepNext/>
              <w:spacing w:after="40" w:before="40" w:line="245" w:lineRule="auto"/>
            </w:pPr>
            <w:r>
              <w:rPr>
                <w:b/>
                <w:color w:val="FFFFFF"/>
                <w:sz w:val="20"/>
              </w:rPr>
              <w:t>Origen propuesto</w:t>
            </w:r>
          </w:p>
        </w:tc>
        <w:tc>
          <w:tcPr>
            <w:tcW w:type="dxa" w:w="3600"/>
            <w:vAlign w:val="center"/>
            <w:shd w:fill="243746"/>
            <w:tcMar>
              <w:top w:w="85" w:type="dxa"/>
              <w:bottom w:w="85" w:type="dxa"/>
              <w:left w:w="85" w:type="dxa"/>
              <w:right w:w="85" w:type="dxa"/>
            </w:tcMar>
          </w:tcPr>
          <w:p>
            <w:pPr>
              <w:keepNext/>
              <w:spacing w:after="40" w:before="40" w:line="245" w:lineRule="auto"/>
            </w:pPr>
            <w:r>
              <w:rPr>
                <w:b/>
                <w:color w:val="FFFFFF"/>
                <w:sz w:val="20"/>
              </w:rPr>
              <w:t>Uso</w:t>
            </w:r>
          </w:p>
        </w:tc>
      </w:tr>
      <w:tr>
        <w:trPr>
          <w:cantSplit/>
        </w:trPr>
        <w:tc>
          <w:tcPr>
            <w:tcW w:type="dxa" w:w="2160"/>
            <w:vAlign w:val="center"/>
            <w:shd w:fill="FFFFFF"/>
            <w:tcMar>
              <w:top w:w="85" w:type="dxa"/>
              <w:bottom w:w="85" w:type="dxa"/>
              <w:left w:w="85" w:type="dxa"/>
              <w:right w:w="85" w:type="dxa"/>
            </w:tcMar>
          </w:tcPr>
          <w:p>
            <w:pPr>
              <w:keepNext w:val="0"/>
              <w:spacing w:after="40" w:before="40" w:line="245" w:lineRule="auto"/>
            </w:pPr>
            <w:r>
              <w:rPr>
                <w:b w:val="0"/>
                <w:color w:val="000000"/>
                <w:sz w:val="20"/>
              </w:rPr>
              <w:t>Estado y última señal</w:t>
            </w:r>
          </w:p>
        </w:tc>
        <w:tc>
          <w:tcPr>
            <w:tcW w:type="dxa" w:w="4320"/>
            <w:vAlign w:val="center"/>
            <w:shd w:fill="FFFFFF"/>
            <w:tcMar>
              <w:top w:w="85" w:type="dxa"/>
              <w:bottom w:w="85" w:type="dxa"/>
              <w:left w:w="85" w:type="dxa"/>
              <w:right w:w="85" w:type="dxa"/>
            </w:tcMar>
          </w:tcPr>
          <w:p>
            <w:pPr>
              <w:keepNext w:val="0"/>
              <w:spacing w:after="40" w:before="40" w:line="245" w:lineRule="auto"/>
            </w:pPr>
            <w:r>
              <w:rPr>
                <w:b w:val="0"/>
                <w:color w:val="000000"/>
                <w:sz w:val="20"/>
              </w:rPr>
              <w:t>Heartbeat del agente y observaciones del nodo.</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Disponibilidad e inventario.</w:t>
            </w:r>
          </w:p>
        </w:tc>
      </w:tr>
      <w:tr>
        <w:trPr>
          <w:cantSplit/>
        </w:trPr>
        <w:tc>
          <w:tcPr>
            <w:tcW w:type="dxa" w:w="2160"/>
            <w:vAlign w:val="center"/>
            <w:shd w:fill="F1F4F6"/>
            <w:tcMar>
              <w:top w:w="85" w:type="dxa"/>
              <w:bottom w:w="85" w:type="dxa"/>
              <w:left w:w="85" w:type="dxa"/>
              <w:right w:w="85" w:type="dxa"/>
            </w:tcMar>
          </w:tcPr>
          <w:p>
            <w:pPr>
              <w:keepNext w:val="0"/>
              <w:spacing w:after="40" w:before="40" w:line="245" w:lineRule="auto"/>
            </w:pPr>
            <w:r>
              <w:rPr>
                <w:b w:val="0"/>
                <w:color w:val="000000"/>
                <w:sz w:val="20"/>
              </w:rPr>
              <w:t>Bytes enviados y recibidos</w:t>
            </w:r>
          </w:p>
        </w:tc>
        <w:tc>
          <w:tcPr>
            <w:tcW w:type="dxa" w:w="4320"/>
            <w:vAlign w:val="center"/>
            <w:shd w:fill="F1F4F6"/>
            <w:tcMar>
              <w:top w:w="85" w:type="dxa"/>
              <w:bottom w:w="85" w:type="dxa"/>
              <w:left w:w="85" w:type="dxa"/>
              <w:right w:w="85" w:type="dxa"/>
            </w:tcMar>
          </w:tcPr>
          <w:p>
            <w:pPr>
              <w:keepNext w:val="0"/>
              <w:spacing w:after="40" w:before="40" w:line="245" w:lineRule="auto"/>
            </w:pPr>
            <w:r>
              <w:rPr>
                <w:b w:val="0"/>
                <w:color w:val="000000"/>
                <w:sz w:val="20"/>
              </w:rPr>
              <w:t>Contadores por túnel y muestras del agente.</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Consumo por equipo y período.</w:t>
            </w:r>
          </w:p>
        </w:tc>
      </w:tr>
      <w:tr>
        <w:trPr>
          <w:cantSplit/>
        </w:trPr>
        <w:tc>
          <w:tcPr>
            <w:tcW w:type="dxa" w:w="2160"/>
            <w:vAlign w:val="center"/>
            <w:shd w:fill="FFFFFF"/>
            <w:tcMar>
              <w:top w:w="85" w:type="dxa"/>
              <w:bottom w:w="85" w:type="dxa"/>
              <w:left w:w="85" w:type="dxa"/>
              <w:right w:w="85" w:type="dxa"/>
            </w:tcMar>
          </w:tcPr>
          <w:p>
            <w:pPr>
              <w:keepNext w:val="0"/>
              <w:spacing w:after="40" w:before="40" w:line="245" w:lineRule="auto"/>
            </w:pPr>
            <w:r>
              <w:rPr>
                <w:b w:val="0"/>
                <w:color w:val="000000"/>
                <w:sz w:val="20"/>
              </w:rPr>
              <w:t>Tasa de transferencia</w:t>
            </w:r>
          </w:p>
        </w:tc>
        <w:tc>
          <w:tcPr>
            <w:tcW w:type="dxa" w:w="4320"/>
            <w:vAlign w:val="center"/>
            <w:shd w:fill="FFFFFF"/>
            <w:tcMar>
              <w:top w:w="85" w:type="dxa"/>
              <w:bottom w:w="85" w:type="dxa"/>
              <w:left w:w="85" w:type="dxa"/>
              <w:right w:w="85" w:type="dxa"/>
            </w:tcMar>
          </w:tcPr>
          <w:p>
            <w:pPr>
              <w:keepNext w:val="0"/>
              <w:spacing w:after="40" w:before="40" w:line="245" w:lineRule="auto"/>
            </w:pPr>
            <w:r>
              <w:rPr>
                <w:b w:val="0"/>
                <w:color w:val="000000"/>
                <w:sz w:val="20"/>
              </w:rPr>
              <w:t>Diferencias de contadores e intervalo real.</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Gráficas de actividad.</w:t>
            </w:r>
          </w:p>
        </w:tc>
      </w:tr>
      <w:tr>
        <w:trPr>
          <w:cantSplit/>
        </w:trPr>
        <w:tc>
          <w:tcPr>
            <w:tcW w:type="dxa" w:w="2160"/>
            <w:vAlign w:val="center"/>
            <w:shd w:fill="F1F4F6"/>
            <w:tcMar>
              <w:top w:w="85" w:type="dxa"/>
              <w:bottom w:w="85" w:type="dxa"/>
              <w:left w:w="85" w:type="dxa"/>
              <w:right w:w="85" w:type="dxa"/>
            </w:tcMar>
          </w:tcPr>
          <w:p>
            <w:pPr>
              <w:keepNext w:val="0"/>
              <w:spacing w:after="40" w:before="40" w:line="245" w:lineRule="auto"/>
            </w:pPr>
            <w:r>
              <w:rPr>
                <w:b w:val="0"/>
                <w:color w:val="000000"/>
                <w:sz w:val="20"/>
              </w:rPr>
              <w:t>Latencia y pérdida</w:t>
            </w:r>
          </w:p>
        </w:tc>
        <w:tc>
          <w:tcPr>
            <w:tcW w:type="dxa" w:w="4320"/>
            <w:vAlign w:val="center"/>
            <w:shd w:fill="F1F4F6"/>
            <w:tcMar>
              <w:top w:w="85" w:type="dxa"/>
              <w:bottom w:w="85" w:type="dxa"/>
              <w:left w:w="85" w:type="dxa"/>
              <w:right w:w="85" w:type="dxa"/>
            </w:tcMar>
          </w:tcPr>
          <w:p>
            <w:pPr>
              <w:keepNext w:val="0"/>
              <w:spacing w:after="40" w:before="40" w:line="245" w:lineRule="auto"/>
            </w:pPr>
            <w:r>
              <w:rPr>
                <w:b w:val="0"/>
                <w:color w:val="000000"/>
                <w:sz w:val="20"/>
              </w:rPr>
              <w:t>Pruebas activas limitadas hacia destinos autorizados.</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Diagnóstico y tendencias.</w:t>
            </w:r>
          </w:p>
        </w:tc>
      </w:tr>
      <w:tr>
        <w:trPr>
          <w:cantSplit/>
        </w:trPr>
        <w:tc>
          <w:tcPr>
            <w:tcW w:type="dxa" w:w="2160"/>
            <w:vAlign w:val="center"/>
            <w:shd w:fill="FFFFFF"/>
            <w:tcMar>
              <w:top w:w="85" w:type="dxa"/>
              <w:bottom w:w="85" w:type="dxa"/>
              <w:left w:w="85" w:type="dxa"/>
              <w:right w:w="85" w:type="dxa"/>
            </w:tcMar>
          </w:tcPr>
          <w:p>
            <w:pPr>
              <w:keepNext w:val="0"/>
              <w:spacing w:after="40" w:before="40" w:line="245" w:lineRule="auto"/>
            </w:pPr>
            <w:r>
              <w:rPr>
                <w:b w:val="0"/>
                <w:color w:val="000000"/>
                <w:sz w:val="20"/>
              </w:rPr>
              <w:t>Soporte remoto</w:t>
            </w:r>
          </w:p>
        </w:tc>
        <w:tc>
          <w:tcPr>
            <w:tcW w:type="dxa" w:w="4320"/>
            <w:vAlign w:val="center"/>
            <w:shd w:fill="FFFFFF"/>
            <w:tcMar>
              <w:top w:w="85" w:type="dxa"/>
              <w:bottom w:w="85" w:type="dxa"/>
              <w:left w:w="85" w:type="dxa"/>
              <w:right w:w="85" w:type="dxa"/>
            </w:tcMar>
          </w:tcPr>
          <w:p>
            <w:pPr>
              <w:keepNext w:val="0"/>
              <w:spacing w:after="40" w:before="40" w:line="245" w:lineRule="auto"/>
            </w:pPr>
            <w:r>
              <w:rPr>
                <w:b w:val="0"/>
                <w:color w:val="000000"/>
                <w:sz w:val="20"/>
              </w:rPr>
              <w:t>Eventos de sesión y contadores del motor.</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Duración, resultado y tráfico de soporte.</w:t>
            </w:r>
          </w:p>
        </w:tc>
      </w:tr>
      <w:tr>
        <w:trPr>
          <w:cantSplit/>
        </w:trPr>
        <w:tc>
          <w:tcPr>
            <w:tcW w:type="dxa" w:w="2160"/>
            <w:vAlign w:val="center"/>
            <w:shd w:fill="F1F4F6"/>
            <w:tcMar>
              <w:top w:w="85" w:type="dxa"/>
              <w:bottom w:w="85" w:type="dxa"/>
              <w:left w:w="85" w:type="dxa"/>
              <w:right w:w="85" w:type="dxa"/>
            </w:tcMar>
          </w:tcPr>
          <w:p>
            <w:pPr>
              <w:keepNext w:val="0"/>
              <w:spacing w:after="40" w:before="40" w:line="245" w:lineRule="auto"/>
            </w:pPr>
            <w:r>
              <w:rPr>
                <w:b w:val="0"/>
                <w:color w:val="000000"/>
                <w:sz w:val="20"/>
              </w:rPr>
              <w:t>CPU y memoria</w:t>
            </w:r>
          </w:p>
        </w:tc>
        <w:tc>
          <w:tcPr>
            <w:tcW w:type="dxa" w:w="4320"/>
            <w:vAlign w:val="center"/>
            <w:shd w:fill="F1F4F6"/>
            <w:tcMar>
              <w:top w:w="85" w:type="dxa"/>
              <w:bottom w:w="85" w:type="dxa"/>
              <w:left w:w="85" w:type="dxa"/>
              <w:right w:w="85" w:type="dxa"/>
            </w:tcMar>
          </w:tcPr>
          <w:p>
            <w:pPr>
              <w:keepNext w:val="0"/>
              <w:spacing w:after="40" w:before="40" w:line="245" w:lineRule="auto"/>
            </w:pPr>
            <w:r>
              <w:rPr>
                <w:b w:val="0"/>
                <w:color w:val="000000"/>
                <w:sz w:val="20"/>
              </w:rPr>
              <w:t>Métricas de agentes y nodos.</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Capacidad y degradación.</w:t>
            </w:r>
          </w:p>
        </w:tc>
      </w:tr>
    </w:tbl>
    <w:p>
      <w:pPr>
        <w:widowControl/>
        <w:spacing w:after="0"/>
      </w:pPr>
    </w:p>
    <w:p>
      <w:pPr>
        <w:pStyle w:val="Heading2"/>
      </w:pPr>
      <w:r>
        <w:t>Reglas de contabilización</w:t>
      </w:r>
    </w:p>
    <w:p>
      <w:pPr>
        <w:widowControl/>
      </w:pPr>
      <w:r>
        <w:t>Cada muestra incluirá empresa, endpoint, túnel, origen, instante, identificador de arranque y secuencia. El backend detectará reinicios, reintentos, desbordamientos y huecos. Los contadores acumulados se convertirán en incrementos sin duplicarlos. Las horas se almacenarán en UTC y se presentarán según la zona de la empresa.</w:t>
      </w:r>
    </w:p>
    <w:p>
      <w:pPr>
        <w:widowControl/>
      </w:pPr>
      <w:r>
        <w:t>Si ambos extremos reportan la misma transferencia, se elegirá una fuente canónica o una regla de agregación que evite contar dos veces. El tráfico de soporte y de respaldos tendrá categorías propias. Los bytes útiles de un túnel no equivalen automáticamente a los bytes facturados por AWS.</w:t>
      </w:r>
    </w:p>
    <w:p>
      <w:pPr>
        <w:pStyle w:val="Heading2"/>
      </w:pPr>
      <w:r>
        <w:t>Visibilidad y retención</w:t>
      </w:r>
    </w:p>
    <w:p>
      <w:pPr>
        <w:widowControl/>
      </w:pPr>
      <w:r>
        <w:t>El portal mostrará consumo diario y mensual, equipos con mayor transferencia, conexiones y desconexiones, sesiones remotas, cambios administrativos y exportaciones autorizadas. Se propone conservar muestras detalladas por un período corto y agregados por uno más largo, sujetos al plan y costo de almacenamiento.</w:t>
      </w:r>
    </w:p>
    <w:p>
      <w:pPr>
        <w:widowControl/>
      </w:pPr>
      <w:r>
        <w:t>Un gateway mostrará tráfico privado agregado de su sucursal; atribuirlo a cada equipo requiere sensores o agentes. La navegación por Internet queda fuera del túnel y de estos contadores. Las conexiones directas exigirán telemetría de los extremos; una muestra ausente se mostrará como cobertura parcial.</w:t>
      </w:r>
    </w:p>
    <w:p>
      <w:r>
        <w:br w:type="page"/>
      </w:r>
    </w:p>
    <w:p>
      <w:pPr>
        <w:pStyle w:val="Heading1"/>
      </w:pPr>
      <w:r>
        <w:t>11 Suscripciones y aplicación del servicio</w:t>
      </w:r>
    </w:p>
    <w:p>
      <w:pPr>
        <w:widowControl/>
      </w:pPr>
      <w:r>
        <w:t>VPN, respaldo y el adicional de escritorio remoto tendrán capacidades, cuotas y estados propios. La empresa podrá añadir remoto a VPN o respaldo. Los planes limitarán endpoints, redes, técnicos, sesiones simultáneas y almacenamiento. La habilitación comercial se aplicará al cliente existente.</w:t>
      </w:r>
    </w:p>
    <w:p>
      <w:pPr>
        <w:pStyle w:val="Heading2"/>
      </w:pPr>
      <w:r>
        <w:t>Estados comerciales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243746"/>
            <w:tcMar>
              <w:top w:w="85" w:type="dxa"/>
              <w:bottom w:w="85" w:type="dxa"/>
              <w:left w:w="85" w:type="dxa"/>
              <w:right w:w="85" w:type="dxa"/>
            </w:tcMar>
          </w:tcPr>
          <w:p>
            <w:pPr>
              <w:keepNext/>
              <w:spacing w:after="40" w:before="40" w:line="245" w:lineRule="auto"/>
            </w:pPr>
            <w:r>
              <w:rPr>
                <w:b/>
                <w:color w:val="FFFFFF"/>
                <w:sz w:val="20"/>
              </w:rPr>
              <w:t>Estado</w:t>
            </w:r>
          </w:p>
        </w:tc>
        <w:tc>
          <w:tcPr>
            <w:tcW w:type="dxa" w:w="7848"/>
            <w:vAlign w:val="center"/>
            <w:shd w:fill="243746"/>
            <w:tcMar>
              <w:top w:w="85" w:type="dxa"/>
              <w:bottom w:w="85" w:type="dxa"/>
              <w:left w:w="85" w:type="dxa"/>
              <w:right w:w="85" w:type="dxa"/>
            </w:tcMar>
          </w:tcPr>
          <w:p>
            <w:pPr>
              <w:keepNext/>
              <w:spacing w:after="40" w:before="40" w:line="245" w:lineRule="auto"/>
            </w:pPr>
            <w:r>
              <w:rPr>
                <w:b/>
                <w:color w:val="FFFFFF"/>
                <w:sz w:val="20"/>
              </w:rPr>
              <w:t>Comportamiento propuesto</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Pendiente de activación</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Permite completar configuración comercial; acceso técnico aún no habilitado.</w:t>
            </w:r>
          </w:p>
        </w:tc>
      </w:tr>
      <w:tr>
        <w:trPr>
          <w:cantSplit/>
        </w:trPr>
        <w:tc>
          <w:tcPr>
            <w:tcW w:type="dxa" w:w="2232"/>
            <w:vAlign w:val="center"/>
            <w:shd w:fill="F1F4F6"/>
            <w:tcMar>
              <w:top w:w="85" w:type="dxa"/>
              <w:bottom w:w="85" w:type="dxa"/>
              <w:left w:w="85" w:type="dxa"/>
              <w:right w:w="85" w:type="dxa"/>
            </w:tcMar>
          </w:tcPr>
          <w:p>
            <w:pPr>
              <w:keepNext w:val="0"/>
              <w:spacing w:after="40" w:before="40" w:line="245" w:lineRule="auto"/>
            </w:pPr>
            <w:r>
              <w:rPr>
                <w:b w:val="0"/>
                <w:color w:val="000000"/>
                <w:sz w:val="20"/>
              </w:rPr>
              <w:t>Activa</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Habilita capacidades contratadas y operaciones dentro de los límites.</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En gracia</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Mantiene el servicio durante un plazo configurado y muestra avisos.</w:t>
            </w:r>
          </w:p>
        </w:tc>
      </w:tr>
      <w:tr>
        <w:trPr>
          <w:cantSplit/>
        </w:trPr>
        <w:tc>
          <w:tcPr>
            <w:tcW w:type="dxa" w:w="2232"/>
            <w:vAlign w:val="center"/>
            <w:shd w:fill="F1F4F6"/>
            <w:tcMar>
              <w:top w:w="85" w:type="dxa"/>
              <w:bottom w:w="85" w:type="dxa"/>
              <w:left w:w="85" w:type="dxa"/>
              <w:right w:w="85" w:type="dxa"/>
            </w:tcMar>
          </w:tcPr>
          <w:p>
            <w:pPr>
              <w:keepNext w:val="0"/>
              <w:spacing w:after="40" w:before="40" w:line="245" w:lineRule="auto"/>
            </w:pPr>
            <w:r>
              <w:rPr>
                <w:b w:val="0"/>
                <w:color w:val="000000"/>
                <w:sz w:val="20"/>
              </w:rPr>
              <w:t>Suspendida</w:t>
            </w:r>
          </w:p>
        </w:tc>
        <w:tc>
          <w:tcPr>
            <w:tcW w:type="dxa" w:w="7848"/>
            <w:vAlign w:val="center"/>
            <w:shd w:fill="F1F4F6"/>
            <w:tcMar>
              <w:top w:w="85" w:type="dxa"/>
              <w:bottom w:w="85" w:type="dxa"/>
              <w:left w:w="85" w:type="dxa"/>
              <w:right w:w="85" w:type="dxa"/>
            </w:tcMar>
          </w:tcPr>
          <w:p>
            <w:pPr>
              <w:keepNext w:val="0"/>
              <w:spacing w:after="40" w:before="40" w:line="245" w:lineRule="auto"/>
            </w:pPr>
            <w:r>
              <w:rPr>
                <w:b w:val="0"/>
                <w:color w:val="000000"/>
                <w:sz w:val="20"/>
              </w:rPr>
              <w:t>Bloquea las capacidades indicadas por una política de suspensión versionada.</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Cancelada</w:t>
            </w:r>
          </w:p>
        </w:tc>
        <w:tc>
          <w:tcPr>
            <w:tcW w:type="dxa" w:w="7848"/>
            <w:vAlign w:val="center"/>
            <w:shd w:fill="FFFFFF"/>
            <w:tcMar>
              <w:top w:w="85" w:type="dxa"/>
              <w:bottom w:w="85" w:type="dxa"/>
              <w:left w:w="85" w:type="dxa"/>
              <w:right w:w="85" w:type="dxa"/>
            </w:tcMar>
          </w:tcPr>
          <w:p>
            <w:pPr>
              <w:keepNext w:val="0"/>
              <w:spacing w:after="40" w:before="40" w:line="245" w:lineRule="auto"/>
            </w:pPr>
            <w:r>
              <w:rPr>
                <w:b w:val="0"/>
                <w:color w:val="000000"/>
                <w:sz w:val="20"/>
              </w:rPr>
              <w:t>Retira el servicio y aplica el procedimiento de exportación y conservación de datos.</w:t>
            </w:r>
          </w:p>
        </w:tc>
      </w:tr>
    </w:tbl>
    <w:p>
      <w:pPr>
        <w:widowControl/>
        <w:spacing w:after="0"/>
      </w:pPr>
    </w:p>
    <w:p>
      <w:pPr>
        <w:pStyle w:val="Heading2"/>
      </w:pPr>
      <w:r>
        <w:t>Cuotas y cambios de plan</w:t>
      </w:r>
    </w:p>
    <w:p>
      <w:pPr>
        <w:widowControl/>
      </w:pPr>
      <w:r>
        <w:t>Los cupos se comprobarán dentro de una transacción o reserva atómica. Dos altas simultáneas no podrán consumir el mismo último cupo. Reducir un plan no eliminará equipos de manera arbitraria: se mostrará el exceso y se aplicará una política explícita de regularización. Las excepciones tendrán responsable, motivo y caducidad.</w:t>
      </w:r>
    </w:p>
    <w:p>
      <w:pPr>
        <w:pStyle w:val="Heading2"/>
      </w:pPr>
      <w:r>
        <w:t>Suspensión verificable</w:t>
      </w:r>
    </w:p>
    <w:p>
      <w:pPr>
        <w:widowControl/>
      </w:pPr>
      <w:r>
        <w:t>La API registrará el estado deseado y publicará operaciones para los nodos. Primero se impedirá la reconexión o establecimiento de acceso no autorizado; después se cerrarán sesiones activas y se confirmará la revisión aplicada. El portal mostrará pendiente, aplicada o error por nodo. Una orden aceptada no se presentará como suspensión completada.</w:t>
      </w:r>
    </w:p>
    <w:p>
      <w:pPr>
        <w:widowControl/>
      </w:pPr>
      <w:r>
        <w:t>La suspensión temporal no exige revocar definitivamente todos los certificados. La baja definitiva o una credencial comprometida sí requiere revocación y sustitución. La reactivación sólo restaurará las capacidades autorizadas y no recuperará claves declaradas comprometidas.</w:t>
      </w:r>
    </w:p>
    <w:p>
      <w:pPr>
        <w:widowControl/>
      </w:pPr>
      <w:r>
        <w:t>Suspender un módulo cerrará sus accesos sin cancelar automáticamente otros servicios vigentes. El soporte contratado podrá operar sin VPN activa. Una suspensión total o revocación de identidad sí bloqueará todas las funciones; el canal de gestión mantendrá sólo las acciones de recuperación autorizadas.</w:t>
      </w:r>
    </w:p>
    <w:p>
      <w:pPr>
        <w:pStyle w:val="Heading2"/>
      </w:pPr>
      <w:r>
        <w:t>Cobros</w:t>
      </w:r>
    </w:p>
    <w:p>
      <w:pPr>
        <w:widowControl/>
      </w:pPr>
      <w:r>
        <w:t>La primera versión puede registrar pagos manuales y renovaciones. Una pasarela se integrará posteriormente mediante eventos firmados, deduplicación y conciliación. La recepción de un evento repetido no deberá duplicar períodos ni activar dos veces una suscripción.</w:t>
      </w:r>
    </w:p>
    <w:p>
      <w:r>
        <w:br w:type="page"/>
      </w:r>
    </w:p>
    <w:p>
      <w:pPr>
        <w:pStyle w:val="Heading1"/>
      </w:pPr>
      <w:r>
        <w:t>12 API y consistencia de operaciones</w:t>
      </w:r>
    </w:p>
    <w:p>
      <w:pPr>
        <w:widowControl/>
      </w:pPr>
      <w:r>
        <w:t>La API expondrá recursos de negocio y operaciones de larga duración. Los siguientes contratos son propuestos. Se documentarán con un esquema de API versionado antes de implementarlos.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cantSplit/>
          <w:tblHeader/>
        </w:trPr>
        <w:tc>
          <w:tcPr>
            <w:tcW w:type="dxa" w:w="3816"/>
            <w:vAlign w:val="center"/>
            <w:shd w:fill="243746"/>
            <w:tcMar>
              <w:top w:w="85" w:type="dxa"/>
              <w:bottom w:w="85" w:type="dxa"/>
              <w:left w:w="85" w:type="dxa"/>
              <w:right w:w="85" w:type="dxa"/>
            </w:tcMar>
          </w:tcPr>
          <w:p>
            <w:pPr>
              <w:keepNext/>
              <w:spacing w:after="40" w:before="40" w:line="245" w:lineRule="auto"/>
            </w:pPr>
            <w:r>
              <w:rPr>
                <w:b/>
                <w:color w:val="FFFFFF"/>
                <w:sz w:val="20"/>
              </w:rPr>
              <w:t>Operación propuesta</w:t>
            </w:r>
          </w:p>
        </w:tc>
        <w:tc>
          <w:tcPr>
            <w:tcW w:type="dxa" w:w="6264"/>
            <w:vAlign w:val="center"/>
            <w:shd w:fill="243746"/>
            <w:tcMar>
              <w:top w:w="85" w:type="dxa"/>
              <w:bottom w:w="85" w:type="dxa"/>
              <w:left w:w="85" w:type="dxa"/>
              <w:right w:w="85" w:type="dxa"/>
            </w:tcMar>
          </w:tcPr>
          <w:p>
            <w:pPr>
              <w:keepNext/>
              <w:spacing w:after="40" w:before="40" w:line="245" w:lineRule="auto"/>
            </w:pPr>
            <w:r>
              <w:rPr>
                <w:b/>
                <w:color w:val="FFFFFF"/>
                <w:sz w:val="20"/>
              </w:rPr>
              <w:t>Resultado esperado</w:t>
            </w:r>
          </w:p>
        </w:tc>
      </w:tr>
      <w:tr>
        <w:trPr>
          <w:cantSplit/>
        </w:trPr>
        <w:tc>
          <w:tcPr>
            <w:tcW w:type="dxa" w:w="3816"/>
            <w:vAlign w:val="center"/>
            <w:shd w:fill="FFFFFF"/>
            <w:tcMar>
              <w:top w:w="85" w:type="dxa"/>
              <w:bottom w:w="85" w:type="dxa"/>
              <w:left w:w="85" w:type="dxa"/>
              <w:right w:w="85" w:type="dxa"/>
            </w:tcMar>
          </w:tcPr>
          <w:p>
            <w:pPr>
              <w:keepNext w:val="0"/>
              <w:spacing w:after="40" w:before="40" w:line="245" w:lineRule="auto"/>
            </w:pPr>
            <w:r>
              <w:rPr>
                <w:b w:val="0"/>
                <w:color w:val="000000"/>
                <w:sz w:val="20"/>
              </w:rPr>
              <w:t>POST /v1/enrollments</w:t>
            </w:r>
          </w:p>
        </w:tc>
        <w:tc>
          <w:tcPr>
            <w:tcW w:type="dxa" w:w="6264"/>
            <w:vAlign w:val="center"/>
            <w:shd w:fill="FFFFFF"/>
            <w:tcMar>
              <w:top w:w="85" w:type="dxa"/>
              <w:bottom w:w="85" w:type="dxa"/>
              <w:left w:w="85" w:type="dxa"/>
              <w:right w:w="85" w:type="dxa"/>
            </w:tcMar>
          </w:tcPr>
          <w:p>
            <w:pPr>
              <w:keepNext w:val="0"/>
              <w:spacing w:after="40" w:before="40" w:line="245" w:lineRule="auto"/>
            </w:pPr>
            <w:r>
              <w:rPr>
                <w:b w:val="0"/>
                <w:color w:val="000000"/>
                <w:sz w:val="20"/>
              </w:rPr>
              <w:t>Invitación con alcance y cupo reservado; token visible una sola vez.</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POST /v1/agent/enroll</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Identidad de equipo y configuración inicial tras validar el registro.</w:t>
            </w:r>
          </w:p>
        </w:tc>
      </w:tr>
      <w:tr>
        <w:trPr>
          <w:cantSplit/>
        </w:trPr>
        <w:tc>
          <w:tcPr>
            <w:tcW w:type="dxa" w:w="3816"/>
            <w:vAlign w:val="center"/>
            <w:shd w:fill="FFFFFF"/>
            <w:tcMar>
              <w:top w:w="85" w:type="dxa"/>
              <w:bottom w:w="85" w:type="dxa"/>
              <w:left w:w="85" w:type="dxa"/>
              <w:right w:w="85" w:type="dxa"/>
            </w:tcMar>
          </w:tcPr>
          <w:p>
            <w:pPr>
              <w:keepNext w:val="0"/>
              <w:spacing w:after="40" w:before="40" w:line="245" w:lineRule="auto"/>
            </w:pPr>
            <w:r>
              <w:rPr>
                <w:b w:val="0"/>
                <w:color w:val="000000"/>
                <w:sz w:val="20"/>
              </w:rPr>
              <w:t>POST /v1/endpoints/{id}/actions</w:t>
            </w:r>
          </w:p>
        </w:tc>
        <w:tc>
          <w:tcPr>
            <w:tcW w:type="dxa" w:w="6264"/>
            <w:vAlign w:val="center"/>
            <w:shd w:fill="FFFFFF"/>
            <w:tcMar>
              <w:top w:w="85" w:type="dxa"/>
              <w:bottom w:w="85" w:type="dxa"/>
              <w:left w:w="85" w:type="dxa"/>
              <w:right w:w="85" w:type="dxa"/>
            </w:tcMar>
          </w:tcPr>
          <w:p>
            <w:pPr>
              <w:keepNext w:val="0"/>
              <w:spacing w:after="40" w:before="40" w:line="245" w:lineRule="auto"/>
            </w:pPr>
            <w:r>
              <w:rPr>
                <w:b w:val="0"/>
                <w:color w:val="000000"/>
                <w:sz w:val="20"/>
              </w:rPr>
              <w:t>Suspender o reactivar un módulo; retirar el endpoint completo.</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PUT /v1/networks/{id}</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Nueva revisión de una red y validación de conflictos.</w:t>
            </w:r>
          </w:p>
        </w:tc>
      </w:tr>
      <w:tr>
        <w:trPr>
          <w:cantSplit/>
        </w:trPr>
        <w:tc>
          <w:tcPr>
            <w:tcW w:type="dxa" w:w="3816"/>
            <w:vAlign w:val="center"/>
            <w:shd w:fill="FFFFFF"/>
            <w:tcMar>
              <w:top w:w="85" w:type="dxa"/>
              <w:bottom w:w="85" w:type="dxa"/>
              <w:left w:w="85" w:type="dxa"/>
              <w:right w:w="85" w:type="dxa"/>
            </w:tcMar>
          </w:tcPr>
          <w:p>
            <w:pPr>
              <w:keepNext w:val="0"/>
              <w:spacing w:after="40" w:before="40" w:line="245" w:lineRule="auto"/>
            </w:pPr>
            <w:r>
              <w:rPr>
                <w:b w:val="0"/>
                <w:color w:val="000000"/>
                <w:sz w:val="20"/>
              </w:rPr>
              <w:t>POST /v1/support/sessions</w:t>
            </w:r>
          </w:p>
        </w:tc>
        <w:tc>
          <w:tcPr>
            <w:tcW w:type="dxa" w:w="6264"/>
            <w:vAlign w:val="center"/>
            <w:shd w:fill="FFFFFF"/>
            <w:tcMar>
              <w:top w:w="85" w:type="dxa"/>
              <w:bottom w:w="85" w:type="dxa"/>
              <w:left w:w="85" w:type="dxa"/>
              <w:right w:w="85" w:type="dxa"/>
            </w:tcMar>
          </w:tcPr>
          <w:p>
            <w:pPr>
              <w:keepNext w:val="0"/>
              <w:spacing w:after="40" w:before="40" w:line="245" w:lineRule="auto"/>
            </w:pPr>
            <w:r>
              <w:rPr>
                <w:b w:val="0"/>
                <w:color w:val="000000"/>
                <w:sz w:val="20"/>
              </w:rPr>
              <w:t>Sesión temporal con permisos y consentimiento requeridos.</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GET /v1/operations/{id}</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Estado real de ejecución y errores por destino.</w:t>
            </w:r>
          </w:p>
        </w:tc>
      </w:tr>
      <w:tr>
        <w:trPr>
          <w:cantSplit/>
        </w:trPr>
        <w:tc>
          <w:tcPr>
            <w:tcW w:type="dxa" w:w="3816"/>
            <w:vAlign w:val="center"/>
            <w:shd w:fill="FFFFFF"/>
            <w:tcMar>
              <w:top w:w="85" w:type="dxa"/>
              <w:bottom w:w="85" w:type="dxa"/>
              <w:left w:w="85" w:type="dxa"/>
              <w:right w:w="85" w:type="dxa"/>
            </w:tcMar>
          </w:tcPr>
          <w:p>
            <w:pPr>
              <w:keepNext w:val="0"/>
              <w:spacing w:after="40" w:before="40" w:line="245" w:lineRule="auto"/>
            </w:pPr>
            <w:r>
              <w:rPr>
                <w:b w:val="0"/>
                <w:color w:val="000000"/>
                <w:sz w:val="20"/>
              </w:rPr>
              <w:t>POST /v1/agent/telemetry</w:t>
            </w:r>
          </w:p>
        </w:tc>
        <w:tc>
          <w:tcPr>
            <w:tcW w:type="dxa" w:w="6264"/>
            <w:vAlign w:val="center"/>
            <w:shd w:fill="FFFFFF"/>
            <w:tcMar>
              <w:top w:w="85" w:type="dxa"/>
              <w:bottom w:w="85" w:type="dxa"/>
              <w:left w:w="85" w:type="dxa"/>
              <w:right w:w="85" w:type="dxa"/>
            </w:tcMar>
          </w:tcPr>
          <w:p>
            <w:pPr>
              <w:keepNext w:val="0"/>
              <w:spacing w:after="40" w:before="40" w:line="245" w:lineRule="auto"/>
            </w:pPr>
            <w:r>
              <w:rPr>
                <w:b w:val="0"/>
                <w:color w:val="000000"/>
                <w:sz w:val="20"/>
              </w:rPr>
              <w:t>Lote autenticado de muestras con secuencias y fechas.</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GET /v1/reports/usage</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Agregados del ámbito autorizado y calidad de cobertura.</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PUT /v1/endpoints/{id}/capabilities</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Activación por módulo, previa validación de contrato y permisos.</w:t>
            </w:r>
          </w:p>
        </w:tc>
      </w:tr>
      <w:tr>
        <w:trPr>
          <w:cantSplit/>
        </w:trPr>
        <w:tc>
          <w:tcPr>
            <w:tcW w:type="dxa" w:w="3816"/>
            <w:vAlign w:val="center"/>
            <w:shd w:fill="F1F4F6"/>
            <w:tcMar>
              <w:top w:w="85" w:type="dxa"/>
              <w:bottom w:w="85" w:type="dxa"/>
              <w:left w:w="85" w:type="dxa"/>
              <w:right w:w="85" w:type="dxa"/>
            </w:tcMar>
          </w:tcPr>
          <w:p>
            <w:pPr>
              <w:keepNext w:val="0"/>
              <w:spacing w:after="40" w:before="40" w:line="245" w:lineRule="auto"/>
            </w:pPr>
            <w:r>
              <w:rPr>
                <w:b w:val="0"/>
                <w:color w:val="000000"/>
                <w:sz w:val="20"/>
              </w:rPr>
              <w:t>POST /v1/tenant-environments</w:t>
            </w:r>
          </w:p>
        </w:tc>
        <w:tc>
          <w:tcPr>
            <w:tcW w:type="dxa" w:w="6264"/>
            <w:vAlign w:val="center"/>
            <w:shd w:fill="F1F4F6"/>
            <w:tcMar>
              <w:top w:w="85" w:type="dxa"/>
              <w:bottom w:w="85" w:type="dxa"/>
              <w:left w:w="85" w:type="dxa"/>
              <w:right w:w="85" w:type="dxa"/>
            </w:tcMar>
          </w:tcPr>
          <w:p>
            <w:pPr>
              <w:keepNext w:val="0"/>
              <w:spacing w:after="40" w:before="40" w:line="245" w:lineRule="auto"/>
            </w:pPr>
            <w:r>
              <w:rPr>
                <w:b w:val="0"/>
                <w:color w:val="000000"/>
                <w:sz w:val="20"/>
              </w:rPr>
              <w:t>Reserva del entorno VPN y operación asíncrona de creación.</w:t>
            </w:r>
          </w:p>
        </w:tc>
      </w:tr>
    </w:tbl>
    <w:p>
      <w:pPr>
        <w:widowControl/>
        <w:spacing w:after="0"/>
      </w:pPr>
    </w:p>
    <w:p>
      <w:pPr>
        <w:pStyle w:val="Heading2"/>
      </w:pPr>
      <w:r>
        <w:t>Ejecución asíncrona</w:t>
      </w:r>
    </w:p>
    <w:p>
      <w:pPr>
        <w:widowControl/>
      </w:pPr>
      <w:r>
        <w:t>La transacción que cambia la configuración guardará un evento pendiente en la misma base mediante un patrón outbox. Un trabajador lo entregará al agente. La operación llevará identificador único, empresa, destino, revisión, expiración y acción permitida. Se diseñará para entrega al menos una vez y ejecución idempotente.</w:t>
      </w:r>
    </w:p>
    <w:p>
      <w:pPr>
        <w:widowControl/>
      </w:pPr>
      <w:r>
        <w:t>El agente rechazará revisiones antiguas y acciones fuera de su ámbito. Confirmará recibido, aplicado o fallido. El trabajador reintentará fallos transitorios con espera progresiva; los errores permanentes quedarán visibles para intervención. Se dispondrá de reconciliación periódica entre configuración deseada y observada.</w:t>
      </w:r>
    </w:p>
    <w:p>
      <w:pPr>
        <w:pStyle w:val="Heading2"/>
      </w:pPr>
      <w:r>
        <w:t>Autenticación y límites</w:t>
      </w:r>
    </w:p>
    <w:p>
      <w:pPr>
        <w:widowControl/>
      </w:pPr>
      <w:r>
        <w:t>Usuarios y agentes utilizarán credenciales distintas. Los nodos no podrán emitir invitaciones ni cambiar suscripciones. Se aplicarán límites de frecuencia, tamaño de lote y concurrencia. Las acciones del navegador comprobarán protección CSRF cuando se use autenticación por cookies.</w:t>
      </w:r>
    </w:p>
    <w:p>
      <w:pPr>
        <w:widowControl/>
      </w:pPr>
      <w:r>
        <w:t>La API no aceptará comandos shell libres. Los adaptadores validarán identificadores, rutas y CIDR, construirán configuraciones deterministas y conservarán una versión recuperable antes de aplicar cambios.</w:t>
      </w:r>
    </w:p>
    <w:p>
      <w:r>
        <w:br w:type="page"/>
      </w:r>
    </w:p>
    <w:p>
      <w:pPr>
        <w:pStyle w:val="Heading1"/>
      </w:pPr>
      <w:r>
        <w:t>13 Seguridad y continuidad del control</w:t>
      </w:r>
    </w:p>
    <w:p>
      <w:pPr>
        <w:widowControl/>
      </w:pPr>
      <w:r>
        <w:t>La plataforma administra acceso de red y control de escritorio, por lo que una cuenta o actualización comprometida podría afectar a varios clientes. La separación de privilegios debe estar presente desde el piloto y verificarse en cada vía de acceso.</w:t>
      </w:r>
    </w:p>
    <w:p>
      <w:pPr>
        <w:pStyle w:val="Heading2"/>
      </w:pPr>
      <w:r>
        <w:t>Controles del producto</w:t>
      </w:r>
    </w:p>
    <w:p>
      <w:pPr>
        <w:pStyle w:val="ListBullet"/>
        <w:widowControl/>
      </w:pPr>
      <w:r>
        <w:t>Autenticación multifactor para administradores y técnicos, sesiones revocables y permisos por empresa y recurso.</w:t>
      </w:r>
    </w:p>
    <w:p>
      <w:pPr>
        <w:pStyle w:val="ListBullet"/>
        <w:widowControl/>
      </w:pPr>
      <w:r>
        <w:t>Canales autenticados para agentes; identidad individual y rotación de credenciales con solapamiento controlado.</w:t>
      </w:r>
    </w:p>
    <w:p>
      <w:pPr>
        <w:pStyle w:val="ListBullet"/>
        <w:widowControl/>
      </w:pPr>
      <w:r>
        <w:t>Claves de firma y emisión de certificados separadas del proceso web, con acceso restringido y copia recuperable.</w:t>
      </w:r>
    </w:p>
    <w:p>
      <w:pPr>
        <w:pStyle w:val="ListBullet"/>
        <w:widowControl/>
      </w:pPr>
      <w:r>
        <w:t>Autorizaciones de soporte de duración limitada, consentimiento según modalidad y capacidad de terminar una sesión.</w:t>
      </w:r>
    </w:p>
    <w:p>
      <w:pPr>
        <w:pStyle w:val="ListBullet"/>
        <w:widowControl/>
      </w:pPr>
      <w:r>
        <w:t>Auditoría de actor, empresa, acción, recurso y resultado. Los secretos se excluyen de logs y exportaciones.</w:t>
      </w:r>
    </w:p>
    <w:p>
      <w:pPr>
        <w:pStyle w:val="ListBullet"/>
        <w:widowControl/>
      </w:pPr>
      <w:r>
        <w:t>Artefactos de actualización firmados, trazabilidad de compilación y validación antes del despliegue.</w:t>
      </w:r>
    </w:p>
    <w:p>
      <w:pPr>
        <w:pStyle w:val="Heading2"/>
      </w:pPr>
      <w:r>
        <w:t>Fronteras que deben probarse</w:t>
      </w:r>
    </w:p>
    <w:p>
      <w:pPr>
        <w:widowControl/>
      </w:pPr>
      <w:r>
        <w:t>El aislamiento abarcará API, base de datos, caché, colas, archivos, métricas y motor remoto. Una empresa no podrá recuperar recursos ajenos con un identificador manipulado. Los enlaces de descarga tendrán autorización y expiración. Las búsquedas, reportes y exportaciones usarán las mismas restricciones que las pantallas.</w:t>
      </w:r>
    </w:p>
    <w:p>
      <w:pPr>
        <w:widowControl/>
      </w:pPr>
      <w:r>
        <w:t>El agente local separará la interfaz del servicio privilegiado. Su IPC sólo permitirá operaciones definidas para el usuario autorizado. Las solicitudes remotas no ampliarán privilegios por encima de la política, aunque provengan de una sesión válida.</w:t>
      </w:r>
    </w:p>
    <w:p>
      <w:pPr>
        <w:pStyle w:val="Heading2"/>
      </w:pPr>
      <w:r>
        <w:t>Pérdida del plano de control</w:t>
      </w:r>
    </w:p>
    <w:p>
      <w:pPr>
        <w:widowControl/>
      </w:pPr>
      <w:r>
        <w:t>Se propone conservar temporalmente la última política válida para mantener el servicio, con una vigencia máxima configurable. El valor concreto requiere una decisión de producto: una vigencia corta mejora la revocación y aumenta la dependencia del control; una larga favorece continuidad y retrasa ciertos cambios.</w:t>
      </w:r>
    </w:p>
    <w:p>
      <w:pPr>
        <w:widowControl/>
      </w:pPr>
      <w:r>
        <w:t>Los cambios ya recibidos y las listas locales de bloqueo deben persistir tras reinicios. Las operaciones pendientes se reconciliarán al reconectar. El panel identificará información desactualizada y no presentará como efectiva una política que el agente no ha confirmado.</w:t>
      </w:r>
    </w:p>
    <w:p>
      <w:pPr>
        <w:pStyle w:val="Heading2"/>
      </w:pPr>
      <w:r>
        <w:t>Recuperación</w:t>
      </w:r>
    </w:p>
    <w:p>
      <w:pPr>
        <w:widowControl/>
      </w:pPr>
      <w:r>
        <w:t>La operación mantendrá copias probadas de datos comerciales, configuraciones, material de emisión y claves necesarias. Se documentarán restauración del control, reemplazo de nodo, rotación de credenciales comprometidas y reconstrucción del inventario. La recuperación del panel se probará sin reutilizar secretos expuestos.</w:t>
      </w:r>
    </w:p>
    <w:p>
      <w:r>
        <w:br w:type="page"/>
      </w:r>
    </w:p>
    <w:p>
      <w:pPr>
        <w:pStyle w:val="Heading1"/>
      </w:pPr>
      <w:r>
        <w:t>14 Infraestructura y objetivos operativos</w:t>
      </w:r>
    </w:p>
    <w:p>
      <w:pPr>
        <w:widowControl/>
      </w:pPr>
      <w:r>
        <w:t>Se creará una EC2 nueva para Nexo, independiente del OpenVPN actual. Será el primer nodo compartido, con un entorno VPN aislado por empresa. El piloto podrá alojar panel, API y datos en servicios separados dentro de ella. La producción dependerá de las pruebas de aislamiento, carga y recuperación, no del número actual de clientes.</w:t>
      </w:r>
    </w:p>
    <w:p>
      <w:pPr>
        <w:pStyle w:val="Heading2"/>
      </w:pPr>
      <w:r>
        <w:t>Distribución propuesta</w:t>
      </w:r>
    </w:p>
    <w:p>
      <w:pPr>
        <w:widowControl/>
      </w:pPr>
      <w:r>
        <w:t>El host ejecutará el agente de nodo y servicios de control separados. Cada empresa tendrá namespace, motor VPN, rutas, firewall y credenciales propios. El servicio remoto conservará autorización independiente. Configuraciones y datos persistirán en EBS cifrado, con copias externas verificadas. El repositorio de backup de clientes permanecerá separado del nodo VPN.</w:t>
      </w:r>
    </w:p>
    <w:p>
      <w:pPr>
        <w:widowControl/>
      </w:pPr>
      <w:r>
        <w:t>En gateways EC2 se revisarán tablas de rutas, reglas de seguridad y source/destination check según el papel de reenvío. Estas opciones sólo se cambiarán donde la topología lo requiera. Los límites de ancho de banda se evaluarán por tipo de instancia. [S10]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176"/>
        <w:gridCol w:w="3600"/>
      </w:tblGrid>
      <w:tr>
        <w:trPr>
          <w:cantSplit/>
          <w:tblHeader/>
        </w:trPr>
        <w:tc>
          <w:tcPr>
            <w:tcW w:type="dxa" w:w="2304"/>
            <w:vAlign w:val="center"/>
            <w:shd w:fill="243746"/>
            <w:tcMar>
              <w:top w:w="85" w:type="dxa"/>
              <w:bottom w:w="85" w:type="dxa"/>
              <w:left w:w="85" w:type="dxa"/>
              <w:right w:w="85" w:type="dxa"/>
            </w:tcMar>
          </w:tcPr>
          <w:p>
            <w:pPr>
              <w:keepNext/>
              <w:spacing w:after="40" w:before="40" w:line="245" w:lineRule="auto"/>
            </w:pPr>
            <w:r>
              <w:rPr>
                <w:b/>
                <w:color w:val="FFFFFF"/>
                <w:sz w:val="20"/>
              </w:rPr>
              <w:t>Indicador</w:t>
            </w:r>
          </w:p>
        </w:tc>
        <w:tc>
          <w:tcPr>
            <w:tcW w:type="dxa" w:w="4176"/>
            <w:vAlign w:val="center"/>
            <w:shd w:fill="243746"/>
            <w:tcMar>
              <w:top w:w="85" w:type="dxa"/>
              <w:bottom w:w="85" w:type="dxa"/>
              <w:left w:w="85" w:type="dxa"/>
              <w:right w:w="85" w:type="dxa"/>
            </w:tcMar>
          </w:tcPr>
          <w:p>
            <w:pPr>
              <w:keepNext/>
              <w:spacing w:after="40" w:before="40" w:line="245" w:lineRule="auto"/>
            </w:pPr>
            <w:r>
              <w:rPr>
                <w:b/>
                <w:color w:val="FFFFFF"/>
                <w:sz w:val="20"/>
              </w:rPr>
              <w:t>Meta inicial propuesta</w:t>
            </w:r>
          </w:p>
        </w:tc>
        <w:tc>
          <w:tcPr>
            <w:tcW w:type="dxa" w:w="3600"/>
            <w:vAlign w:val="center"/>
            <w:shd w:fill="243746"/>
            <w:tcMar>
              <w:top w:w="85" w:type="dxa"/>
              <w:bottom w:w="85" w:type="dxa"/>
              <w:left w:w="85" w:type="dxa"/>
              <w:right w:w="85" w:type="dxa"/>
            </w:tcMar>
          </w:tcPr>
          <w:p>
            <w:pPr>
              <w:keepNext/>
              <w:spacing w:after="40" w:before="40" w:line="245" w:lineRule="auto"/>
            </w:pPr>
            <w:r>
              <w:rPr>
                <w:b/>
                <w:color w:val="FFFFFF"/>
                <w:sz w:val="20"/>
              </w:rPr>
              <w:t>Validación</w:t>
            </w:r>
          </w:p>
        </w:tc>
      </w:tr>
      <w:tr>
        <w:trPr>
          <w:cantSplit/>
        </w:trPr>
        <w:tc>
          <w:tcPr>
            <w:tcW w:type="dxa" w:w="2304"/>
            <w:vAlign w:val="center"/>
            <w:shd w:fill="FFFFFF"/>
            <w:tcMar>
              <w:top w:w="85" w:type="dxa"/>
              <w:bottom w:w="85" w:type="dxa"/>
              <w:left w:w="85" w:type="dxa"/>
              <w:right w:w="85" w:type="dxa"/>
            </w:tcMar>
          </w:tcPr>
          <w:p>
            <w:pPr>
              <w:keepNext w:val="0"/>
              <w:spacing w:after="40" w:before="40" w:line="245" w:lineRule="auto"/>
            </w:pPr>
            <w:r>
              <w:rPr>
                <w:b w:val="0"/>
                <w:color w:val="000000"/>
                <w:sz w:val="20"/>
              </w:rPr>
              <w:t>Respuesta de API interactiva</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p95 menor de 500 ms, excluyendo tareas asíncronas.</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Prueba con carga objetivo acordada.</w:t>
            </w:r>
          </w:p>
        </w:tc>
      </w:tr>
      <w:tr>
        <w:trPr>
          <w:cantSplit/>
        </w:trPr>
        <w:tc>
          <w:tcPr>
            <w:tcW w:type="dxa" w:w="2304"/>
            <w:vAlign w:val="center"/>
            <w:shd w:fill="F1F4F6"/>
            <w:tcMar>
              <w:top w:w="85" w:type="dxa"/>
              <w:bottom w:w="85" w:type="dxa"/>
              <w:left w:w="85" w:type="dxa"/>
              <w:right w:w="85" w:type="dxa"/>
            </w:tcMar>
          </w:tcPr>
          <w:p>
            <w:pPr>
              <w:keepNext w:val="0"/>
              <w:spacing w:after="40" w:before="40" w:line="245" w:lineRule="auto"/>
            </w:pPr>
            <w:r>
              <w:rPr>
                <w:b w:val="0"/>
                <w:color w:val="000000"/>
                <w:sz w:val="20"/>
              </w:rPr>
              <w:t>Aplicación de una política</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p95 menor de 60 s en agentes conectados.</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Medir solicitud, recepción y confirmación.</w:t>
            </w:r>
          </w:p>
        </w:tc>
      </w:tr>
      <w:tr>
        <w:trPr>
          <w:cantSplit/>
        </w:trPr>
        <w:tc>
          <w:tcPr>
            <w:tcW w:type="dxa" w:w="2304"/>
            <w:vAlign w:val="center"/>
            <w:shd w:fill="FFFFFF"/>
            <w:tcMar>
              <w:top w:w="85" w:type="dxa"/>
              <w:bottom w:w="85" w:type="dxa"/>
              <w:left w:w="85" w:type="dxa"/>
              <w:right w:w="85" w:type="dxa"/>
            </w:tcMar>
          </w:tcPr>
          <w:p>
            <w:pPr>
              <w:keepNext w:val="0"/>
              <w:spacing w:after="40" w:before="40" w:line="245" w:lineRule="auto"/>
            </w:pPr>
            <w:r>
              <w:rPr>
                <w:b w:val="0"/>
                <w:color w:val="000000"/>
                <w:sz w:val="20"/>
              </w:rPr>
              <w:t>Actualización de estado</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Heartbeat cada 30 s; marcar desactualizado tras 90 s.</w:t>
            </w:r>
          </w:p>
        </w:tc>
        <w:tc>
          <w:tcPr>
            <w:tcW w:type="dxa" w:w="3600"/>
            <w:vAlign w:val="center"/>
            <w:shd w:fill="FFFFFF"/>
            <w:tcMar>
              <w:top w:w="85" w:type="dxa"/>
              <w:bottom w:w="85" w:type="dxa"/>
              <w:left w:w="85" w:type="dxa"/>
              <w:right w:w="85" w:type="dxa"/>
            </w:tcMar>
          </w:tcPr>
          <w:p>
            <w:pPr>
              <w:keepNext w:val="0"/>
              <w:spacing w:after="40" w:before="40" w:line="245" w:lineRule="auto"/>
            </w:pPr>
            <w:r>
              <w:rPr>
                <w:b w:val="0"/>
                <w:color w:val="000000"/>
                <w:sz w:val="20"/>
              </w:rPr>
              <w:t>Ensayar caída y pérdida parcial de red.</w:t>
            </w:r>
          </w:p>
        </w:tc>
      </w:tr>
      <w:tr>
        <w:trPr>
          <w:cantSplit/>
        </w:trPr>
        <w:tc>
          <w:tcPr>
            <w:tcW w:type="dxa" w:w="2304"/>
            <w:vAlign w:val="center"/>
            <w:shd w:fill="F1F4F6"/>
            <w:tcMar>
              <w:top w:w="85" w:type="dxa"/>
              <w:bottom w:w="85" w:type="dxa"/>
              <w:left w:w="85" w:type="dxa"/>
              <w:right w:w="85" w:type="dxa"/>
            </w:tcMar>
          </w:tcPr>
          <w:p>
            <w:pPr>
              <w:keepNext w:val="0"/>
              <w:spacing w:after="40" w:before="40" w:line="245" w:lineRule="auto"/>
            </w:pPr>
            <w:r>
              <w:rPr>
                <w:b w:val="0"/>
                <w:color w:val="000000"/>
                <w:sz w:val="20"/>
              </w:rPr>
              <w:t>Recuperación del control</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RPO de 24 h y RTO de 4 h para el piloto.</w:t>
            </w:r>
          </w:p>
        </w:tc>
        <w:tc>
          <w:tcPr>
            <w:tcW w:type="dxa" w:w="3600"/>
            <w:vAlign w:val="center"/>
            <w:shd w:fill="F1F4F6"/>
            <w:tcMar>
              <w:top w:w="85" w:type="dxa"/>
              <w:bottom w:w="85" w:type="dxa"/>
              <w:left w:w="85" w:type="dxa"/>
              <w:right w:w="85" w:type="dxa"/>
            </w:tcMar>
          </w:tcPr>
          <w:p>
            <w:pPr>
              <w:keepNext w:val="0"/>
              <w:spacing w:after="40" w:before="40" w:line="245" w:lineRule="auto"/>
            </w:pPr>
            <w:r>
              <w:rPr>
                <w:b w:val="0"/>
                <w:color w:val="000000"/>
                <w:sz w:val="20"/>
              </w:rPr>
              <w:t>Restauración completa en laboratorio.</w:t>
            </w:r>
          </w:p>
        </w:tc>
      </w:tr>
    </w:tbl>
    <w:p>
      <w:pPr>
        <w:widowControl/>
        <w:spacing w:after="0"/>
      </w:pPr>
    </w:p>
    <w:p>
      <w:pPr>
        <w:widowControl/>
      </w:pPr>
      <w:r>
        <w:t>Son metas de diseño sujetas a validación, no un SLA ofrecido a clientes. El contrato final deberá establecer disponibilidad, ventanas de mantenimiento y alcance de soporte según la arquitectura desplegada.</w:t>
      </w:r>
    </w:p>
    <w:p>
      <w:pPr>
        <w:pStyle w:val="Heading2"/>
      </w:pPr>
      <w:r>
        <w:t>Capacidad y costo</w:t>
      </w:r>
    </w:p>
    <w:p>
      <w:pPr>
        <w:widowControl/>
      </w:pPr>
      <w:r>
        <w:t>El costo mensual se modelará como cómputo, almacenamiento, transferencia, copias, observabilidad, distribución y operación. En remoto importa la proporción de sesiones que usan relay. En respaldo importan volumen retenido, cambios diarios y restauraciones. Los componentes abiertos no eliminan estos costos.</w:t>
      </w:r>
    </w:p>
    <w:p>
      <w:pPr>
        <w:widowControl/>
      </w:pPr>
      <w:r>
        <w:t>El escalado se basará en carga y capacidad medida por empresa y host. Se limitarán CPU, memoria, procesos, disco y ancho de banda según el componente. Una caída del host afecta a todos sus entornos. Separar o añadir nodos no proporciona failover automático: requiere selección de servidor, rutas y recuperación probadas.</w:t>
      </w:r>
    </w:p>
    <w:p>
      <w:r>
        <w:br w:type="page"/>
      </w:r>
    </w:p>
    <w:p>
      <w:pPr>
        <w:pStyle w:val="Heading1"/>
      </w:pPr>
      <w:r>
        <w:t>15 Respaldo empresarial opcional</w:t>
      </w:r>
    </w:p>
    <w:p>
      <w:pPr>
        <w:widowControl/>
      </w:pPr>
      <w:r>
        <w:t>El módulo de respaldo se mantiene fuera del compromiso inicial. Su referencia funcional es Active Backup for Business: políticas, historial y restauración. Synology también ofrece imágenes de equipos y protección de VM; esas capacidades tienen un alcance técnico distinto al respaldo de archivos. [S13]</w:t>
      </w:r>
    </w:p>
    <w:p>
      <w:pPr>
        <w:pStyle w:val="Heading2"/>
      </w:pPr>
      <w:r>
        <w:t>Primera ampliación posible</w:t>
      </w:r>
    </w:p>
    <w:p>
      <w:pPr>
        <w:widowControl/>
      </w:pPr>
      <w:r>
        <w:t>Se propone integrar Restic o Kopia como módulo del cliente universal. Su activación conservará el endpoint existente. El portal administrará carpetas, horarios, retención, cuota y restauraciones. El respaldo podrá contratarse sin VPN y admitir el adicional de escritorio remoto. Se validarán permisos y metadatos antes de ofrecerlo. [S14] [S15]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shd w:fill="243746"/>
            <w:tcMar>
              <w:top w:w="85" w:type="dxa"/>
              <w:bottom w:w="85" w:type="dxa"/>
              <w:left w:w="85" w:type="dxa"/>
              <w:right w:w="85" w:type="dxa"/>
            </w:tcMar>
          </w:tcPr>
          <w:p>
            <w:pPr>
              <w:keepNext/>
              <w:spacing w:after="40" w:before="40" w:line="245" w:lineRule="auto"/>
            </w:pPr>
            <w:r>
              <w:rPr>
                <w:b/>
                <w:color w:val="FFFFFF"/>
                <w:sz w:val="20"/>
              </w:rPr>
              <w:t>Capacidad</w:t>
            </w:r>
          </w:p>
        </w:tc>
        <w:tc>
          <w:tcPr>
            <w:tcW w:type="dxa" w:w="7704"/>
            <w:vAlign w:val="center"/>
            <w:shd w:fill="243746"/>
            <w:tcMar>
              <w:top w:w="85" w:type="dxa"/>
              <w:bottom w:w="85" w:type="dxa"/>
              <w:left w:w="85" w:type="dxa"/>
              <w:right w:w="85" w:type="dxa"/>
            </w:tcMar>
          </w:tcPr>
          <w:p>
            <w:pPr>
              <w:keepNext/>
              <w:spacing w:after="40" w:before="40" w:line="245" w:lineRule="auto"/>
            </w:pPr>
            <w:r>
              <w:rPr>
                <w:b/>
                <w:color w:val="FFFFFF"/>
                <w:sz w:val="20"/>
              </w:rPr>
              <w:t>Tratamiento propuesto</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Archivos y versiones</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Primera etapa opcional; restauración a ubicación original o alternativa.</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Bases de datos</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Integración específica con exportaciones o mecanismos consistentes de cada motor.</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Imagen del equipo</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Proyecto posterior con arranque de recuperación, discos y compatibilidad de hardware.</w:t>
            </w:r>
          </w:p>
        </w:tc>
      </w:tr>
      <w:tr>
        <w:trPr>
          <w:cantSplit/>
        </w:trPr>
        <w:tc>
          <w:tcPr>
            <w:tcW w:type="dxa" w:w="2376"/>
            <w:vAlign w:val="center"/>
            <w:shd w:fill="F1F4F6"/>
            <w:tcMar>
              <w:top w:w="85" w:type="dxa"/>
              <w:bottom w:w="85" w:type="dxa"/>
              <w:left w:w="85" w:type="dxa"/>
              <w:right w:w="85" w:type="dxa"/>
            </w:tcMar>
          </w:tcPr>
          <w:p>
            <w:pPr>
              <w:keepNext w:val="0"/>
              <w:spacing w:after="40" w:before="40" w:line="245" w:lineRule="auto"/>
            </w:pPr>
            <w:r>
              <w:rPr>
                <w:b w:val="0"/>
                <w:color w:val="000000"/>
                <w:sz w:val="20"/>
              </w:rPr>
              <w:t>Máquinas virtuales</w:t>
            </w:r>
          </w:p>
        </w:tc>
        <w:tc>
          <w:tcPr>
            <w:tcW w:type="dxa" w:w="7704"/>
            <w:vAlign w:val="center"/>
            <w:shd w:fill="F1F4F6"/>
            <w:tcMar>
              <w:top w:w="85" w:type="dxa"/>
              <w:bottom w:w="85" w:type="dxa"/>
              <w:left w:w="85" w:type="dxa"/>
              <w:right w:w="85" w:type="dxa"/>
            </w:tcMar>
          </w:tcPr>
          <w:p>
            <w:pPr>
              <w:keepNext w:val="0"/>
              <w:spacing w:after="40" w:before="40" w:line="245" w:lineRule="auto"/>
            </w:pPr>
            <w:r>
              <w:rPr>
                <w:b w:val="0"/>
                <w:color w:val="000000"/>
                <w:sz w:val="20"/>
              </w:rPr>
              <w:t>Integración posterior por hipervisor; no asumir recuperación instantánea.</w:t>
            </w:r>
          </w:p>
        </w:tc>
      </w:tr>
      <w:tr>
        <w:trPr>
          <w:cantSplit/>
        </w:trPr>
        <w:tc>
          <w:tcPr>
            <w:tcW w:type="dxa" w:w="2376"/>
            <w:vAlign w:val="center"/>
            <w:shd w:fill="FFFFFF"/>
            <w:tcMar>
              <w:top w:w="85" w:type="dxa"/>
              <w:bottom w:w="85" w:type="dxa"/>
              <w:left w:w="85" w:type="dxa"/>
              <w:right w:w="85" w:type="dxa"/>
            </w:tcMar>
          </w:tcPr>
          <w:p>
            <w:pPr>
              <w:keepNext w:val="0"/>
              <w:spacing w:after="40" w:before="40" w:line="245" w:lineRule="auto"/>
            </w:pPr>
            <w:r>
              <w:rPr>
                <w:b w:val="0"/>
                <w:color w:val="000000"/>
                <w:sz w:val="20"/>
              </w:rPr>
              <w:t>Inmutabilidad</w:t>
            </w:r>
          </w:p>
        </w:tc>
        <w:tc>
          <w:tcPr>
            <w:tcW w:type="dxa" w:w="7704"/>
            <w:vAlign w:val="center"/>
            <w:shd w:fill="FFFFFF"/>
            <w:tcMar>
              <w:top w:w="85" w:type="dxa"/>
              <w:bottom w:w="85" w:type="dxa"/>
              <w:left w:w="85" w:type="dxa"/>
              <w:right w:w="85" w:type="dxa"/>
            </w:tcMar>
          </w:tcPr>
          <w:p>
            <w:pPr>
              <w:keepNext w:val="0"/>
              <w:spacing w:after="40" w:before="40" w:line="245" w:lineRule="auto"/>
            </w:pPr>
            <w:r>
              <w:rPr>
                <w:b w:val="0"/>
                <w:color w:val="000000"/>
                <w:sz w:val="20"/>
              </w:rPr>
              <w:t>Validar almacenamiento, retención y operaciones de mantenimiento del repositorio.</w:t>
            </w:r>
          </w:p>
        </w:tc>
      </w:tr>
    </w:tbl>
    <w:p>
      <w:pPr>
        <w:widowControl/>
        <w:spacing w:after="0"/>
      </w:pPr>
    </w:p>
    <w:p>
      <w:pPr>
        <w:pStyle w:val="Heading2"/>
      </w:pPr>
      <w:r>
        <w:t>Aislamiento y recuperación</w:t>
      </w:r>
    </w:p>
    <w:p>
      <w:pPr>
        <w:widowControl/>
      </w:pPr>
      <w:r>
        <w:t>Cada empresa tendrá repositorios y claves separados. La deduplicación se limitará al ámbito de confianza aprobado; no se mezclará información de clientes para ahorrar espacio. La custodia y recuperación de claves formarán parte del contrato: perder la clave puede impedir restaurar una copia cifrada.</w:t>
      </w:r>
    </w:p>
    <w:p>
      <w:pPr>
        <w:widowControl/>
      </w:pPr>
      <w:r>
        <w:t>El endpoint enviará las copias al repositorio autorizado por su conexión disponible, sin exigir un túnel VPN ni desviar navegación. El control coordinará trabajos y estados. Los módulos tendrán límites de CPU, disco y red; se verificará la consistencia de archivos abiertos y aplicaciones activas.</w:t>
      </w:r>
    </w:p>
    <w:p>
      <w:pPr>
        <w:widowControl/>
      </w:pPr>
      <w:r>
        <w:t>S3 Object Lock protege versiones de objetos durante su retención. La compatibilidad con borrado, compactación y mantenimiento debe ensayarse con el motor elegido. Las credenciales habituales del endpoint no deberían poder destruir la última copia protegida. [S16]</w:t>
      </w:r>
    </w:p>
    <w:p>
      <w:pPr>
        <w:widowControl/>
      </w:pPr>
      <w:r>
        <w:t>La aceptación exigirá restaurar archivos, verificar contenido y metadatos, y recuperar el repositorio desde una instalación limpia. Una copia marcada como completada no acredita por sí sola capacidad de recuperación.</w:t>
      </w:r>
    </w:p>
    <w:p>
      <w:r>
        <w:br w:type="page"/>
      </w:r>
    </w:p>
    <w:p>
      <w:pPr>
        <w:pStyle w:val="Heading1"/>
      </w:pPr>
      <w:r>
        <w:t>16 Tecnologías y licencias</w:t>
      </w:r>
    </w:p>
    <w:p>
      <w:pPr>
        <w:widowControl/>
      </w:pPr>
      <w:r>
        <w:t>La selección siguiente es una propuesta de referencia. El stack definitivo debe cerrarse después de la prueba de integración y del inventario del equipo de desarrollo. Se recomienda un backend modular antes de dividir prematuramente el negocio en microservicios.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456"/>
        <w:gridCol w:w="4608"/>
      </w:tblGrid>
      <w:tr>
        <w:trPr>
          <w:cantSplit/>
          <w:tblHeader/>
        </w:trPr>
        <w:tc>
          <w:tcPr>
            <w:tcW w:type="dxa" w:w="2016"/>
            <w:vAlign w:val="center"/>
            <w:shd w:fill="243746"/>
            <w:tcMar>
              <w:top w:w="85" w:type="dxa"/>
              <w:bottom w:w="85" w:type="dxa"/>
              <w:left w:w="85" w:type="dxa"/>
              <w:right w:w="85" w:type="dxa"/>
            </w:tcMar>
          </w:tcPr>
          <w:p>
            <w:pPr>
              <w:keepNext/>
              <w:spacing w:after="40" w:before="40" w:line="245" w:lineRule="auto"/>
            </w:pPr>
            <w:r>
              <w:rPr>
                <w:b/>
                <w:color w:val="FFFFFF"/>
                <w:sz w:val="20"/>
              </w:rPr>
              <w:t>Componente</w:t>
            </w:r>
          </w:p>
        </w:tc>
        <w:tc>
          <w:tcPr>
            <w:tcW w:type="dxa" w:w="3456"/>
            <w:vAlign w:val="center"/>
            <w:shd w:fill="243746"/>
            <w:tcMar>
              <w:top w:w="85" w:type="dxa"/>
              <w:bottom w:w="85" w:type="dxa"/>
              <w:left w:w="85" w:type="dxa"/>
              <w:right w:w="85" w:type="dxa"/>
            </w:tcMar>
          </w:tcPr>
          <w:p>
            <w:pPr>
              <w:keepNext/>
              <w:spacing w:after="40" w:before="40" w:line="245" w:lineRule="auto"/>
            </w:pPr>
            <w:r>
              <w:rPr>
                <w:b/>
                <w:color w:val="FFFFFF"/>
                <w:sz w:val="20"/>
              </w:rPr>
              <w:t>Opción de referencia</w:t>
            </w:r>
          </w:p>
        </w:tc>
        <w:tc>
          <w:tcPr>
            <w:tcW w:type="dxa" w:w="4608"/>
            <w:vAlign w:val="center"/>
            <w:shd w:fill="243746"/>
            <w:tcMar>
              <w:top w:w="85" w:type="dxa"/>
              <w:bottom w:w="85" w:type="dxa"/>
              <w:left w:w="85" w:type="dxa"/>
              <w:right w:w="85" w:type="dxa"/>
            </w:tcMar>
          </w:tcPr>
          <w:p>
            <w:pPr>
              <w:keepNext/>
              <w:spacing w:after="40" w:before="40" w:line="245" w:lineRule="auto"/>
            </w:pPr>
            <w:r>
              <w:rPr>
                <w:b/>
                <w:color w:val="FFFFFF"/>
                <w:sz w:val="20"/>
              </w:rPr>
              <w:t>Motivo y condición</w:t>
            </w:r>
          </w:p>
        </w:tc>
      </w:tr>
      <w:tr>
        <w:trPr>
          <w:cantSplit/>
        </w:trPr>
        <w:tc>
          <w:tcPr>
            <w:tcW w:type="dxa" w:w="2016"/>
            <w:vAlign w:val="center"/>
            <w:shd w:fill="FFFFFF"/>
            <w:tcMar>
              <w:top w:w="85" w:type="dxa"/>
              <w:bottom w:w="85" w:type="dxa"/>
              <w:left w:w="85" w:type="dxa"/>
              <w:right w:w="85" w:type="dxa"/>
            </w:tcMar>
          </w:tcPr>
          <w:p>
            <w:pPr>
              <w:keepNext w:val="0"/>
              <w:spacing w:after="40" w:before="40" w:line="245" w:lineRule="auto"/>
            </w:pPr>
            <w:r>
              <w:rPr>
                <w:b w:val="0"/>
                <w:color w:val="000000"/>
                <w:sz w:val="20"/>
              </w:rPr>
              <w:t>Portal y panel</w:t>
            </w:r>
          </w:p>
        </w:tc>
        <w:tc>
          <w:tcPr>
            <w:tcW w:type="dxa" w:w="3456"/>
            <w:vAlign w:val="center"/>
            <w:shd w:fill="FFFFFF"/>
            <w:tcMar>
              <w:top w:w="85" w:type="dxa"/>
              <w:bottom w:w="85" w:type="dxa"/>
              <w:left w:w="85" w:type="dxa"/>
              <w:right w:w="85" w:type="dxa"/>
            </w:tcMar>
          </w:tcPr>
          <w:p>
            <w:pPr>
              <w:keepNext w:val="0"/>
              <w:spacing w:after="40" w:before="40" w:line="245" w:lineRule="auto"/>
            </w:pPr>
            <w:r>
              <w:rPr>
                <w:b w:val="0"/>
                <w:color w:val="000000"/>
                <w:sz w:val="20"/>
              </w:rPr>
              <w:t>React y TypeScript.</w:t>
            </w:r>
          </w:p>
        </w:tc>
        <w:tc>
          <w:tcPr>
            <w:tcW w:type="dxa" w:w="4608"/>
            <w:vAlign w:val="center"/>
            <w:shd w:fill="FFFFFF"/>
            <w:tcMar>
              <w:top w:w="85" w:type="dxa"/>
              <w:bottom w:w="85" w:type="dxa"/>
              <w:left w:w="85" w:type="dxa"/>
              <w:right w:w="85" w:type="dxa"/>
            </w:tcMar>
          </w:tcPr>
          <w:p>
            <w:pPr>
              <w:keepNext w:val="0"/>
              <w:spacing w:after="40" w:before="40" w:line="245" w:lineRule="auto"/>
            </w:pPr>
            <w:r>
              <w:rPr>
                <w:b w:val="0"/>
                <w:color w:val="000000"/>
                <w:sz w:val="20"/>
              </w:rPr>
              <w:t>Interfaz compartida con permisos y estados claros.</w:t>
            </w:r>
          </w:p>
        </w:tc>
      </w:tr>
      <w:tr>
        <w:trPr>
          <w:cantSplit/>
        </w:trPr>
        <w:tc>
          <w:tcPr>
            <w:tcW w:type="dxa" w:w="2016"/>
            <w:vAlign w:val="center"/>
            <w:shd w:fill="F1F4F6"/>
            <w:tcMar>
              <w:top w:w="85" w:type="dxa"/>
              <w:bottom w:w="85" w:type="dxa"/>
              <w:left w:w="85" w:type="dxa"/>
              <w:right w:w="85" w:type="dxa"/>
            </w:tcMar>
          </w:tcPr>
          <w:p>
            <w:pPr>
              <w:keepNext w:val="0"/>
              <w:spacing w:after="40" w:before="40" w:line="245" w:lineRule="auto"/>
            </w:pPr>
            <w:r>
              <w:rPr>
                <w:b w:val="0"/>
                <w:color w:val="000000"/>
                <w:sz w:val="20"/>
              </w:rPr>
              <w:t>API comercial</w:t>
            </w:r>
          </w:p>
        </w:tc>
        <w:tc>
          <w:tcPr>
            <w:tcW w:type="dxa" w:w="3456"/>
            <w:vAlign w:val="center"/>
            <w:shd w:fill="F1F4F6"/>
            <w:tcMar>
              <w:top w:w="85" w:type="dxa"/>
              <w:bottom w:w="85" w:type="dxa"/>
              <w:left w:w="85" w:type="dxa"/>
              <w:right w:w="85" w:type="dxa"/>
            </w:tcMar>
          </w:tcPr>
          <w:p>
            <w:pPr>
              <w:keepNext w:val="0"/>
              <w:spacing w:after="40" w:before="40" w:line="245" w:lineRule="auto"/>
            </w:pPr>
            <w:r>
              <w:rPr>
                <w:b w:val="0"/>
                <w:color w:val="000000"/>
                <w:sz w:val="20"/>
              </w:rPr>
              <w:t>PHP y CodeIgniter 4 como opción inicial.</w:t>
            </w:r>
          </w:p>
        </w:tc>
        <w:tc>
          <w:tcPr>
            <w:tcW w:type="dxa" w:w="4608"/>
            <w:vAlign w:val="center"/>
            <w:shd w:fill="F1F4F6"/>
            <w:tcMar>
              <w:top w:w="85" w:type="dxa"/>
              <w:bottom w:w="85" w:type="dxa"/>
              <w:left w:w="85" w:type="dxa"/>
              <w:right w:w="85" w:type="dxa"/>
            </w:tcMar>
          </w:tcPr>
          <w:p>
            <w:pPr>
              <w:keepNext w:val="0"/>
              <w:spacing w:after="40" w:before="40" w:line="245" w:lineRule="auto"/>
            </w:pPr>
            <w:r>
              <w:rPr>
                <w:b w:val="0"/>
                <w:color w:val="000000"/>
                <w:sz w:val="20"/>
              </w:rPr>
              <w:t>Validar experiencia del equipo, trabajos asíncronos y soporte de versiones.</w:t>
            </w:r>
          </w:p>
        </w:tc>
      </w:tr>
      <w:tr>
        <w:trPr>
          <w:cantSplit/>
        </w:trPr>
        <w:tc>
          <w:tcPr>
            <w:tcW w:type="dxa" w:w="2016"/>
            <w:vAlign w:val="center"/>
            <w:shd w:fill="FFFFFF"/>
            <w:tcMar>
              <w:top w:w="85" w:type="dxa"/>
              <w:bottom w:w="85" w:type="dxa"/>
              <w:left w:w="85" w:type="dxa"/>
              <w:right w:w="85" w:type="dxa"/>
            </w:tcMar>
          </w:tcPr>
          <w:p>
            <w:pPr>
              <w:keepNext w:val="0"/>
              <w:spacing w:after="40" w:before="40" w:line="245" w:lineRule="auto"/>
            </w:pPr>
            <w:r>
              <w:rPr>
                <w:b w:val="0"/>
                <w:color w:val="000000"/>
                <w:sz w:val="20"/>
              </w:rPr>
              <w:t>Persistencia</w:t>
            </w:r>
          </w:p>
        </w:tc>
        <w:tc>
          <w:tcPr>
            <w:tcW w:type="dxa" w:w="3456"/>
            <w:vAlign w:val="center"/>
            <w:shd w:fill="FFFFFF"/>
            <w:tcMar>
              <w:top w:w="85" w:type="dxa"/>
              <w:bottom w:w="85" w:type="dxa"/>
              <w:left w:w="85" w:type="dxa"/>
              <w:right w:w="85" w:type="dxa"/>
            </w:tcMar>
          </w:tcPr>
          <w:p>
            <w:pPr>
              <w:keepNext w:val="0"/>
              <w:spacing w:after="40" w:before="40" w:line="245" w:lineRule="auto"/>
            </w:pPr>
            <w:r>
              <w:rPr>
                <w:b w:val="0"/>
                <w:color w:val="000000"/>
                <w:sz w:val="20"/>
              </w:rPr>
              <w:t>Base relacional MySQL o PostgreSQL.</w:t>
            </w:r>
          </w:p>
        </w:tc>
        <w:tc>
          <w:tcPr>
            <w:tcW w:type="dxa" w:w="4608"/>
            <w:vAlign w:val="center"/>
            <w:shd w:fill="FFFFFF"/>
            <w:tcMar>
              <w:top w:w="85" w:type="dxa"/>
              <w:bottom w:w="85" w:type="dxa"/>
              <w:left w:w="85" w:type="dxa"/>
              <w:right w:w="85" w:type="dxa"/>
            </w:tcMar>
          </w:tcPr>
          <w:p>
            <w:pPr>
              <w:keepNext w:val="0"/>
              <w:spacing w:after="40" w:before="40" w:line="245" w:lineRule="auto"/>
            </w:pPr>
            <w:r>
              <w:rPr>
                <w:b w:val="0"/>
                <w:color w:val="000000"/>
                <w:sz w:val="20"/>
              </w:rPr>
              <w:t>Elegir una; integridad por empresa y transacciones son obligatorias.</w:t>
            </w:r>
          </w:p>
        </w:tc>
      </w:tr>
      <w:tr>
        <w:trPr>
          <w:cantSplit/>
        </w:trPr>
        <w:tc>
          <w:tcPr>
            <w:tcW w:type="dxa" w:w="2016"/>
            <w:vAlign w:val="center"/>
            <w:shd w:fill="F1F4F6"/>
            <w:tcMar>
              <w:top w:w="85" w:type="dxa"/>
              <w:bottom w:w="85" w:type="dxa"/>
              <w:left w:w="85" w:type="dxa"/>
              <w:right w:w="85" w:type="dxa"/>
            </w:tcMar>
          </w:tcPr>
          <w:p>
            <w:pPr>
              <w:keepNext w:val="0"/>
              <w:spacing w:after="40" w:before="40" w:line="245" w:lineRule="auto"/>
            </w:pPr>
            <w:r>
              <w:rPr>
                <w:b w:val="0"/>
                <w:color w:val="000000"/>
                <w:sz w:val="20"/>
              </w:rPr>
              <w:t>Agentes de nodo</w:t>
            </w:r>
          </w:p>
        </w:tc>
        <w:tc>
          <w:tcPr>
            <w:tcW w:type="dxa" w:w="3456"/>
            <w:vAlign w:val="center"/>
            <w:shd w:fill="F1F4F6"/>
            <w:tcMar>
              <w:top w:w="85" w:type="dxa"/>
              <w:bottom w:w="85" w:type="dxa"/>
              <w:left w:w="85" w:type="dxa"/>
              <w:right w:w="85" w:type="dxa"/>
            </w:tcMar>
          </w:tcPr>
          <w:p>
            <w:pPr>
              <w:keepNext w:val="0"/>
              <w:spacing w:after="40" w:before="40" w:line="245" w:lineRule="auto"/>
            </w:pPr>
            <w:r>
              <w:rPr>
                <w:b w:val="0"/>
                <w:color w:val="000000"/>
                <w:sz w:val="20"/>
              </w:rPr>
              <w:t>Go con adaptadores por motor.</w:t>
            </w:r>
          </w:p>
        </w:tc>
        <w:tc>
          <w:tcPr>
            <w:tcW w:type="dxa" w:w="4608"/>
            <w:vAlign w:val="center"/>
            <w:shd w:fill="F1F4F6"/>
            <w:tcMar>
              <w:top w:w="85" w:type="dxa"/>
              <w:bottom w:w="85" w:type="dxa"/>
              <w:left w:w="85" w:type="dxa"/>
              <w:right w:w="85" w:type="dxa"/>
            </w:tcMar>
          </w:tcPr>
          <w:p>
            <w:pPr>
              <w:keepNext w:val="0"/>
              <w:spacing w:after="40" w:before="40" w:line="245" w:lineRule="auto"/>
            </w:pPr>
            <w:r>
              <w:rPr>
                <w:b w:val="0"/>
                <w:color w:val="000000"/>
                <w:sz w:val="20"/>
              </w:rPr>
              <w:t>Servicio tipado y distribución controlada.</w:t>
            </w:r>
          </w:p>
        </w:tc>
      </w:tr>
      <w:tr>
        <w:trPr>
          <w:cantSplit/>
        </w:trPr>
        <w:tc>
          <w:tcPr>
            <w:tcW w:type="dxa" w:w="2016"/>
            <w:vAlign w:val="center"/>
            <w:shd w:fill="FFFFFF"/>
            <w:tcMar>
              <w:top w:w="85" w:type="dxa"/>
              <w:bottom w:w="85" w:type="dxa"/>
              <w:left w:w="85" w:type="dxa"/>
              <w:right w:w="85" w:type="dxa"/>
            </w:tcMar>
          </w:tcPr>
          <w:p>
            <w:pPr>
              <w:keepNext w:val="0"/>
              <w:spacing w:after="40" w:before="40" w:line="245" w:lineRule="auto"/>
            </w:pPr>
            <w:r>
              <w:rPr>
                <w:b w:val="0"/>
                <w:color w:val="000000"/>
                <w:sz w:val="20"/>
              </w:rPr>
              <w:t>Cliente universal</w:t>
            </w:r>
          </w:p>
        </w:tc>
        <w:tc>
          <w:tcPr>
            <w:tcW w:type="dxa" w:w="3456"/>
            <w:vAlign w:val="center"/>
            <w:shd w:fill="FFFFFF"/>
            <w:tcMar>
              <w:top w:w="85" w:type="dxa"/>
              <w:bottom w:w="85" w:type="dxa"/>
              <w:left w:w="85" w:type="dxa"/>
              <w:right w:w="85" w:type="dxa"/>
            </w:tcMar>
          </w:tcPr>
          <w:p>
            <w:pPr>
              <w:keepNext w:val="0"/>
              <w:spacing w:after="40" w:before="40" w:line="245" w:lineRule="auto"/>
            </w:pPr>
            <w:r>
              <w:rPr>
                <w:b w:val="0"/>
                <w:color w:val="000000"/>
                <w:sz w:val="20"/>
              </w:rPr>
              <w:t>Evaluar Tauri y módulos nativos.</w:t>
            </w:r>
          </w:p>
        </w:tc>
        <w:tc>
          <w:tcPr>
            <w:tcW w:type="dxa" w:w="4608"/>
            <w:vAlign w:val="center"/>
            <w:shd w:fill="FFFFFF"/>
            <w:tcMar>
              <w:top w:w="85" w:type="dxa"/>
              <w:bottom w:w="85" w:type="dxa"/>
              <w:left w:w="85" w:type="dxa"/>
              <w:right w:w="85" w:type="dxa"/>
            </w:tcMar>
          </w:tcPr>
          <w:p>
            <w:pPr>
              <w:keepNext w:val="0"/>
              <w:spacing w:after="40" w:before="40" w:line="245" w:lineRule="auto"/>
            </w:pPr>
            <w:r>
              <w:rPr>
                <w:b w:val="0"/>
                <w:color w:val="000000"/>
                <w:sz w:val="20"/>
              </w:rPr>
              <w:t>Identidad y actualización comunes; módulos activables por suscripción.</w:t>
            </w:r>
          </w:p>
        </w:tc>
      </w:tr>
      <w:tr>
        <w:trPr>
          <w:cantSplit/>
        </w:trPr>
        <w:tc>
          <w:tcPr>
            <w:tcW w:type="dxa" w:w="2016"/>
            <w:vAlign w:val="center"/>
            <w:shd w:fill="F1F4F6"/>
            <w:tcMar>
              <w:top w:w="85" w:type="dxa"/>
              <w:bottom w:w="85" w:type="dxa"/>
              <w:left w:w="85" w:type="dxa"/>
              <w:right w:w="85" w:type="dxa"/>
            </w:tcMar>
          </w:tcPr>
          <w:p>
            <w:pPr>
              <w:keepNext w:val="0"/>
              <w:spacing w:after="40" w:before="40" w:line="245" w:lineRule="auto"/>
            </w:pPr>
            <w:r>
              <w:rPr>
                <w:b w:val="0"/>
                <w:color w:val="000000"/>
                <w:sz w:val="20"/>
              </w:rPr>
              <w:t>VPN</w:t>
            </w:r>
          </w:p>
        </w:tc>
        <w:tc>
          <w:tcPr>
            <w:tcW w:type="dxa" w:w="3456"/>
            <w:vAlign w:val="center"/>
            <w:shd w:fill="F1F4F6"/>
            <w:tcMar>
              <w:top w:w="85" w:type="dxa"/>
              <w:bottom w:w="85" w:type="dxa"/>
              <w:left w:w="85" w:type="dxa"/>
              <w:right w:w="85" w:type="dxa"/>
            </w:tcMar>
          </w:tcPr>
          <w:p>
            <w:pPr>
              <w:keepNext w:val="0"/>
              <w:spacing w:after="40" w:before="40" w:line="245" w:lineRule="auto"/>
            </w:pPr>
            <w:r>
              <w:rPr>
                <w:b w:val="0"/>
                <w:color w:val="000000"/>
                <w:sz w:val="20"/>
              </w:rPr>
              <w:t>OpenVPN Community y WireGuard.</w:t>
            </w:r>
          </w:p>
        </w:tc>
        <w:tc>
          <w:tcPr>
            <w:tcW w:type="dxa" w:w="4608"/>
            <w:vAlign w:val="center"/>
            <w:shd w:fill="F1F4F6"/>
            <w:tcMar>
              <w:top w:w="85" w:type="dxa"/>
              <w:bottom w:w="85" w:type="dxa"/>
              <w:left w:w="85" w:type="dxa"/>
              <w:right w:w="85" w:type="dxa"/>
            </w:tcMar>
          </w:tcPr>
          <w:p>
            <w:pPr>
              <w:keepNext w:val="0"/>
              <w:spacing w:after="40" w:before="40" w:line="245" w:lineRule="auto"/>
            </w:pPr>
            <w:r>
              <w:rPr>
                <w:b w:val="0"/>
                <w:color w:val="000000"/>
                <w:sz w:val="20"/>
              </w:rPr>
              <w:t>Núcleos aceptados para el proyecto.</w:t>
            </w:r>
          </w:p>
        </w:tc>
      </w:tr>
      <w:tr>
        <w:trPr>
          <w:cantSplit/>
        </w:trPr>
        <w:tc>
          <w:tcPr>
            <w:tcW w:type="dxa" w:w="2016"/>
            <w:vAlign w:val="center"/>
            <w:shd w:fill="FFFFFF"/>
            <w:tcMar>
              <w:top w:w="85" w:type="dxa"/>
              <w:bottom w:w="85" w:type="dxa"/>
              <w:left w:w="85" w:type="dxa"/>
              <w:right w:w="85" w:type="dxa"/>
            </w:tcMar>
          </w:tcPr>
          <w:p>
            <w:pPr>
              <w:keepNext w:val="0"/>
              <w:spacing w:after="40" w:before="40" w:line="245" w:lineRule="auto"/>
            </w:pPr>
            <w:r>
              <w:rPr>
                <w:b w:val="0"/>
                <w:color w:val="000000"/>
                <w:sz w:val="20"/>
              </w:rPr>
              <w:t>Soporte</w:t>
            </w:r>
          </w:p>
        </w:tc>
        <w:tc>
          <w:tcPr>
            <w:tcW w:type="dxa" w:w="3456"/>
            <w:vAlign w:val="center"/>
            <w:shd w:fill="FFFFFF"/>
            <w:tcMar>
              <w:top w:w="85" w:type="dxa"/>
              <w:bottom w:w="85" w:type="dxa"/>
              <w:left w:w="85" w:type="dxa"/>
              <w:right w:w="85" w:type="dxa"/>
            </w:tcMar>
          </w:tcPr>
          <w:p>
            <w:pPr>
              <w:keepNext w:val="0"/>
              <w:spacing w:after="40" w:before="40" w:line="245" w:lineRule="auto"/>
            </w:pPr>
            <w:r>
              <w:rPr>
                <w:b w:val="0"/>
                <w:color w:val="000000"/>
                <w:sz w:val="20"/>
              </w:rPr>
              <w:t>MeshCentral y MeshAgent como candidatos.</w:t>
            </w:r>
          </w:p>
        </w:tc>
        <w:tc>
          <w:tcPr>
            <w:tcW w:type="dxa" w:w="4608"/>
            <w:vAlign w:val="center"/>
            <w:shd w:fill="FFFFFF"/>
            <w:tcMar>
              <w:top w:w="85" w:type="dxa"/>
              <w:bottom w:w="85" w:type="dxa"/>
              <w:left w:w="85" w:type="dxa"/>
              <w:right w:w="85" w:type="dxa"/>
            </w:tcMar>
          </w:tcPr>
          <w:p>
            <w:pPr>
              <w:keepNext w:val="0"/>
              <w:spacing w:after="40" w:before="40" w:line="245" w:lineRule="auto"/>
            </w:pPr>
            <w:r>
              <w:rPr>
                <w:b w:val="0"/>
                <w:color w:val="000000"/>
                <w:sz w:val="20"/>
              </w:rPr>
              <w:t>Probar integración, permisos y ciclo de actualización.</w:t>
            </w:r>
          </w:p>
        </w:tc>
      </w:tr>
      <w:tr>
        <w:trPr>
          <w:cantSplit/>
        </w:trPr>
        <w:tc>
          <w:tcPr>
            <w:tcW w:type="dxa" w:w="2016"/>
            <w:vAlign w:val="center"/>
            <w:shd w:fill="F1F4F6"/>
            <w:tcMar>
              <w:top w:w="85" w:type="dxa"/>
              <w:bottom w:w="85" w:type="dxa"/>
              <w:left w:w="85" w:type="dxa"/>
              <w:right w:w="85" w:type="dxa"/>
            </w:tcMar>
          </w:tcPr>
          <w:p>
            <w:pPr>
              <w:keepNext w:val="0"/>
              <w:spacing w:after="40" w:before="40" w:line="245" w:lineRule="auto"/>
            </w:pPr>
            <w:r>
              <w:rPr>
                <w:b w:val="0"/>
                <w:color w:val="000000"/>
                <w:sz w:val="20"/>
              </w:rPr>
              <w:t>Móviles</w:t>
            </w:r>
          </w:p>
        </w:tc>
        <w:tc>
          <w:tcPr>
            <w:tcW w:type="dxa" w:w="3456"/>
            <w:vAlign w:val="center"/>
            <w:shd w:fill="F1F4F6"/>
            <w:tcMar>
              <w:top w:w="85" w:type="dxa"/>
              <w:bottom w:w="85" w:type="dxa"/>
              <w:left w:w="85" w:type="dxa"/>
              <w:right w:w="85" w:type="dxa"/>
            </w:tcMar>
          </w:tcPr>
          <w:p>
            <w:pPr>
              <w:keepNext w:val="0"/>
              <w:spacing w:after="40" w:before="40" w:line="245" w:lineRule="auto"/>
            </w:pPr>
            <w:r>
              <w:rPr>
                <w:b w:val="0"/>
                <w:color w:val="000000"/>
                <w:sz w:val="20"/>
              </w:rPr>
              <w:t>Integración nativa Kotlin y Swift.</w:t>
            </w:r>
          </w:p>
        </w:tc>
        <w:tc>
          <w:tcPr>
            <w:tcW w:type="dxa" w:w="4608"/>
            <w:vAlign w:val="center"/>
            <w:shd w:fill="F1F4F6"/>
            <w:tcMar>
              <w:top w:w="85" w:type="dxa"/>
              <w:bottom w:w="85" w:type="dxa"/>
              <w:left w:w="85" w:type="dxa"/>
              <w:right w:w="85" w:type="dxa"/>
            </w:tcMar>
          </w:tcPr>
          <w:p>
            <w:pPr>
              <w:keepNext w:val="0"/>
              <w:spacing w:after="40" w:before="40" w:line="245" w:lineRule="auto"/>
            </w:pPr>
            <w:r>
              <w:rPr>
                <w:b w:val="0"/>
                <w:color w:val="000000"/>
                <w:sz w:val="20"/>
              </w:rPr>
              <w:t>VPN únicamente; versiones y distribución por validar.</w:t>
            </w:r>
          </w:p>
        </w:tc>
      </w:tr>
    </w:tbl>
    <w:p>
      <w:pPr>
        <w:widowControl/>
        <w:spacing w:after="0"/>
      </w:pPr>
    </w:p>
    <w:p>
      <w:pPr>
        <w:pStyle w:val="Heading2"/>
      </w:pPr>
      <w:r>
        <w:t>Criterio de licenciamiento</w:t>
      </w:r>
    </w:p>
    <w:p>
      <w:pPr>
        <w:widowControl/>
      </w:pPr>
      <w:r>
        <w:t>El objetivo es evitar licencias comerciales obligatorias por cliente o endpoint. OpenVPN Community publica GPLv2 y MeshCentral Apache 2.0. Cada biblioteca, driver y dependencia debe revisarse por separado antes de distribuir el cliente. La marca de un protocolo no determina la licencia de todas sus implementaciones. [S08] [S09]</w:t>
      </w:r>
    </w:p>
    <w:p>
      <w:pPr>
        <w:widowControl/>
      </w:pPr>
      <w:r>
        <w:t>Se elaborará un inventario de componentes con versión, licencia, avisos y obligaciones de redistribución. La selección de cómo enlazar o empaquetar motores no se utilizará como garantía automática de que el código propio puede permanecer cerrado. Las condiciones concretas de distribución se resolverán antes del lanzamiento.</w:t>
      </w:r>
    </w:p>
    <w:p>
      <w:pPr>
        <w:widowControl/>
      </w:pPr>
      <w:r>
        <w:t>El proyecto conserva gastos de infraestructura, firma y distribución de aplicaciones cuando correspondan, mantenimiento y soporte. NetBird y Pritunl son referencias funcionales; su contratación no forma parte de esta arquitectura.</w:t>
      </w:r>
    </w:p>
    <w:p>
      <w:r>
        <w:br w:type="page"/>
      </w:r>
    </w:p>
    <w:p>
      <w:pPr>
        <w:pStyle w:val="Heading1"/>
      </w:pPr>
      <w:r>
        <w:t>17 Entregas y migración</w:t>
      </w:r>
    </w:p>
    <w:p>
      <w:pPr>
        <w:widowControl/>
      </w:pPr>
      <w:r>
        <w:t>Las etapas indican dependencias y criterios de salida. El cliente universal y el contrato de capacidades se diseñarán desde el inicio, aunque respaldo se entregue después. Incorporar ese módulo mantendrá instalación e identidad. Estas etapas no constituyen una estimación contractual de calendario.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76"/>
        <w:gridCol w:w="4176"/>
      </w:tblGrid>
      <w:tr>
        <w:trPr>
          <w:cantSplit/>
          <w:tblHeader/>
        </w:trPr>
        <w:tc>
          <w:tcPr>
            <w:tcW w:type="dxa" w:w="1728"/>
            <w:vAlign w:val="center"/>
            <w:shd w:fill="243746"/>
            <w:tcMar>
              <w:top w:w="85" w:type="dxa"/>
              <w:bottom w:w="85" w:type="dxa"/>
              <w:left w:w="85" w:type="dxa"/>
              <w:right w:w="85" w:type="dxa"/>
            </w:tcMar>
          </w:tcPr>
          <w:p>
            <w:pPr>
              <w:keepNext/>
              <w:spacing w:after="40" w:before="40" w:line="245" w:lineRule="auto"/>
            </w:pPr>
            <w:r>
              <w:rPr>
                <w:b/>
                <w:color w:val="FFFFFF"/>
                <w:sz w:val="20"/>
              </w:rPr>
              <w:t>Etapa</w:t>
            </w:r>
          </w:p>
        </w:tc>
        <w:tc>
          <w:tcPr>
            <w:tcW w:type="dxa" w:w="4176"/>
            <w:vAlign w:val="center"/>
            <w:shd w:fill="243746"/>
            <w:tcMar>
              <w:top w:w="85" w:type="dxa"/>
              <w:bottom w:w="85" w:type="dxa"/>
              <w:left w:w="85" w:type="dxa"/>
              <w:right w:w="85" w:type="dxa"/>
            </w:tcMar>
          </w:tcPr>
          <w:p>
            <w:pPr>
              <w:keepNext/>
              <w:spacing w:after="40" w:before="40" w:line="245" w:lineRule="auto"/>
            </w:pPr>
            <w:r>
              <w:rPr>
                <w:b/>
                <w:color w:val="FFFFFF"/>
                <w:sz w:val="20"/>
              </w:rPr>
              <w:t>Entrega</w:t>
            </w:r>
          </w:p>
        </w:tc>
        <w:tc>
          <w:tcPr>
            <w:tcW w:type="dxa" w:w="4176"/>
            <w:vAlign w:val="center"/>
            <w:shd w:fill="243746"/>
            <w:tcMar>
              <w:top w:w="85" w:type="dxa"/>
              <w:bottom w:w="85" w:type="dxa"/>
              <w:left w:w="85" w:type="dxa"/>
              <w:right w:w="85" w:type="dxa"/>
            </w:tcMar>
          </w:tcPr>
          <w:p>
            <w:pPr>
              <w:keepNext/>
              <w:spacing w:after="40" w:before="40" w:line="245" w:lineRule="auto"/>
            </w:pPr>
            <w:r>
              <w:rPr>
                <w:b/>
                <w:color w:val="FFFFFF"/>
                <w:sz w:val="20"/>
              </w:rPr>
              <w:t>Criterio de salida</w:t>
            </w:r>
          </w:p>
        </w:tc>
      </w:tr>
      <w:tr>
        <w:trPr>
          <w:cantSplit/>
        </w:trPr>
        <w:tc>
          <w:tcPr>
            <w:tcW w:type="dxa" w:w="1728"/>
            <w:vAlign w:val="center"/>
            <w:shd w:fill="FFFFFF"/>
            <w:tcMar>
              <w:top w:w="85" w:type="dxa"/>
              <w:bottom w:w="85" w:type="dxa"/>
              <w:left w:w="85" w:type="dxa"/>
              <w:right w:w="85" w:type="dxa"/>
            </w:tcMar>
          </w:tcPr>
          <w:p>
            <w:pPr>
              <w:keepNext w:val="0"/>
              <w:spacing w:after="40" w:before="40" w:line="245" w:lineRule="auto"/>
            </w:pPr>
            <w:r>
              <w:rPr>
                <w:b w:val="0"/>
                <w:color w:val="000000"/>
                <w:sz w:val="20"/>
              </w:rPr>
              <w:t>0 Descubrimiento</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EC2 nueva, inventario actual y diseño de entornos aislados.</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Línea base y plan de reversión documentados.</w:t>
            </w:r>
          </w:p>
        </w:tc>
      </w:tr>
      <w:tr>
        <w:trPr>
          <w:cantSplit/>
        </w:trPr>
        <w:tc>
          <w:tcPr>
            <w:tcW w:type="dxa" w:w="1728"/>
            <w:vAlign w:val="center"/>
            <w:shd w:fill="F1F4F6"/>
            <w:tcMar>
              <w:top w:w="85" w:type="dxa"/>
              <w:bottom w:w="85" w:type="dxa"/>
              <w:left w:w="85" w:type="dxa"/>
              <w:right w:w="85" w:type="dxa"/>
            </w:tcMar>
          </w:tcPr>
          <w:p>
            <w:pPr>
              <w:keepNext w:val="0"/>
              <w:spacing w:after="40" w:before="40" w:line="245" w:lineRule="auto"/>
            </w:pPr>
            <w:r>
              <w:rPr>
                <w:b w:val="0"/>
                <w:color w:val="000000"/>
                <w:sz w:val="20"/>
              </w:rPr>
              <w:t>1 Prueba técnica</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Dos empresas aisladas, gateways y cliente Windows universal.</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Redes repetidas, Internet local y remoto sin reinstalar probados.</w:t>
            </w:r>
          </w:p>
        </w:tc>
      </w:tr>
      <w:tr>
        <w:trPr>
          <w:cantSplit/>
        </w:trPr>
        <w:tc>
          <w:tcPr>
            <w:tcW w:type="dxa" w:w="1728"/>
            <w:vAlign w:val="center"/>
            <w:shd w:fill="FFFFFF"/>
            <w:tcMar>
              <w:top w:w="85" w:type="dxa"/>
              <w:bottom w:w="85" w:type="dxa"/>
              <w:left w:w="85" w:type="dxa"/>
              <w:right w:w="85" w:type="dxa"/>
            </w:tcMar>
          </w:tcPr>
          <w:p>
            <w:pPr>
              <w:keepNext w:val="0"/>
              <w:spacing w:after="40" w:before="40" w:line="245" w:lineRule="auto"/>
            </w:pPr>
            <w:r>
              <w:rPr>
                <w:b w:val="0"/>
                <w:color w:val="000000"/>
                <w:sz w:val="20"/>
              </w:rPr>
              <w:t>2 Producto inicial</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Portal de autoservicio, suscripciones, equipos, redes, operaciones y reportes.</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Recorrido de alta a suspensión probado.</w:t>
            </w:r>
          </w:p>
        </w:tc>
      </w:tr>
      <w:tr>
        <w:trPr>
          <w:cantSplit/>
        </w:trPr>
        <w:tc>
          <w:tcPr>
            <w:tcW w:type="dxa" w:w="1728"/>
            <w:vAlign w:val="center"/>
            <w:shd w:fill="F1F4F6"/>
            <w:tcMar>
              <w:top w:w="85" w:type="dxa"/>
              <w:bottom w:w="85" w:type="dxa"/>
              <w:left w:w="85" w:type="dxa"/>
              <w:right w:w="85" w:type="dxa"/>
            </w:tcMar>
          </w:tcPr>
          <w:p>
            <w:pPr>
              <w:keepNext w:val="0"/>
              <w:spacing w:after="40" w:before="40" w:line="245" w:lineRule="auto"/>
            </w:pPr>
            <w:r>
              <w:rPr>
                <w:b w:val="0"/>
                <w:color w:val="000000"/>
                <w:sz w:val="20"/>
              </w:rPr>
              <w:t>3 Piloto real</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Una empresa seleccionada y grupos limitados de equipos.</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Estabilidad, rendimiento y soporte aceptados.</w:t>
            </w:r>
          </w:p>
        </w:tc>
      </w:tr>
      <w:tr>
        <w:trPr>
          <w:cantSplit/>
        </w:trPr>
        <w:tc>
          <w:tcPr>
            <w:tcW w:type="dxa" w:w="1728"/>
            <w:vAlign w:val="center"/>
            <w:shd w:fill="FFFFFF"/>
            <w:tcMar>
              <w:top w:w="85" w:type="dxa"/>
              <w:bottom w:w="85" w:type="dxa"/>
              <w:left w:w="85" w:type="dxa"/>
              <w:right w:w="85" w:type="dxa"/>
            </w:tcMar>
          </w:tcPr>
          <w:p>
            <w:pPr>
              <w:keepNext w:val="0"/>
              <w:spacing w:after="40" w:before="40" w:line="245" w:lineRule="auto"/>
            </w:pPr>
            <w:r>
              <w:rPr>
                <w:b w:val="0"/>
                <w:color w:val="000000"/>
                <w:sz w:val="20"/>
              </w:rPr>
              <w:t>4 Ampliación</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macOS, Linux, móviles VPN y mayor automatización de gateways.</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Matriz por plataforma y despliegue gradual verificados.</w:t>
            </w:r>
          </w:p>
        </w:tc>
      </w:tr>
      <w:tr>
        <w:trPr>
          <w:cantSplit/>
        </w:trPr>
        <w:tc>
          <w:tcPr>
            <w:tcW w:type="dxa" w:w="1728"/>
            <w:vAlign w:val="center"/>
            <w:shd w:fill="F1F4F6"/>
            <w:tcMar>
              <w:top w:w="85" w:type="dxa"/>
              <w:bottom w:w="85" w:type="dxa"/>
              <w:left w:w="85" w:type="dxa"/>
              <w:right w:w="85" w:type="dxa"/>
            </w:tcMar>
          </w:tcPr>
          <w:p>
            <w:pPr>
              <w:keepNext w:val="0"/>
              <w:spacing w:after="40" w:before="40" w:line="245" w:lineRule="auto"/>
            </w:pPr>
            <w:r>
              <w:rPr>
                <w:b w:val="0"/>
                <w:color w:val="000000"/>
                <w:sz w:val="20"/>
              </w:rPr>
              <w:t>5 Evolución</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Malla directa, relays y redundancia según necesidad.</w:t>
            </w:r>
          </w:p>
        </w:tc>
        <w:tc>
          <w:tcPr>
            <w:tcW w:type="dxa" w:w="4176"/>
            <w:vAlign w:val="center"/>
            <w:shd w:fill="F1F4F6"/>
            <w:tcMar>
              <w:top w:w="85" w:type="dxa"/>
              <w:bottom w:w="85" w:type="dxa"/>
              <w:left w:w="85" w:type="dxa"/>
              <w:right w:w="85" w:type="dxa"/>
            </w:tcMar>
          </w:tcPr>
          <w:p>
            <w:pPr>
              <w:keepNext w:val="0"/>
              <w:spacing w:after="40" w:before="40" w:line="245" w:lineRule="auto"/>
            </w:pPr>
            <w:r>
              <w:rPr>
                <w:b w:val="0"/>
                <w:color w:val="000000"/>
                <w:sz w:val="20"/>
              </w:rPr>
              <w:t>NAT restrictivo, revocación y failover probados.</w:t>
            </w:r>
          </w:p>
        </w:tc>
      </w:tr>
      <w:tr>
        <w:trPr>
          <w:cantSplit/>
        </w:trPr>
        <w:tc>
          <w:tcPr>
            <w:tcW w:type="dxa" w:w="1728"/>
            <w:vAlign w:val="center"/>
            <w:shd w:fill="FFFFFF"/>
            <w:tcMar>
              <w:top w:w="85" w:type="dxa"/>
              <w:bottom w:w="85" w:type="dxa"/>
              <w:left w:w="85" w:type="dxa"/>
              <w:right w:w="85" w:type="dxa"/>
            </w:tcMar>
          </w:tcPr>
          <w:p>
            <w:pPr>
              <w:keepNext w:val="0"/>
              <w:spacing w:after="40" w:before="40" w:line="245" w:lineRule="auto"/>
            </w:pPr>
            <w:r>
              <w:rPr>
                <w:b w:val="0"/>
                <w:color w:val="000000"/>
                <w:sz w:val="20"/>
              </w:rPr>
              <w:t>6 Respaldo opcional</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Archivos, retención y restauración por empresa.</w:t>
            </w:r>
          </w:p>
        </w:tc>
        <w:tc>
          <w:tcPr>
            <w:tcW w:type="dxa" w:w="4176"/>
            <w:vAlign w:val="center"/>
            <w:shd w:fill="FFFFFF"/>
            <w:tcMar>
              <w:top w:w="85" w:type="dxa"/>
              <w:bottom w:w="85" w:type="dxa"/>
              <w:left w:w="85" w:type="dxa"/>
              <w:right w:w="85" w:type="dxa"/>
            </w:tcMar>
          </w:tcPr>
          <w:p>
            <w:pPr>
              <w:keepNext w:val="0"/>
              <w:spacing w:after="40" w:before="40" w:line="245" w:lineRule="auto"/>
            </w:pPr>
            <w:r>
              <w:rPr>
                <w:b w:val="0"/>
                <w:color w:val="000000"/>
                <w:sz w:val="20"/>
              </w:rPr>
              <w:t>Activación en el agente existente y restauración verificadas.</w:t>
            </w:r>
          </w:p>
        </w:tc>
      </w:tr>
    </w:tbl>
    <w:p>
      <w:pPr>
        <w:widowControl/>
        <w:spacing w:after="0"/>
      </w:pPr>
    </w:p>
    <w:p>
      <w:pPr>
        <w:pStyle w:val="Heading2"/>
      </w:pPr>
      <w:r>
        <w:t>Migración desde Webmin</w:t>
      </w:r>
    </w:p>
    <w:p>
      <w:pPr>
        <w:widowControl/>
      </w:pPr>
      <w:r>
        <w:t>Se inventariará el OpenVPN actual sin modificar producción. La EC2 nueva utilizará dirección y configuración propias. Primero se crearán dos empresas ficticias y redes de laboratorio. Superadas las pruebas, se migrarán grupos de una empresa real. Se importarán metadatos y se revisará si corresponde reemitir credenciales.</w:t>
      </w:r>
    </w:p>
    <w:p>
      <w:pPr>
        <w:widowControl/>
      </w:pPr>
      <w:r>
        <w:t>Webmin conservará el servidor anterior; Nexo administrará únicamente la EC2 nueva. La misma configuración no tendrá dos administradores activos. La migración evitará rutas concurrentes ambiguas o gateways duplicados. Cada cambio tendrá copia, comprobaciones y procedimiento de retorno al servidor anterior.</w:t>
      </w:r>
    </w:p>
    <w:p>
      <w:pPr>
        <w:widowControl/>
      </w:pPr>
      <w:r>
        <w:t>El cambio se hará por grupos: verificar conexión, DNS, aplicaciones, soporte, consumo y revocación. Una prueba exitosa de escritorio remoto no sustituye la validación del tráfico de sucursales. Antes de retirar la configuración anterior se confirmará estabilidad durante un período acordado.</w:t>
      </w:r>
    </w:p>
    <w:p>
      <w:pPr>
        <w:widowControl/>
      </w:pPr>
      <w:r>
        <w:t>La versión que se despliegue quedará identificada con artefactos, configuración y evidencia de pruebas. Las siguientes empresas se incorporarán reutilizando el proceso, sin ajustes manuales no registrados.</w:t>
      </w:r>
    </w:p>
    <w:p>
      <w:r>
        <w:br w:type="page"/>
      </w:r>
    </w:p>
    <w:p>
      <w:pPr>
        <w:pStyle w:val="Heading1"/>
      </w:pPr>
      <w:r>
        <w:t>18 Plan de validación</w:t>
      </w:r>
    </w:p>
    <w:p>
      <w:pPr>
        <w:widowControl/>
      </w:pPr>
      <w:r>
        <w:t>Los siguientes criterios son requisitos de aceptación propuestos. Se ejecutarán en laboratorio y después en el piloto autorizado. Este análisis no certifica un producto implementado ni resultados de rendimiento.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824"/>
        <w:gridCol w:w="4392"/>
      </w:tblGrid>
      <w:tr>
        <w:trPr>
          <w:cantSplit/>
          <w:tblHeader/>
        </w:trPr>
        <w:tc>
          <w:tcPr>
            <w:tcW w:type="dxa" w:w="864"/>
            <w:vAlign w:val="center"/>
            <w:shd w:fill="243746"/>
            <w:tcMar>
              <w:top w:w="85" w:type="dxa"/>
              <w:bottom w:w="85" w:type="dxa"/>
              <w:left w:w="85" w:type="dxa"/>
              <w:right w:w="85" w:type="dxa"/>
            </w:tcMar>
          </w:tcPr>
          <w:p>
            <w:pPr>
              <w:keepNext/>
              <w:spacing w:after="40" w:before="40" w:line="245" w:lineRule="auto"/>
            </w:pPr>
            <w:r>
              <w:rPr>
                <w:b/>
                <w:color w:val="FFFFFF"/>
                <w:sz w:val="20"/>
              </w:rPr>
              <w:t>ID</w:t>
            </w:r>
          </w:p>
        </w:tc>
        <w:tc>
          <w:tcPr>
            <w:tcW w:type="dxa" w:w="4824"/>
            <w:vAlign w:val="center"/>
            <w:shd w:fill="243746"/>
            <w:tcMar>
              <w:top w:w="85" w:type="dxa"/>
              <w:bottom w:w="85" w:type="dxa"/>
              <w:left w:w="85" w:type="dxa"/>
              <w:right w:w="85" w:type="dxa"/>
            </w:tcMar>
          </w:tcPr>
          <w:p>
            <w:pPr>
              <w:keepNext/>
              <w:spacing w:after="40" w:before="40" w:line="245" w:lineRule="auto"/>
            </w:pPr>
            <w:r>
              <w:rPr>
                <w:b/>
                <w:color w:val="FFFFFF"/>
                <w:sz w:val="20"/>
              </w:rPr>
              <w:t>Prueba</w:t>
            </w:r>
          </w:p>
        </w:tc>
        <w:tc>
          <w:tcPr>
            <w:tcW w:type="dxa" w:w="4392"/>
            <w:vAlign w:val="center"/>
            <w:shd w:fill="243746"/>
            <w:tcMar>
              <w:top w:w="85" w:type="dxa"/>
              <w:bottom w:w="85" w:type="dxa"/>
              <w:left w:w="85" w:type="dxa"/>
              <w:right w:w="85" w:type="dxa"/>
            </w:tcMar>
          </w:tcPr>
          <w:p>
            <w:pPr>
              <w:keepNext/>
              <w:spacing w:after="40" w:before="40" w:line="245" w:lineRule="auto"/>
            </w:pPr>
            <w:r>
              <w:rPr>
                <w:b/>
                <w:color w:val="FFFFFF"/>
                <w:sz w:val="20"/>
              </w:rPr>
              <w:t>Resultado exigido</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PV01</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Manipular identificadores de otra empresa en API y reportes.</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Acceso denegado sin filtrar datos.</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PV02</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Probar aislamiento entre redes y navegación local IPv4 e IPv6.</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Sin cruce entre empresas ni salida de Internet por la VPN.</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PV03</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Repetir y consumir simultáneamente invitaciones.</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Sin identidades duplicadas ni exceso de cuota.</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PV04</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Publicar dos LAN iguales en empresas distintas.</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Aislamiento y selección de contexto correctos.</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PV05</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Suspender módulos con túneles y sesiones activos.</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Cerrar sólo el módulo suspendido; verificar los demás servicios.</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PV06</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Técnico de empresa inicia soporte; usuario rechaza o termina.</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Acceso según contrato y permisos; cierre sin acceso posterior.</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PV07</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Reutilizar autorización remota caducada o ajena.</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Rechazo en el servicio remoto, no sólo en el portal.</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PV08</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Reiniciar agente y repetir telemetría.</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Contadores sin duplicación y huecos identificados.</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PV09</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Interrumpir API, cola o red durante un cambio.</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Reconciliación idempotente y estado honesto.</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PV10</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Distribuir actualización alterada o incompatible.</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Rechazo o recuperación de versión funcional.</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PV11</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Medir túneles y soporte con carga representativa.</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Línea base, límites y degradación documentados.</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PV12</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Restaurar el control desde una copia limpia.</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Recuperación dentro de metas acordadas.</w:t>
            </w:r>
          </w:p>
        </w:tc>
      </w:tr>
      <w:tr>
        <w:trPr>
          <w:cantSplit/>
        </w:trPr>
        <w:tc>
          <w:tcPr>
            <w:tcW w:type="dxa" w:w="864"/>
            <w:vAlign w:val="center"/>
            <w:shd w:fill="FFFFFF"/>
            <w:tcMar>
              <w:top w:w="85" w:type="dxa"/>
              <w:bottom w:w="85" w:type="dxa"/>
              <w:left w:w="85" w:type="dxa"/>
              <w:right w:w="85" w:type="dxa"/>
            </w:tcMar>
          </w:tcPr>
          <w:p>
            <w:pPr>
              <w:keepNext w:val="0"/>
              <w:spacing w:after="40" w:before="40" w:line="245" w:lineRule="auto"/>
            </w:pPr>
            <w:r>
              <w:rPr>
                <w:b w:val="0"/>
                <w:color w:val="000000"/>
                <w:sz w:val="20"/>
              </w:rPr>
              <w:t>PV13</w:t>
            </w:r>
          </w:p>
        </w:tc>
        <w:tc>
          <w:tcPr>
            <w:tcW w:type="dxa" w:w="4824"/>
            <w:vAlign w:val="center"/>
            <w:shd w:fill="FFFFFF"/>
            <w:tcMar>
              <w:top w:w="85" w:type="dxa"/>
              <w:bottom w:w="85" w:type="dxa"/>
              <w:left w:w="85" w:type="dxa"/>
              <w:right w:w="85" w:type="dxa"/>
            </w:tcMar>
          </w:tcPr>
          <w:p>
            <w:pPr>
              <w:keepNext w:val="0"/>
              <w:spacing w:after="40" w:before="40" w:line="245" w:lineRule="auto"/>
            </w:pPr>
            <w:r>
              <w:rPr>
                <w:b w:val="0"/>
                <w:color w:val="000000"/>
                <w:sz w:val="20"/>
              </w:rPr>
              <w:t>Activar remoto y backup por plataforma en un endpoint existente.</w:t>
            </w:r>
          </w:p>
        </w:tc>
        <w:tc>
          <w:tcPr>
            <w:tcW w:type="dxa" w:w="4392"/>
            <w:vAlign w:val="center"/>
            <w:shd w:fill="FFFFFF"/>
            <w:tcMar>
              <w:top w:w="85" w:type="dxa"/>
              <w:bottom w:w="85" w:type="dxa"/>
              <w:left w:w="85" w:type="dxa"/>
              <w:right w:w="85" w:type="dxa"/>
            </w:tcMar>
          </w:tcPr>
          <w:p>
            <w:pPr>
              <w:keepNext w:val="0"/>
              <w:spacing w:after="40" w:before="40" w:line="245" w:lineRule="auto"/>
            </w:pPr>
            <w:r>
              <w:rPr>
                <w:b w:val="0"/>
                <w:color w:val="000000"/>
                <w:sz w:val="20"/>
              </w:rPr>
              <w:t>Misma instalación e identidad; permisos y estados confirmados.</w:t>
            </w:r>
          </w:p>
        </w:tc>
      </w:tr>
      <w:tr>
        <w:trPr>
          <w:cantSplit/>
        </w:trPr>
        <w:tc>
          <w:tcPr>
            <w:tcW w:type="dxa" w:w="864"/>
            <w:vAlign w:val="center"/>
            <w:shd w:fill="F1F4F6"/>
            <w:tcMar>
              <w:top w:w="85" w:type="dxa"/>
              <w:bottom w:w="85" w:type="dxa"/>
              <w:left w:w="85" w:type="dxa"/>
              <w:right w:w="85" w:type="dxa"/>
            </w:tcMar>
          </w:tcPr>
          <w:p>
            <w:pPr>
              <w:keepNext w:val="0"/>
              <w:spacing w:after="40" w:before="40" w:line="245" w:lineRule="auto"/>
            </w:pPr>
            <w:r>
              <w:rPr>
                <w:b w:val="0"/>
                <w:color w:val="000000"/>
                <w:sz w:val="20"/>
              </w:rPr>
              <w:t>PV14</w:t>
            </w:r>
          </w:p>
        </w:tc>
        <w:tc>
          <w:tcPr>
            <w:tcW w:type="dxa" w:w="4824"/>
            <w:vAlign w:val="center"/>
            <w:shd w:fill="F1F4F6"/>
            <w:tcMar>
              <w:top w:w="85" w:type="dxa"/>
              <w:bottom w:w="85" w:type="dxa"/>
              <w:left w:w="85" w:type="dxa"/>
              <w:right w:w="85" w:type="dxa"/>
            </w:tcMar>
          </w:tcPr>
          <w:p>
            <w:pPr>
              <w:keepNext w:val="0"/>
              <w:spacing w:after="40" w:before="40" w:line="245" w:lineRule="auto"/>
            </w:pPr>
            <w:r>
              <w:rPr>
                <w:b w:val="0"/>
                <w:color w:val="000000"/>
                <w:sz w:val="20"/>
              </w:rPr>
              <w:t>Restaurar respaldos si se habilita el módulo.</w:t>
            </w:r>
          </w:p>
        </w:tc>
        <w:tc>
          <w:tcPr>
            <w:tcW w:type="dxa" w:w="4392"/>
            <w:vAlign w:val="center"/>
            <w:shd w:fill="F1F4F6"/>
            <w:tcMar>
              <w:top w:w="85" w:type="dxa"/>
              <w:bottom w:w="85" w:type="dxa"/>
              <w:left w:w="85" w:type="dxa"/>
              <w:right w:w="85" w:type="dxa"/>
            </w:tcMar>
          </w:tcPr>
          <w:p>
            <w:pPr>
              <w:keepNext w:val="0"/>
              <w:spacing w:after="40" w:before="40" w:line="245" w:lineRule="auto"/>
            </w:pPr>
            <w:r>
              <w:rPr>
                <w:b w:val="0"/>
                <w:color w:val="000000"/>
                <w:sz w:val="20"/>
              </w:rPr>
              <w:t>Contenido y metadatos recuperados y verificados.</w:t>
            </w:r>
          </w:p>
        </w:tc>
      </w:tr>
    </w:tbl>
    <w:p>
      <w:pPr>
        <w:widowControl/>
        <w:spacing w:after="0"/>
      </w:pPr>
    </w:p>
    <w:p>
      <w:pPr>
        <w:pStyle w:val="Heading2"/>
      </w:pPr>
      <w:r>
        <w:t>Evidencia y trazabilidad</w:t>
      </w:r>
    </w:p>
    <w:p>
      <w:pPr>
        <w:widowControl/>
      </w:pPr>
      <w:r>
        <w:t>Cada ejecución registrará versión, configuración, topología, fecha, datos de entrada, resultado y limitaciones. Las incidencias se vincularán al requisito afectado. La liberación requerirá resolver fallos de aislamiento, pérdida de credenciales, elevación de permisos y recuperación antes de ampliar el piloto.</w:t>
      </w:r>
    </w:p>
    <w:p>
      <w:pPr>
        <w:widowControl/>
      </w:pPr>
      <w:r>
        <w:t>Además de las pruebas anteriores, se ensayarán las combinaciones VPN con remoto y respaldo con remoto, sin VPN activa en la segunda. La carga objetivo se fijará con cantidades reales de empresas, endpoints, gateways y sesiones, no a partir del número actual de clientes.</w:t>
      </w:r>
    </w:p>
    <w:p>
      <w:r>
        <w:br w:type="page"/>
      </w:r>
    </w:p>
    <w:p>
      <w:pPr>
        <w:pStyle w:val="Heading1"/>
      </w:pPr>
      <w:r>
        <w:t>19 Riesgos y decisiones pendientes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88"/>
        <w:gridCol w:w="3960"/>
      </w:tblGrid>
      <w:tr>
        <w:trPr>
          <w:cantSplit/>
          <w:tblHeader/>
        </w:trPr>
        <w:tc>
          <w:tcPr>
            <w:tcW w:type="dxa" w:w="2232"/>
            <w:vAlign w:val="center"/>
            <w:shd w:fill="243746"/>
            <w:tcMar>
              <w:top w:w="85" w:type="dxa"/>
              <w:bottom w:w="85" w:type="dxa"/>
              <w:left w:w="85" w:type="dxa"/>
              <w:right w:w="85" w:type="dxa"/>
            </w:tcMar>
          </w:tcPr>
          <w:p>
            <w:pPr>
              <w:keepNext/>
              <w:spacing w:after="40" w:before="40" w:line="245" w:lineRule="auto"/>
            </w:pPr>
            <w:r>
              <w:rPr>
                <w:b/>
                <w:color w:val="FFFFFF"/>
                <w:sz w:val="20"/>
              </w:rPr>
              <w:t>Riesgo</w:t>
            </w:r>
          </w:p>
        </w:tc>
        <w:tc>
          <w:tcPr>
            <w:tcW w:type="dxa" w:w="3888"/>
            <w:vAlign w:val="center"/>
            <w:shd w:fill="243746"/>
            <w:tcMar>
              <w:top w:w="85" w:type="dxa"/>
              <w:bottom w:w="85" w:type="dxa"/>
              <w:left w:w="85" w:type="dxa"/>
              <w:right w:w="85" w:type="dxa"/>
            </w:tcMar>
          </w:tcPr>
          <w:p>
            <w:pPr>
              <w:keepNext/>
              <w:spacing w:after="40" w:before="40" w:line="245" w:lineRule="auto"/>
            </w:pPr>
            <w:r>
              <w:rPr>
                <w:b/>
                <w:color w:val="FFFFFF"/>
                <w:sz w:val="20"/>
              </w:rPr>
              <w:t>Respuesta de diseño</w:t>
            </w:r>
          </w:p>
        </w:tc>
        <w:tc>
          <w:tcPr>
            <w:tcW w:type="dxa" w:w="3960"/>
            <w:vAlign w:val="center"/>
            <w:shd w:fill="243746"/>
            <w:tcMar>
              <w:top w:w="85" w:type="dxa"/>
              <w:bottom w:w="85" w:type="dxa"/>
              <w:left w:w="85" w:type="dxa"/>
              <w:right w:w="85" w:type="dxa"/>
            </w:tcMar>
          </w:tcPr>
          <w:p>
            <w:pPr>
              <w:keepNext/>
              <w:spacing w:after="40" w:before="40" w:line="245" w:lineRule="auto"/>
            </w:pPr>
            <w:r>
              <w:rPr>
                <w:b/>
                <w:color w:val="FFFFFF"/>
                <w:sz w:val="20"/>
              </w:rPr>
              <w:t>Validación decisiva</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Acceso entre empresas</w:t>
            </w:r>
          </w:p>
        </w:tc>
        <w:tc>
          <w:tcPr>
            <w:tcW w:type="dxa" w:w="3888"/>
            <w:vAlign w:val="center"/>
            <w:shd w:fill="FFFFFF"/>
            <w:tcMar>
              <w:top w:w="85" w:type="dxa"/>
              <w:bottom w:w="85" w:type="dxa"/>
              <w:left w:w="85" w:type="dxa"/>
              <w:right w:w="85" w:type="dxa"/>
            </w:tcMar>
          </w:tcPr>
          <w:p>
            <w:pPr>
              <w:keepNext w:val="0"/>
              <w:spacing w:after="40" w:before="40" w:line="245" w:lineRule="auto"/>
            </w:pPr>
            <w:r>
              <w:rPr>
                <w:b w:val="0"/>
                <w:color w:val="000000"/>
                <w:sz w:val="20"/>
              </w:rPr>
              <w:t>Aislamiento en datos, rutas, agentes y motor remoto.</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Pruebas negativas automatizadas y de red.</w:t>
            </w:r>
          </w:p>
        </w:tc>
      </w:tr>
      <w:tr>
        <w:trPr>
          <w:cantSplit/>
        </w:trPr>
        <w:tc>
          <w:tcPr>
            <w:tcW w:type="dxa" w:w="2232"/>
            <w:vAlign w:val="center"/>
            <w:shd w:fill="F1F4F6"/>
            <w:tcMar>
              <w:top w:w="85" w:type="dxa"/>
              <w:bottom w:w="85" w:type="dxa"/>
              <w:left w:w="85" w:type="dxa"/>
              <w:right w:w="85" w:type="dxa"/>
            </w:tcMar>
          </w:tcPr>
          <w:p>
            <w:pPr>
              <w:keepNext w:val="0"/>
              <w:spacing w:after="40" w:before="40" w:line="245" w:lineRule="auto"/>
            </w:pPr>
            <w:r>
              <w:rPr>
                <w:b w:val="0"/>
                <w:color w:val="000000"/>
                <w:sz w:val="20"/>
              </w:rPr>
              <w:t>Cliente o actualizador comprometido</w:t>
            </w:r>
          </w:p>
        </w:tc>
        <w:tc>
          <w:tcPr>
            <w:tcW w:type="dxa" w:w="3888"/>
            <w:vAlign w:val="center"/>
            <w:shd w:fill="F1F4F6"/>
            <w:tcMar>
              <w:top w:w="85" w:type="dxa"/>
              <w:bottom w:w="85" w:type="dxa"/>
              <w:left w:w="85" w:type="dxa"/>
              <w:right w:w="85" w:type="dxa"/>
            </w:tcMar>
          </w:tcPr>
          <w:p>
            <w:pPr>
              <w:keepNext w:val="0"/>
              <w:spacing w:after="40" w:before="40" w:line="245" w:lineRule="auto"/>
            </w:pPr>
            <w:r>
              <w:rPr>
                <w:b w:val="0"/>
                <w:color w:val="000000"/>
                <w:sz w:val="20"/>
              </w:rPr>
              <w:t>Firma, privilegios limitados y despliegue por grupos.</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Rechazo de artefactos alterados.</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Malla bloqueada por NAT</w:t>
            </w:r>
          </w:p>
        </w:tc>
        <w:tc>
          <w:tcPr>
            <w:tcW w:type="dxa" w:w="3888"/>
            <w:vAlign w:val="center"/>
            <w:shd w:fill="FFFFFF"/>
            <w:tcMar>
              <w:top w:w="85" w:type="dxa"/>
              <w:bottom w:w="85" w:type="dxa"/>
              <w:left w:w="85" w:type="dxa"/>
              <w:right w:w="85" w:type="dxa"/>
            </w:tcMar>
          </w:tcPr>
          <w:p>
            <w:pPr>
              <w:keepNext w:val="0"/>
              <w:spacing w:after="40" w:before="40" w:line="245" w:lineRule="auto"/>
            </w:pPr>
            <w:r>
              <w:rPr>
                <w:b w:val="0"/>
                <w:color w:val="000000"/>
                <w:sz w:val="20"/>
              </w:rPr>
              <w:t>Detección, fallback y relay compatible.</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Escenarios reales con CGNAT y UDP restringido.</w:t>
            </w:r>
          </w:p>
        </w:tc>
      </w:tr>
      <w:tr>
        <w:trPr>
          <w:cantSplit/>
        </w:trPr>
        <w:tc>
          <w:tcPr>
            <w:tcW w:type="dxa" w:w="2232"/>
            <w:vAlign w:val="center"/>
            <w:shd w:fill="F1F4F6"/>
            <w:tcMar>
              <w:top w:w="85" w:type="dxa"/>
              <w:bottom w:w="85" w:type="dxa"/>
              <w:left w:w="85" w:type="dxa"/>
              <w:right w:w="85" w:type="dxa"/>
            </w:tcMar>
          </w:tcPr>
          <w:p>
            <w:pPr>
              <w:keepNext w:val="0"/>
              <w:spacing w:after="40" w:before="40" w:line="245" w:lineRule="auto"/>
            </w:pPr>
            <w:r>
              <w:rPr>
                <w:b w:val="0"/>
                <w:color w:val="000000"/>
                <w:sz w:val="20"/>
              </w:rPr>
              <w:t>Sobrecosto de tráfico</w:t>
            </w:r>
          </w:p>
        </w:tc>
        <w:tc>
          <w:tcPr>
            <w:tcW w:type="dxa" w:w="3888"/>
            <w:vAlign w:val="center"/>
            <w:shd w:fill="F1F4F6"/>
            <w:tcMar>
              <w:top w:w="85" w:type="dxa"/>
              <w:bottom w:w="85" w:type="dxa"/>
              <w:left w:w="85" w:type="dxa"/>
              <w:right w:w="85" w:type="dxa"/>
            </w:tcMar>
          </w:tcPr>
          <w:p>
            <w:pPr>
              <w:keepNext w:val="0"/>
              <w:spacing w:after="40" w:before="40" w:line="245" w:lineRule="auto"/>
            </w:pPr>
            <w:r>
              <w:rPr>
                <w:b w:val="0"/>
                <w:color w:val="000000"/>
                <w:sz w:val="20"/>
              </w:rPr>
              <w:t>Separar categorías y medir relay y transferencia.</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Modelo mensual con cargas observadas.</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Revocación incompleta</w:t>
            </w:r>
          </w:p>
        </w:tc>
        <w:tc>
          <w:tcPr>
            <w:tcW w:type="dxa" w:w="3888"/>
            <w:vAlign w:val="center"/>
            <w:shd w:fill="FFFFFF"/>
            <w:tcMar>
              <w:top w:w="85" w:type="dxa"/>
              <w:bottom w:w="85" w:type="dxa"/>
              <w:left w:w="85" w:type="dxa"/>
              <w:right w:w="85" w:type="dxa"/>
            </w:tcMar>
          </w:tcPr>
          <w:p>
            <w:pPr>
              <w:keepNext w:val="0"/>
              <w:spacing w:after="40" w:before="40" w:line="245" w:lineRule="auto"/>
            </w:pPr>
            <w:r>
              <w:rPr>
                <w:b w:val="0"/>
                <w:color w:val="000000"/>
                <w:sz w:val="20"/>
              </w:rPr>
              <w:t>Políticas con vigencia y confirmaciones por agente.</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Pérdida de control y reconexión ensayadas.</w:t>
            </w:r>
          </w:p>
        </w:tc>
      </w:tr>
      <w:tr>
        <w:trPr>
          <w:cantSplit/>
        </w:trPr>
        <w:tc>
          <w:tcPr>
            <w:tcW w:type="dxa" w:w="2232"/>
            <w:vAlign w:val="center"/>
            <w:shd w:fill="F1F4F6"/>
            <w:tcMar>
              <w:top w:w="85" w:type="dxa"/>
              <w:bottom w:w="85" w:type="dxa"/>
              <w:left w:w="85" w:type="dxa"/>
              <w:right w:w="85" w:type="dxa"/>
            </w:tcMar>
          </w:tcPr>
          <w:p>
            <w:pPr>
              <w:keepNext w:val="0"/>
              <w:spacing w:after="40" w:before="40" w:line="245" w:lineRule="auto"/>
            </w:pPr>
            <w:r>
              <w:rPr>
                <w:b w:val="0"/>
                <w:color w:val="000000"/>
                <w:sz w:val="20"/>
              </w:rPr>
              <w:t>Integración remota insuficiente</w:t>
            </w:r>
          </w:p>
        </w:tc>
        <w:tc>
          <w:tcPr>
            <w:tcW w:type="dxa" w:w="3888"/>
            <w:vAlign w:val="center"/>
            <w:shd w:fill="F1F4F6"/>
            <w:tcMar>
              <w:top w:w="85" w:type="dxa"/>
              <w:bottom w:w="85" w:type="dxa"/>
              <w:left w:w="85" w:type="dxa"/>
              <w:right w:w="85" w:type="dxa"/>
            </w:tcMar>
          </w:tcPr>
          <w:p>
            <w:pPr>
              <w:keepNext w:val="0"/>
              <w:spacing w:after="40" w:before="40" w:line="245" w:lineRule="auto"/>
            </w:pPr>
            <w:r>
              <w:rPr>
                <w:b w:val="0"/>
                <w:color w:val="000000"/>
                <w:sz w:val="20"/>
              </w:rPr>
              <w:t>Adaptador y evaluación temprana del motor.</w:t>
            </w:r>
          </w:p>
        </w:tc>
        <w:tc>
          <w:tcPr>
            <w:tcW w:type="dxa" w:w="3960"/>
            <w:vAlign w:val="center"/>
            <w:shd w:fill="F1F4F6"/>
            <w:tcMar>
              <w:top w:w="85" w:type="dxa"/>
              <w:bottom w:w="85" w:type="dxa"/>
              <w:left w:w="85" w:type="dxa"/>
              <w:right w:w="85" w:type="dxa"/>
            </w:tcMar>
          </w:tcPr>
          <w:p>
            <w:pPr>
              <w:keepNext w:val="0"/>
              <w:spacing w:after="40" w:before="40" w:line="245" w:lineRule="auto"/>
            </w:pPr>
            <w:r>
              <w:rPr>
                <w:b w:val="0"/>
                <w:color w:val="000000"/>
                <w:sz w:val="20"/>
              </w:rPr>
              <w:t>Prueba Windows y pruebas mínimas Mac y Linux.</w:t>
            </w:r>
          </w:p>
        </w:tc>
      </w:tr>
      <w:tr>
        <w:trPr>
          <w:cantSplit/>
        </w:trPr>
        <w:tc>
          <w:tcPr>
            <w:tcW w:type="dxa" w:w="2232"/>
            <w:vAlign w:val="center"/>
            <w:shd w:fill="FFFFFF"/>
            <w:tcMar>
              <w:top w:w="85" w:type="dxa"/>
              <w:bottom w:w="85" w:type="dxa"/>
              <w:left w:w="85" w:type="dxa"/>
              <w:right w:w="85" w:type="dxa"/>
            </w:tcMar>
          </w:tcPr>
          <w:p>
            <w:pPr>
              <w:keepNext w:val="0"/>
              <w:spacing w:after="40" w:before="40" w:line="245" w:lineRule="auto"/>
            </w:pPr>
            <w:r>
              <w:rPr>
                <w:b w:val="0"/>
                <w:color w:val="000000"/>
                <w:sz w:val="20"/>
              </w:rPr>
              <w:t>Ampliación excesiva del alcance</w:t>
            </w:r>
          </w:p>
        </w:tc>
        <w:tc>
          <w:tcPr>
            <w:tcW w:type="dxa" w:w="3888"/>
            <w:vAlign w:val="center"/>
            <w:shd w:fill="FFFFFF"/>
            <w:tcMar>
              <w:top w:w="85" w:type="dxa"/>
              <w:bottom w:w="85" w:type="dxa"/>
              <w:left w:w="85" w:type="dxa"/>
              <w:right w:w="85" w:type="dxa"/>
            </w:tcMar>
          </w:tcPr>
          <w:p>
            <w:pPr>
              <w:keepNext w:val="0"/>
              <w:spacing w:after="40" w:before="40" w:line="245" w:lineRule="auto"/>
            </w:pPr>
            <w:r>
              <w:rPr>
                <w:b w:val="0"/>
                <w:color w:val="000000"/>
                <w:sz w:val="20"/>
              </w:rPr>
              <w:t>Entregas con criterios y respaldo opcional separado.</w:t>
            </w:r>
          </w:p>
        </w:tc>
        <w:tc>
          <w:tcPr>
            <w:tcW w:type="dxa" w:w="3960"/>
            <w:vAlign w:val="center"/>
            <w:shd w:fill="FFFFFF"/>
            <w:tcMar>
              <w:top w:w="85" w:type="dxa"/>
              <w:bottom w:w="85" w:type="dxa"/>
              <w:left w:w="85" w:type="dxa"/>
              <w:right w:w="85" w:type="dxa"/>
            </w:tcMar>
          </w:tcPr>
          <w:p>
            <w:pPr>
              <w:keepNext w:val="0"/>
              <w:spacing w:after="40" w:before="40" w:line="245" w:lineRule="auto"/>
            </w:pPr>
            <w:r>
              <w:rPr>
                <w:b w:val="0"/>
                <w:color w:val="000000"/>
                <w:sz w:val="20"/>
              </w:rPr>
              <w:t>Cierre de cada recorrido antes de ampliarlo.</w:t>
            </w:r>
          </w:p>
        </w:tc>
      </w:tr>
    </w:tbl>
    <w:p>
      <w:pPr>
        <w:widowControl/>
        <w:spacing w:after="0"/>
      </w:pPr>
    </w:p>
    <w:p>
      <w:pPr>
        <w:pStyle w:val="Heading2"/>
      </w:pPr>
      <w:r>
        <w:t>Datos necesarios para dimensionar</w:t>
      </w:r>
    </w:p>
    <w:p>
      <w:pPr>
        <w:widowControl/>
      </w:pPr>
      <w:r>
        <w:t>Se requiere conocer sistema operativo y versión de OpenVPN en EC2, tipo de instancia, región, redes actuales, gateways por sucursal, usuarios y endpoints por empresa, concurrencia y transferencia mensual. También deben identificarse sistemas operativos de escritorio y si los clientes requieren acceso simultáneo a varias empresas o redes superpuestas.</w:t>
      </w:r>
    </w:p>
    <w:p>
      <w:pPr>
        <w:pStyle w:val="Heading2"/>
      </w:pPr>
      <w:r>
        <w:t>Decisiones de producto por cerrar</w:t>
      </w:r>
    </w:p>
    <w:p>
      <w:pPr>
        <w:pStyle w:val="ListBullet"/>
        <w:widowControl/>
      </w:pPr>
      <w:r>
        <w:t>Qué acciones podrá delegar cada cliente a sus técnicos y al proveedor, y durante cuánto tiempo.</w:t>
      </w:r>
    </w:p>
    <w:p>
      <w:pPr>
        <w:pStyle w:val="ListBullet"/>
        <w:widowControl/>
      </w:pPr>
      <w:r>
        <w:t>Límites iniciales de los planes, período de gracia y tratamiento de cada módulo al suspender.</w:t>
      </w:r>
    </w:p>
    <w:p>
      <w:pPr>
        <w:pStyle w:val="ListBullet"/>
        <w:widowControl/>
      </w:pPr>
      <w:r>
        <w:t>Vigencia de políticas sin conexión al control, retención de auditoría y tratamiento de datos al cancelar.</w:t>
      </w:r>
    </w:p>
    <w:p>
      <w:pPr>
        <w:pStyle w:val="ListBullet"/>
        <w:widowControl/>
      </w:pPr>
      <w:r>
        <w:t>Motor remoto definitivo, stack de la API y mecanismo de instalación y actualización por plataforma.</w:t>
      </w:r>
    </w:p>
    <w:p>
      <w:pPr>
        <w:pStyle w:val="ListBullet"/>
        <w:widowControl/>
      </w:pPr>
      <w:r>
        <w:t>Objetivos comerciales de disponibilidad y recuperación, una vez medidos costos y capacidad.</w:t>
      </w:r>
    </w:p>
    <w:p>
      <w:pPr>
        <w:widowControl/>
      </w:pPr>
      <w:r>
        <w:t>El siguiente paso es implementar el piloto en una EC2 nueva: registrar el nodo, crear dos entornos empresariales aislados y conectar gateways y equipos de laboratorio. Se validarán rutas privadas, altas autónomas, suspensión y recuperación antes de trasladar una empresa real. Las secciones 20 a 23 concretan este escenario.</w:t>
      </w:r>
    </w:p>
    <w:p>
      <w:r>
        <w:br w:type="page"/>
      </w:r>
    </w:p>
    <w:p>
      <w:pPr>
        <w:pStyle w:val="Heading1"/>
      </w:pPr>
      <w:r>
        <w:t>20 Despliegue inicial en una EC2 nueva</w:t>
      </w:r>
    </w:p>
    <w:p>
      <w:pPr>
        <w:widowControl/>
      </w:pPr>
      <w:r>
        <w:t>La unidad inicial será un nodo Nexo compartido en una EC2 nueva, con un entorno VPN lógico por empresa. Esta es la arquitectura base del piloto. La instancia existente conservará el servicio OpenVPN de producción durante la validación y la migración.</w:t>
      </w:r>
    </w:p>
    <w:p>
      <w:r>
        <w:drawing>
          <wp:inline xmlns:a="http://schemas.openxmlformats.org/drawingml/2006/main" xmlns:pic="http://schemas.openxmlformats.org/drawingml/2006/picture">
            <wp:extent cx="6355080" cy="2753868"/>
            <wp:docPr id="2" name="Picture 2"/>
            <wp:cNvGraphicFramePr>
              <a:graphicFrameLocks noChangeAspect="1"/>
            </wp:cNvGraphicFramePr>
            <a:graphic>
              <a:graphicData uri="http://schemas.openxmlformats.org/drawingml/2006/picture">
                <pic:pic>
                  <pic:nvPicPr>
                    <pic:cNvPr id="0" name="deployment_v12.png"/>
                    <pic:cNvPicPr/>
                  </pic:nvPicPr>
                  <pic:blipFill>
                    <a:blip r:embed="rId27"/>
                    <a:stretch>
                      <a:fillRect/>
                    </a:stretch>
                  </pic:blipFill>
                  <pic:spPr>
                    <a:xfrm>
                      <a:off x="0" y="0"/>
                      <a:ext cx="6355080" cy="2753868"/>
                    </a:xfrm>
                    <a:prstGeom prst="rect"/>
                  </pic:spPr>
                </pic:pic>
              </a:graphicData>
            </a:graphic>
          </wp:inline>
        </w:drawing>
      </w:r>
    </w:p>
    <w:p>
      <w:pPr>
        <w:pStyle w:val="Caption"/>
        <w:widowControl/>
      </w:pPr>
      <w:r>
        <w:t>Figura 2 Distribución inicial y límites de los entornos VPN</w:t>
      </w:r>
    </w:p>
    <w:p>
      <w:pPr>
        <w:pStyle w:val="Heading2"/>
      </w:pPr>
      <w:r>
        <w:t>Preparación del host</w:t>
      </w:r>
    </w:p>
    <w:p>
      <w:pPr>
        <w:widowControl/>
      </w:pPr>
      <w:r>
        <w:t>Se propone Linux con soporte vigente, IP pública estable, DNS y HTTPS, EBS cifrado y copias externas. Se comprobarán kernel, TUN, OpenVPN y WireGuard. El tamaño, la región y el almacenamiento se elegirán con la carga real; no se fija una familia EC2 como capacidad garantizada.</w:t>
      </w:r>
    </w:p>
    <w:p>
      <w:pPr>
        <w:widowControl/>
      </w:pPr>
      <w:r>
        <w:t>El panel y la API tendrán acceso HTTPS. Base de datos, cola y sockets administrativos permanecerán restringidos. Se permitirá únicamente el conjunto de puertos VPN asignados. El agente del nodo se autenticará ante la API; el usuario del panel no tendrá acceso al sistema operativo, al runtime de contenedores ni a interfaces privilegiadas.</w:t>
      </w:r>
    </w:p>
    <w:p>
      <w:pPr>
        <w:pStyle w:val="Heading2"/>
      </w:pPr>
      <w:r>
        <w:t>Secuencia de puesta en servicio</w:t>
      </w:r>
    </w:p>
    <w:p>
      <w:pPr>
        <w:pStyle w:val="ListBullet"/>
        <w:widowControl/>
      </w:pPr>
      <w:r>
        <w:t>Crear la EC2 y desplegar control, datos persistentes y agente en servicios separados. Registrar el nodo con identidad propia, capacidades y estado.</w:t>
      </w:r>
    </w:p>
    <w:p>
      <w:pPr>
        <w:pStyle w:val="ListBullet"/>
        <w:widowControl/>
      </w:pPr>
      <w:r>
        <w:t>Crear dos empresas ficticias y asignar a cada una un entorno VPN. La empresa comercial y su entorno técnico serán registros distintos.</w:t>
      </w:r>
    </w:p>
    <w:p>
      <w:pPr>
        <w:pStyle w:val="ListBullet"/>
        <w:widowControl/>
      </w:pPr>
      <w:r>
        <w:t>Conectar dos gateways de una empresa y equipos individuales; crear la segunda con una LAN repetida para verificar separación.</w:t>
      </w:r>
    </w:p>
    <w:p>
      <w:pPr>
        <w:pStyle w:val="ListBullet"/>
        <w:widowControl/>
      </w:pPr>
      <w:r>
        <w:t>Validar Internet local, rutas, suspensión y reconstrucción tras reinicio. Incorporar una empresa real solo después de aceptar el piloto.</w:t>
      </w:r>
    </w:p>
    <w:p>
      <w:pPr>
        <w:widowControl/>
      </w:pPr>
      <w:r>
        <w:t>La coexistencia de control y conectividad reduce el costo inicial, pero comparte el dominio de falla. La siguiente ampliación podrá separar el control y agregar nodos sin cambiar la identidad de los endpoints.</w:t>
      </w:r>
    </w:p>
    <w:p>
      <w:r>
        <w:br w:type="page"/>
      </w:r>
    </w:p>
    <w:p>
      <w:pPr>
        <w:pStyle w:val="Heading1"/>
      </w:pPr>
      <w:r>
        <w:t>21 Aislamiento de la VPN por empresa</w:t>
      </w:r>
    </w:p>
    <w:p>
      <w:pPr>
        <w:widowControl/>
      </w:pPr>
      <w:r>
        <w:t>Cada TenantEnvironment pertenecerá a una empresa y a un Node. Una empresa podrá incorporar otros entornos cuando necesite separar dominios de red; no se crearán conexiones entre ellos de forma implícita. El nombre visible podrá ser “VPN de la empresa”, conservando esta distinción en el modelo técnico.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243746"/>
            <w:tcMar>
              <w:top w:w="85" w:type="dxa"/>
              <w:bottom w:w="85" w:type="dxa"/>
              <w:left w:w="85" w:type="dxa"/>
              <w:right w:w="85" w:type="dxa"/>
            </w:tcMar>
          </w:tcPr>
          <w:p>
            <w:pPr>
              <w:spacing w:after="40" w:before="40" w:line="245" w:lineRule="auto"/>
            </w:pPr>
            <w:r>
              <w:rPr>
                <w:b/>
                <w:color w:val="FFFFFF"/>
                <w:sz w:val="20"/>
              </w:rPr>
              <w:t>Elemento</w:t>
            </w:r>
          </w:p>
        </w:tc>
        <w:tc>
          <w:tcPr>
            <w:tcW w:type="dxa" w:w="7920"/>
            <w:vAlign w:val="center"/>
            <w:shd w:fill="243746"/>
            <w:tcMar>
              <w:top w:w="85" w:type="dxa"/>
              <w:bottom w:w="85" w:type="dxa"/>
              <w:left w:w="85" w:type="dxa"/>
              <w:right w:w="85" w:type="dxa"/>
            </w:tcMar>
          </w:tcPr>
          <w:p>
            <w:pPr>
              <w:spacing w:after="40" w:before="40" w:line="245" w:lineRule="auto"/>
            </w:pPr>
            <w:r>
              <w:rPr>
                <w:b/>
                <w:color w:val="FFFFFF"/>
                <w:sz w:val="20"/>
              </w:rPr>
              <w:t>Diseño del piloto</w:t>
            </w:r>
          </w:p>
        </w:tc>
      </w:tr>
      <w:tr>
        <w:trPr>
          <w:cantSplit/>
        </w:trPr>
        <w:tc>
          <w:tcPr>
            <w:tcW w:type="dxa" w:w="2160"/>
            <w:vAlign w:val="center"/>
            <w:shd w:fill="FFFFFF"/>
            <w:tcMar>
              <w:top w:w="85" w:type="dxa"/>
              <w:bottom w:w="85" w:type="dxa"/>
              <w:left w:w="85" w:type="dxa"/>
              <w:right w:w="85" w:type="dxa"/>
            </w:tcMar>
          </w:tcPr>
          <w:p>
            <w:pPr>
              <w:spacing w:after="40" w:before="40" w:line="245" w:lineRule="auto"/>
            </w:pPr>
            <w:r>
              <w:rPr>
                <w:b w:val="0"/>
                <w:color w:val="000000"/>
                <w:sz w:val="20"/>
              </w:rPr>
              <w:t>Red del entorno</w:t>
            </w:r>
          </w:p>
        </w:tc>
        <w:tc>
          <w:tcPr>
            <w:tcW w:type="dxa" w:w="7920"/>
            <w:vAlign w:val="center"/>
            <w:shd w:fill="FFFFFF"/>
            <w:tcMar>
              <w:top w:w="85" w:type="dxa"/>
              <w:bottom w:w="85" w:type="dxa"/>
              <w:left w:w="85" w:type="dxa"/>
              <w:right w:w="85" w:type="dxa"/>
            </w:tcMar>
          </w:tcPr>
          <w:p>
            <w:pPr>
              <w:spacing w:after="40" w:before="40" w:line="245" w:lineRule="auto"/>
            </w:pPr>
            <w:r>
              <w:rPr>
                <w:b w:val="0"/>
                <w:color w:val="000000"/>
                <w:sz w:val="20"/>
              </w:rPr>
              <w:t>Namespace propio con interfaces, rutas IPv4 e IPv6 y firewall.</w:t>
            </w:r>
          </w:p>
        </w:tc>
      </w:tr>
      <w:tr>
        <w:trPr>
          <w:cantSplit/>
        </w:trPr>
        <w:tc>
          <w:tcPr>
            <w:tcW w:type="dxa" w:w="2160"/>
            <w:vAlign w:val="center"/>
            <w:shd w:fill="F1F4F6"/>
            <w:tcMar>
              <w:top w:w="85" w:type="dxa"/>
              <w:bottom w:w="85" w:type="dxa"/>
              <w:left w:w="85" w:type="dxa"/>
              <w:right w:w="85" w:type="dxa"/>
            </w:tcMar>
          </w:tcPr>
          <w:p>
            <w:pPr>
              <w:spacing w:after="40" w:before="40" w:line="245" w:lineRule="auto"/>
            </w:pPr>
            <w:r>
              <w:rPr>
                <w:b w:val="0"/>
                <w:color w:val="000000"/>
                <w:sz w:val="20"/>
              </w:rPr>
              <w:t>Motor VPN</w:t>
            </w:r>
          </w:p>
        </w:tc>
        <w:tc>
          <w:tcPr>
            <w:tcW w:type="dxa" w:w="7920"/>
            <w:vAlign w:val="center"/>
            <w:shd w:fill="F1F4F6"/>
            <w:tcMar>
              <w:top w:w="85" w:type="dxa"/>
              <w:bottom w:w="85" w:type="dxa"/>
              <w:left w:w="85" w:type="dxa"/>
              <w:right w:w="85" w:type="dxa"/>
            </w:tcMar>
          </w:tcPr>
          <w:p>
            <w:pPr>
              <w:spacing w:after="40" w:before="40" w:line="245" w:lineRule="auto"/>
            </w:pPr>
            <w:r>
              <w:rPr>
                <w:b w:val="0"/>
                <w:color w:val="000000"/>
                <w:sz w:val="20"/>
              </w:rPr>
              <w:t>Servicio OpenVPN o interfaz WireGuard del entorno; ambos mediante adaptadores.</w:t>
            </w:r>
          </w:p>
        </w:tc>
      </w:tr>
      <w:tr>
        <w:trPr>
          <w:cantSplit/>
        </w:trPr>
        <w:tc>
          <w:tcPr>
            <w:tcW w:type="dxa" w:w="2160"/>
            <w:vAlign w:val="center"/>
            <w:shd w:fill="FFFFFF"/>
            <w:tcMar>
              <w:top w:w="85" w:type="dxa"/>
              <w:bottom w:w="85" w:type="dxa"/>
              <w:left w:w="85" w:type="dxa"/>
              <w:right w:w="85" w:type="dxa"/>
            </w:tcMar>
          </w:tcPr>
          <w:p>
            <w:pPr>
              <w:spacing w:after="40" w:before="40" w:line="245" w:lineRule="auto"/>
            </w:pPr>
            <w:r>
              <w:rPr>
                <w:b w:val="0"/>
                <w:color w:val="000000"/>
                <w:sz w:val="20"/>
              </w:rPr>
              <w:t>Identidad y archivos</w:t>
            </w:r>
          </w:p>
        </w:tc>
        <w:tc>
          <w:tcPr>
            <w:tcW w:type="dxa" w:w="7920"/>
            <w:vAlign w:val="center"/>
            <w:shd w:fill="FFFFFF"/>
            <w:tcMar>
              <w:top w:w="85" w:type="dxa"/>
              <w:bottom w:w="85" w:type="dxa"/>
              <w:left w:w="85" w:type="dxa"/>
              <w:right w:w="85" w:type="dxa"/>
            </w:tcMar>
          </w:tcPr>
          <w:p>
            <w:pPr>
              <w:spacing w:after="40" w:before="40" w:line="245" w:lineRule="auto"/>
            </w:pPr>
            <w:r>
              <w:rPr>
                <w:b w:val="0"/>
                <w:color w:val="000000"/>
                <w:sz w:val="20"/>
              </w:rPr>
              <w:t>Credenciales por dispositivo y configuración separada por entorno.</w:t>
            </w:r>
          </w:p>
        </w:tc>
      </w:tr>
      <w:tr>
        <w:trPr>
          <w:cantSplit/>
        </w:trPr>
        <w:tc>
          <w:tcPr>
            <w:tcW w:type="dxa" w:w="2160"/>
            <w:vAlign w:val="center"/>
            <w:shd w:fill="F1F4F6"/>
            <w:tcMar>
              <w:top w:w="85" w:type="dxa"/>
              <w:bottom w:w="85" w:type="dxa"/>
              <w:left w:w="85" w:type="dxa"/>
              <w:right w:w="85" w:type="dxa"/>
            </w:tcMar>
          </w:tcPr>
          <w:p>
            <w:pPr>
              <w:spacing w:after="40" w:before="40" w:line="245" w:lineRule="auto"/>
            </w:pPr>
            <w:r>
              <w:rPr>
                <w:b w:val="0"/>
                <w:color w:val="000000"/>
                <w:sz w:val="20"/>
              </w:rPr>
              <w:t>Recursos</w:t>
            </w:r>
          </w:p>
        </w:tc>
        <w:tc>
          <w:tcPr>
            <w:tcW w:type="dxa" w:w="7920"/>
            <w:vAlign w:val="center"/>
            <w:shd w:fill="F1F4F6"/>
            <w:tcMar>
              <w:top w:w="85" w:type="dxa"/>
              <w:bottom w:w="85" w:type="dxa"/>
              <w:left w:w="85" w:type="dxa"/>
              <w:right w:w="85" w:type="dxa"/>
            </w:tcMar>
          </w:tcPr>
          <w:p>
            <w:pPr>
              <w:spacing w:after="40" w:before="40" w:line="245" w:lineRule="auto"/>
            </w:pPr>
            <w:r>
              <w:rPr>
                <w:b w:val="0"/>
                <w:color w:val="000000"/>
                <w:sz w:val="20"/>
              </w:rPr>
              <w:t>Límites de proceso, CPU, memoria y disco; control de ancho de banda independiente.</w:t>
            </w:r>
          </w:p>
        </w:tc>
      </w:tr>
      <w:tr>
        <w:trPr>
          <w:cantSplit/>
        </w:trPr>
        <w:tc>
          <w:tcPr>
            <w:tcW w:type="dxa" w:w="2160"/>
            <w:vAlign w:val="center"/>
            <w:shd w:fill="FFFFFF"/>
            <w:tcMar>
              <w:top w:w="85" w:type="dxa"/>
              <w:bottom w:w="85" w:type="dxa"/>
              <w:left w:w="85" w:type="dxa"/>
              <w:right w:w="85" w:type="dxa"/>
            </w:tcMar>
          </w:tcPr>
          <w:p>
            <w:pPr>
              <w:spacing w:after="40" w:before="40" w:line="245" w:lineRule="auto"/>
            </w:pPr>
            <w:r>
              <w:rPr>
                <w:b w:val="0"/>
                <w:color w:val="000000"/>
                <w:sz w:val="20"/>
              </w:rPr>
              <w:t>Supervisión</w:t>
            </w:r>
          </w:p>
        </w:tc>
        <w:tc>
          <w:tcPr>
            <w:tcW w:type="dxa" w:w="7920"/>
            <w:vAlign w:val="center"/>
            <w:shd w:fill="FFFFFF"/>
            <w:tcMar>
              <w:top w:w="85" w:type="dxa"/>
              <w:bottom w:w="85" w:type="dxa"/>
              <w:left w:w="85" w:type="dxa"/>
              <w:right w:w="85" w:type="dxa"/>
            </w:tcMar>
          </w:tcPr>
          <w:p>
            <w:pPr>
              <w:spacing w:after="40" w:before="40" w:line="245" w:lineRule="auto"/>
            </w:pPr>
            <w:r>
              <w:rPr>
                <w:b w:val="0"/>
                <w:color w:val="000000"/>
                <w:sz w:val="20"/>
              </w:rPr>
              <w:t>Estado, revisión y métricas por entorno, motor y nodo.</w:t>
            </w:r>
          </w:p>
        </w:tc>
      </w:tr>
    </w:tbl>
    <w:p>
      <w:pPr>
        <w:widowControl/>
        <w:spacing w:after="0"/>
      </w:pPr>
    </w:p>
    <w:p>
      <w:pPr>
        <w:pStyle w:val="Heading2"/>
      </w:pPr>
      <w:r>
        <w:t>Implementación y frontera de confianza</w:t>
      </w:r>
    </w:p>
    <w:p>
      <w:pPr>
        <w:widowControl/>
      </w:pPr>
      <w:r>
        <w:t>Un namespace aísla la red, no todos los procesos ni archivos. Se combinará con unidades de servicio endurecidas y cgroups, o con un contenedor que ya tenga su propio namespace. Son mecanismos combinables; no hace falta añadir un segundo namespace por el mero uso de contenedores. [S17] [S18]</w:t>
      </w:r>
    </w:p>
    <w:p>
      <w:pPr>
        <w:widowControl/>
      </w:pPr>
      <w:r>
        <w:t>Se compartirán kernel, CPU, memoria, disco e interfaz del host. El runtime y el agente privilegiado serán exclusivos del proveedor. No se montarán sockets administrativos ni directorios de otras empresas dentro del entorno. Se concederán solo capacidades y dispositivos necesarios; se evitarán modo privilegiado y red del host. La separación no equivale a una EC2 dedicada. [S18]</w:t>
      </w:r>
    </w:p>
    <w:p>
      <w:pPr>
        <w:pStyle w:val="Heading2"/>
      </w:pPr>
      <w:r>
        <w:t>Entrada pública y transporte</w:t>
      </w:r>
    </w:p>
    <w:p>
      <w:pPr>
        <w:widowControl/>
      </w:pPr>
      <w:r>
        <w:t>Con una IP pública, Nexo reservará un puerto UDP por entorno y motor. Por ejemplo, OpenVPN A y B usarían 1194 y 1195; WireGuard A y B, 51820 y 51821. Son ejemplos, no asignaciones fijas. El puerto selecciona el servicio; las credenciales y políticas autorizan el acceso.</w:t>
      </w:r>
    </w:p>
    <w:p>
      <w:pPr>
        <w:widowControl/>
      </w:pPr>
      <w:r>
        <w:t>El host dirigirá el transporte cifrado al namespace mediante reglas explícitas y enlaces de tránsito propios. Las LAN empresariales permanecerán fuera de su tabla global. La ubicación del socket UDP de WireGuard depende del namespace donde se cree la interfaz; el adaptador deberá controlar ese paso y comprobar el retorno. [S19]</w:t>
      </w:r>
    </w:p>
    <w:p>
      <w:pPr>
        <w:pStyle w:val="Heading2"/>
      </w:pPr>
      <w:r>
        <w:t>Estado deseado y creación segura</w:t>
      </w:r>
    </w:p>
    <w:p>
      <w:pPr>
        <w:widowControl/>
      </w:pPr>
      <w:r>
        <w:t>POST /v1/tenant-environments reservará nodo, entorno y puerto con unicidad y capacidad. El agente creará red, reglas y motor, y confirmará la revisión. GET /v1/tenant-environments/{id} mostrará solicitado, aplicando, aplicado, operativo o error. La comprobación de conectividad será distinta de la aceptación de una orden.</w:t>
      </w:r>
    </w:p>
    <w:p>
      <w:pPr>
        <w:widowControl/>
      </w:pPr>
      <w:r>
        <w:t>Los reintentos serán idempotentes. Ante un fallo, se bloqueará el entorno incompleto y se revertirán solo sus recursos. Suspender no eliminará su configuración; retirar exigirá revocar accesos, limpiar reglas y liberar reservas de forma verificable.</w:t>
      </w:r>
    </w:p>
    <w:p>
      <w:r>
        <w:br w:type="page"/>
      </w:r>
    </w:p>
    <w:p>
      <w:pPr>
        <w:pStyle w:val="Heading1"/>
      </w:pPr>
      <w:r>
        <w:t>22 Alta de empresas sucursales y equipos</w:t>
      </w:r>
    </w:p>
    <w:p>
      <w:pPr>
        <w:pStyle w:val="Heading2"/>
      </w:pPr>
      <w:r>
        <w:t>CU01 Proveedor crea la VPN de una empresa</w:t>
      </w:r>
    </w:p>
    <w:p>
      <w:pPr>
        <w:widowControl/>
      </w:pPr>
      <w:r>
        <w:t>Precondiciones: empresa y suscripción VPN activas, nodo disponible y permisos de infraestructura. El proveedor selecciona empresa, nodo, protocolo, rango VPN y política inicial. La API valida cupo, conflictos de red y ausencia de rutas para salida a Internet, reserva recursos y crea la operación.</w:t>
      </w:r>
    </w:p>
    <w:p>
      <w:pPr>
        <w:widowControl/>
      </w:pPr>
      <w:r>
        <w:t>El agente prepara el entorno aislado y reporta la revisión aplicada. El proveedor ve su resultado y ejecuta una prueba con un endpoint. Resultado: la empresa tiene una VPN disponible para recibir equipos y gateways. La falta de capacidad deja la solicitud sin provisionar; un fallo parcial deja el entorno bloqueado y el error visible.</w:t>
      </w:r>
    </w:p>
    <w:p>
      <w:pPr>
        <w:pStyle w:val="Heading2"/>
      </w:pPr>
      <w:r>
        <w:t>CU02 Conectar una sucursal mediante gateway</w:t>
      </w:r>
    </w:p>
    <w:p>
      <w:pPr>
        <w:widowControl/>
      </w:pPr>
      <w:r>
        <w:t>El proveedor o un técnico con permisos delegados crea la sucursal, registra sus CIDR y define qué redes y recursos podrá alcanzar. Genera una invitación con capacidad de gateway; esta función requiere permiso adicional al alta de equipos normales.</w:t>
      </w:r>
    </w:p>
    <w:p>
      <w:pPr>
        <w:widowControl/>
      </w:pPr>
      <w:r>
        <w:t>Se instala el cliente universal en un equipo compatible y disponible de forma continua. El agente registra su identidad y recibe rutas, firewall y configuración del motor. Las rutas de retorno se configuran en el router LAN, o se valida un SNAT limitado a redes privadas cuando corresponda. Registrar el gateway por sí solo no cambia el router de la sucursal.</w:t>
      </w:r>
    </w:p>
    <w:p>
      <w:pPr>
        <w:widowControl/>
      </w:pPr>
      <w:r>
        <w:t>Se prueba el recorrido entre un equipo LAN y un recurso de otra sede en ambos sentidos autorizados. Si las LAN de dos sucursales de la misma empresa se superponen, se exige renumeración, traducción o separación explícita antes de activarlas. La salida habitual a Internet conserva su router local.</w:t>
      </w:r>
    </w:p>
    <w:p>
      <w:pPr>
        <w:pStyle w:val="Heading2"/>
      </w:pPr>
      <w:r>
        <w:t>CU03 Técnico del cliente añade un equipo</w:t>
      </w:r>
    </w:p>
    <w:p>
      <w:pPr>
        <w:widowControl/>
      </w:pPr>
      <w:r>
        <w:t>Precondiciones: membresía vigente, permiso endpoint.create, grupo autorizado y cupo. Desde Equipos, el técnico elige Añadir equipo, asigna sucursal, responsable, política y funciones contratadas. Nexo genera un código o enlace limitado a esa empresa, con caducidad y número de usos.</w:t>
      </w:r>
    </w:p>
    <w:p>
      <w:pPr>
        <w:widowControl/>
      </w:pPr>
      <w:r>
        <w:t>El usuario ejecuta el instalador universal. El agente genera su identidad y claves, registra el código y obtiene un identificador permanente. Si la política exige aprobación, se mantiene pendiente sin credenciales VPN operativas. Después de aprobarlo, recibe solo las redes y funciones autorizadas.</w:t>
      </w:r>
    </w:p>
    <w:p>
      <w:pPr>
        <w:widowControl/>
      </w:pPr>
      <w:r>
        <w:t>El técnico comprueba agente disponible, módulo VPN operativo y acceso al destino privado de prueba. Invitaciones vencidas, falta de cupo o permisos insuficientes se rechazan sin crear accesos parciales. Activar soporte o futuro backup conserva la instalación, identidad e historial; exige permisos nativos cuando correspondan.</w:t>
      </w:r>
    </w:p>
    <w:p>
      <w:pPr>
        <w:pStyle w:val="Heading2"/>
      </w:pPr>
      <w:r>
        <w:t>Responsabilidades y comprobación</w:t>
      </w:r>
    </w:p>
    <w:p>
      <w:pPr>
        <w:widowControl/>
      </w:pPr>
      <w:r>
        <w:t>El proveedor administra el host, los entornos y su capacidad. El técnico gestiona equipos y redes delegadas de su empresa; no selecciona arbitrariamente namespaces, puertos o comandos. Dar de alta un equipo no concede control remoto: ese acceso conserva su contrato, rol y autorización propios.</w:t>
      </w:r>
    </w:p>
    <w:p>
      <w:pPr>
        <w:widowControl/>
      </w:pPr>
      <w:r>
        <w:t>El recorrido de aceptación será empresa → entorno VPN → sucursal y gateway → equipo → recurso privado. El tráfico de navegación no utilizará el nodo VPN.</w:t>
      </w:r>
    </w:p>
    <w:p>
      <w:r>
        <w:br w:type="page"/>
      </w:r>
    </w:p>
    <w:p>
      <w:pPr>
        <w:pStyle w:val="Heading1"/>
      </w:pPr>
      <w:r>
        <w:t>23 Operación migración y pruebas del nodo</w:t>
      </w:r>
    </w:p>
    <w:p>
      <w:pPr>
        <w:pStyle w:val="Heading2"/>
      </w:pPr>
      <w:r>
        <w:t>Continuidad y traslado entre nodos</w:t>
      </w:r>
    </w:p>
    <w:p>
      <w:pPr>
        <w:widowControl/>
      </w:pPr>
      <w:r>
        <w:t>Tras reiniciar la EC2, el agente reconstruirá namespaces, interfaces, reglas y servicios desde configuración persistente, con denegación antes de admitir conexiones. Reconciliará las revisiones aplicadas y evitará duplicar peers, puertos o rutas. Una configuración inválida no habilitará un entorno parcialmente abierto.</w:t>
      </w:r>
    </w:p>
    <w:p>
      <w:pPr>
        <w:widowControl/>
      </w:pPr>
      <w:r>
        <w:t>Al fallar un entorno, la supervisión intentará recuperar solo ese servicio. Al fallar la EC2, todas sus VPN quedan afectadas y también el panel si reside allí. Conservar la política ante una caída de la API ayuda solo cuando el host y el motor siguen funcionando. Snapshots y backups permiten recuperación; no proporcionan continuidad automática.</w:t>
      </w:r>
    </w:p>
    <w:p>
      <w:pPr>
        <w:widowControl/>
      </w:pPr>
      <w:r>
        <w:t>El modelo permitirá trasladar una empresa a otro nodo: reservar destino, provisionar, actualizar dirección y políticas en los endpoints, probar y retirar el origen. Se conservarán identidades e historial, aunque pueda existir una ventana de reconexión. Un segundo nodo requiere un diseño y pruebas de failover antes de ofrecer alta disponibilidad.</w:t>
      </w:r>
    </w:p>
    <w:p>
      <w:pPr>
        <w:pStyle w:val="Heading2"/>
      </w:pPr>
      <w:r>
        <w:t>Pruebas adicionales obligatorias del piloto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744"/>
        <w:gridCol w:w="5544"/>
      </w:tblGrid>
      <w:tr>
        <w:trPr>
          <w:cantSplit/>
          <w:tblHeader/>
        </w:trPr>
        <w:tc>
          <w:tcPr>
            <w:tcW w:type="dxa" w:w="792"/>
            <w:vAlign w:val="center"/>
            <w:shd w:fill="243746"/>
            <w:tcMar>
              <w:top w:w="85" w:type="dxa"/>
              <w:bottom w:w="85" w:type="dxa"/>
              <w:left w:w="85" w:type="dxa"/>
              <w:right w:w="85" w:type="dxa"/>
            </w:tcMar>
          </w:tcPr>
          <w:p>
            <w:pPr>
              <w:spacing w:after="40" w:before="40" w:line="245" w:lineRule="auto"/>
            </w:pPr>
            <w:r>
              <w:rPr>
                <w:b/>
                <w:color w:val="FFFFFF"/>
                <w:sz w:val="20"/>
              </w:rPr>
              <w:t>ID</w:t>
            </w:r>
          </w:p>
        </w:tc>
        <w:tc>
          <w:tcPr>
            <w:tcW w:type="dxa" w:w="3744"/>
            <w:vAlign w:val="center"/>
            <w:shd w:fill="243746"/>
            <w:tcMar>
              <w:top w:w="85" w:type="dxa"/>
              <w:bottom w:w="85" w:type="dxa"/>
              <w:left w:w="85" w:type="dxa"/>
              <w:right w:w="85" w:type="dxa"/>
            </w:tcMar>
          </w:tcPr>
          <w:p>
            <w:pPr>
              <w:spacing w:after="40" w:before="40" w:line="245" w:lineRule="auto"/>
            </w:pPr>
            <w:r>
              <w:rPr>
                <w:b/>
                <w:color w:val="FFFFFF"/>
                <w:sz w:val="20"/>
              </w:rPr>
              <w:t>Escenario</w:t>
            </w:r>
          </w:p>
        </w:tc>
        <w:tc>
          <w:tcPr>
            <w:tcW w:type="dxa" w:w="5544"/>
            <w:vAlign w:val="center"/>
            <w:shd w:fill="243746"/>
            <w:tcMar>
              <w:top w:w="85" w:type="dxa"/>
              <w:bottom w:w="85" w:type="dxa"/>
              <w:left w:w="85" w:type="dxa"/>
              <w:right w:w="85" w:type="dxa"/>
            </w:tcMar>
          </w:tcPr>
          <w:p>
            <w:pPr>
              <w:spacing w:after="40" w:before="40" w:line="245" w:lineRule="auto"/>
            </w:pPr>
            <w:r>
              <w:rPr>
                <w:b/>
                <w:color w:val="FFFFFF"/>
                <w:sz w:val="20"/>
              </w:rPr>
              <w:t>Resultado exigido</w:t>
            </w:r>
          </w:p>
        </w:tc>
      </w:tr>
      <w:tr>
        <w:trPr>
          <w:cantSplit/>
        </w:trPr>
        <w:tc>
          <w:tcPr>
            <w:tcW w:type="dxa" w:w="792"/>
            <w:vAlign w:val="center"/>
            <w:shd w:fill="FFFFFF"/>
            <w:tcMar>
              <w:top w:w="85" w:type="dxa"/>
              <w:bottom w:w="85" w:type="dxa"/>
              <w:left w:w="85" w:type="dxa"/>
              <w:right w:w="85" w:type="dxa"/>
            </w:tcMar>
          </w:tcPr>
          <w:p>
            <w:pPr>
              <w:spacing w:after="40" w:before="40" w:line="245" w:lineRule="auto"/>
            </w:pPr>
            <w:r>
              <w:rPr>
                <w:b w:val="0"/>
                <w:color w:val="000000"/>
                <w:sz w:val="20"/>
              </w:rPr>
              <w:t>PV15</w:t>
            </w:r>
          </w:p>
        </w:tc>
        <w:tc>
          <w:tcPr>
            <w:tcW w:type="dxa" w:w="3744"/>
            <w:vAlign w:val="center"/>
            <w:shd w:fill="FFFFFF"/>
            <w:tcMar>
              <w:top w:w="85" w:type="dxa"/>
              <w:bottom w:w="85" w:type="dxa"/>
              <w:left w:w="85" w:type="dxa"/>
              <w:right w:w="85" w:type="dxa"/>
            </w:tcMar>
          </w:tcPr>
          <w:p>
            <w:pPr>
              <w:spacing w:after="40" w:before="40" w:line="245" w:lineRule="auto"/>
            </w:pPr>
            <w:r>
              <w:rPr>
                <w:b w:val="0"/>
                <w:color w:val="000000"/>
                <w:sz w:val="20"/>
              </w:rPr>
              <w:t>Dos entornos usan la misma LAN.</w:t>
            </w:r>
          </w:p>
        </w:tc>
        <w:tc>
          <w:tcPr>
            <w:tcW w:type="dxa" w:w="5544"/>
            <w:vAlign w:val="center"/>
            <w:shd w:fill="FFFFFF"/>
            <w:tcMar>
              <w:top w:w="85" w:type="dxa"/>
              <w:bottom w:w="85" w:type="dxa"/>
              <w:left w:w="85" w:type="dxa"/>
              <w:right w:w="85" w:type="dxa"/>
            </w:tcMar>
          </w:tcPr>
          <w:p>
            <w:pPr>
              <w:spacing w:after="40" w:before="40" w:line="245" w:lineRule="auto"/>
            </w:pPr>
            <w:r>
              <w:rPr>
                <w:b w:val="0"/>
                <w:color w:val="000000"/>
                <w:sz w:val="20"/>
              </w:rPr>
              <w:t>Acceso al destino correcto; sin cruce de rutas o respuestas.</w:t>
            </w:r>
          </w:p>
        </w:tc>
      </w:tr>
      <w:tr>
        <w:trPr>
          <w:cantSplit/>
        </w:trPr>
        <w:tc>
          <w:tcPr>
            <w:tcW w:type="dxa" w:w="792"/>
            <w:vAlign w:val="center"/>
            <w:shd w:fill="F1F4F6"/>
            <w:tcMar>
              <w:top w:w="85" w:type="dxa"/>
              <w:bottom w:w="85" w:type="dxa"/>
              <w:left w:w="85" w:type="dxa"/>
              <w:right w:w="85" w:type="dxa"/>
            </w:tcMar>
          </w:tcPr>
          <w:p>
            <w:pPr>
              <w:spacing w:after="40" w:before="40" w:line="245" w:lineRule="auto"/>
            </w:pPr>
            <w:r>
              <w:rPr>
                <w:b w:val="0"/>
                <w:color w:val="000000"/>
                <w:sz w:val="20"/>
              </w:rPr>
              <w:t>PV16</w:t>
            </w:r>
          </w:p>
        </w:tc>
        <w:tc>
          <w:tcPr>
            <w:tcW w:type="dxa" w:w="3744"/>
            <w:vAlign w:val="center"/>
            <w:shd w:fill="F1F4F6"/>
            <w:tcMar>
              <w:top w:w="85" w:type="dxa"/>
              <w:bottom w:w="85" w:type="dxa"/>
              <w:left w:w="85" w:type="dxa"/>
              <w:right w:w="85" w:type="dxa"/>
            </w:tcMar>
          </w:tcPr>
          <w:p>
            <w:pPr>
              <w:spacing w:after="40" w:before="40" w:line="245" w:lineRule="auto"/>
            </w:pPr>
            <w:r>
              <w:rPr>
                <w:b w:val="0"/>
                <w:color w:val="000000"/>
                <w:sz w:val="20"/>
              </w:rPr>
              <w:t>Reinicio o retirada de un entorno.</w:t>
            </w:r>
          </w:p>
        </w:tc>
        <w:tc>
          <w:tcPr>
            <w:tcW w:type="dxa" w:w="5544"/>
            <w:vAlign w:val="center"/>
            <w:shd w:fill="F1F4F6"/>
            <w:tcMar>
              <w:top w:w="85" w:type="dxa"/>
              <w:bottom w:w="85" w:type="dxa"/>
              <w:left w:w="85" w:type="dxa"/>
              <w:right w:w="85" w:type="dxa"/>
            </w:tcMar>
          </w:tcPr>
          <w:p>
            <w:pPr>
              <w:spacing w:after="40" w:before="40" w:line="245" w:lineRule="auto"/>
            </w:pPr>
            <w:r>
              <w:rPr>
                <w:b w:val="0"/>
                <w:color w:val="000000"/>
                <w:sz w:val="20"/>
              </w:rPr>
              <w:t>Los demás mantienen conectividad; limpieza solo del entorno afectado.</w:t>
            </w:r>
          </w:p>
        </w:tc>
      </w:tr>
      <w:tr>
        <w:trPr>
          <w:cantSplit/>
        </w:trPr>
        <w:tc>
          <w:tcPr>
            <w:tcW w:type="dxa" w:w="792"/>
            <w:vAlign w:val="center"/>
            <w:shd w:fill="FFFFFF"/>
            <w:tcMar>
              <w:top w:w="85" w:type="dxa"/>
              <w:bottom w:w="85" w:type="dxa"/>
              <w:left w:w="85" w:type="dxa"/>
              <w:right w:w="85" w:type="dxa"/>
            </w:tcMar>
          </w:tcPr>
          <w:p>
            <w:pPr>
              <w:spacing w:after="40" w:before="40" w:line="245" w:lineRule="auto"/>
            </w:pPr>
            <w:r>
              <w:rPr>
                <w:b w:val="0"/>
                <w:color w:val="000000"/>
                <w:sz w:val="20"/>
              </w:rPr>
              <w:t>PV17</w:t>
            </w:r>
          </w:p>
        </w:tc>
        <w:tc>
          <w:tcPr>
            <w:tcW w:type="dxa" w:w="3744"/>
            <w:vAlign w:val="center"/>
            <w:shd w:fill="FFFFFF"/>
            <w:tcMar>
              <w:top w:w="85" w:type="dxa"/>
              <w:bottom w:w="85" w:type="dxa"/>
              <w:left w:w="85" w:type="dxa"/>
              <w:right w:w="85" w:type="dxa"/>
            </w:tcMar>
          </w:tcPr>
          <w:p>
            <w:pPr>
              <w:spacing w:after="40" w:before="40" w:line="245" w:lineRule="auto"/>
            </w:pPr>
            <w:r>
              <w:rPr>
                <w:b w:val="0"/>
                <w:color w:val="000000"/>
                <w:sz w:val="20"/>
              </w:rPr>
              <w:t>Reinicio completo de la EC2.</w:t>
            </w:r>
          </w:p>
        </w:tc>
        <w:tc>
          <w:tcPr>
            <w:tcW w:type="dxa" w:w="5544"/>
            <w:vAlign w:val="center"/>
            <w:shd w:fill="FFFFFF"/>
            <w:tcMar>
              <w:top w:w="85" w:type="dxa"/>
              <w:bottom w:w="85" w:type="dxa"/>
              <w:left w:w="85" w:type="dxa"/>
              <w:right w:w="85" w:type="dxa"/>
            </w:tcMar>
          </w:tcPr>
          <w:p>
            <w:pPr>
              <w:spacing w:after="40" w:before="40" w:line="245" w:lineRule="auto"/>
            </w:pPr>
            <w:r>
              <w:rPr>
                <w:b w:val="0"/>
                <w:color w:val="000000"/>
                <w:sz w:val="20"/>
              </w:rPr>
              <w:t>Reconstrucción consistente y denegación durante la preparación.</w:t>
            </w:r>
          </w:p>
        </w:tc>
      </w:tr>
      <w:tr>
        <w:trPr>
          <w:cantSplit/>
        </w:trPr>
        <w:tc>
          <w:tcPr>
            <w:tcW w:type="dxa" w:w="792"/>
            <w:vAlign w:val="center"/>
            <w:shd w:fill="F1F4F6"/>
            <w:tcMar>
              <w:top w:w="85" w:type="dxa"/>
              <w:bottom w:w="85" w:type="dxa"/>
              <w:left w:w="85" w:type="dxa"/>
              <w:right w:w="85" w:type="dxa"/>
            </w:tcMar>
          </w:tcPr>
          <w:p>
            <w:pPr>
              <w:spacing w:after="40" w:before="40" w:line="245" w:lineRule="auto"/>
            </w:pPr>
            <w:r>
              <w:rPr>
                <w:b w:val="0"/>
                <w:color w:val="000000"/>
                <w:sz w:val="20"/>
              </w:rPr>
              <w:t>PV18</w:t>
            </w:r>
          </w:p>
        </w:tc>
        <w:tc>
          <w:tcPr>
            <w:tcW w:type="dxa" w:w="3744"/>
            <w:vAlign w:val="center"/>
            <w:shd w:fill="F1F4F6"/>
            <w:tcMar>
              <w:top w:w="85" w:type="dxa"/>
              <w:bottom w:w="85" w:type="dxa"/>
              <w:left w:w="85" w:type="dxa"/>
              <w:right w:w="85" w:type="dxa"/>
            </w:tcMar>
          </w:tcPr>
          <w:p>
            <w:pPr>
              <w:spacing w:after="40" w:before="40" w:line="245" w:lineRule="auto"/>
            </w:pPr>
            <w:r>
              <w:rPr>
                <w:b w:val="0"/>
                <w:color w:val="000000"/>
                <w:sz w:val="20"/>
              </w:rPr>
              <w:t>Fallo a mitad de la creación.</w:t>
            </w:r>
          </w:p>
        </w:tc>
        <w:tc>
          <w:tcPr>
            <w:tcW w:type="dxa" w:w="5544"/>
            <w:vAlign w:val="center"/>
            <w:shd w:fill="F1F4F6"/>
            <w:tcMar>
              <w:top w:w="85" w:type="dxa"/>
              <w:bottom w:w="85" w:type="dxa"/>
              <w:left w:w="85" w:type="dxa"/>
              <w:right w:w="85" w:type="dxa"/>
            </w:tcMar>
          </w:tcPr>
          <w:p>
            <w:pPr>
              <w:spacing w:after="40" w:before="40" w:line="245" w:lineRule="auto"/>
            </w:pPr>
            <w:r>
              <w:rPr>
                <w:b w:val="0"/>
                <w:color w:val="000000"/>
                <w:sz w:val="20"/>
              </w:rPr>
              <w:t>Sin accesos abiertos ni recursos huérfanos; reintento seguro.</w:t>
            </w:r>
          </w:p>
        </w:tc>
      </w:tr>
      <w:tr>
        <w:trPr>
          <w:cantSplit/>
        </w:trPr>
        <w:tc>
          <w:tcPr>
            <w:tcW w:type="dxa" w:w="792"/>
            <w:vAlign w:val="center"/>
            <w:shd w:fill="FFFFFF"/>
            <w:tcMar>
              <w:top w:w="85" w:type="dxa"/>
              <w:bottom w:w="85" w:type="dxa"/>
              <w:left w:w="85" w:type="dxa"/>
              <w:right w:w="85" w:type="dxa"/>
            </w:tcMar>
          </w:tcPr>
          <w:p>
            <w:pPr>
              <w:spacing w:after="40" w:before="40" w:line="245" w:lineRule="auto"/>
            </w:pPr>
            <w:r>
              <w:rPr>
                <w:b w:val="0"/>
                <w:color w:val="000000"/>
                <w:sz w:val="20"/>
              </w:rPr>
              <w:t>PV19</w:t>
            </w:r>
          </w:p>
        </w:tc>
        <w:tc>
          <w:tcPr>
            <w:tcW w:type="dxa" w:w="3744"/>
            <w:vAlign w:val="center"/>
            <w:shd w:fill="FFFFFF"/>
            <w:tcMar>
              <w:top w:w="85" w:type="dxa"/>
              <w:bottom w:w="85" w:type="dxa"/>
              <w:left w:w="85" w:type="dxa"/>
              <w:right w:w="85" w:type="dxa"/>
            </w:tcMar>
          </w:tcPr>
          <w:p>
            <w:pPr>
              <w:spacing w:after="40" w:before="40" w:line="245" w:lineRule="auto"/>
            </w:pPr>
            <w:r>
              <w:rPr>
                <w:b w:val="0"/>
                <w:color w:val="000000"/>
                <w:sz w:val="20"/>
              </w:rPr>
              <w:t>Una empresa aumenta la carga.</w:t>
            </w:r>
          </w:p>
        </w:tc>
        <w:tc>
          <w:tcPr>
            <w:tcW w:type="dxa" w:w="5544"/>
            <w:vAlign w:val="center"/>
            <w:shd w:fill="FFFFFF"/>
            <w:tcMar>
              <w:top w:w="85" w:type="dxa"/>
              <w:bottom w:w="85" w:type="dxa"/>
              <w:left w:w="85" w:type="dxa"/>
              <w:right w:w="85" w:type="dxa"/>
            </w:tcMar>
          </w:tcPr>
          <w:p>
            <w:pPr>
              <w:spacing w:after="40" w:before="40" w:line="245" w:lineRule="auto"/>
            </w:pPr>
            <w:r>
              <w:rPr>
                <w:b w:val="0"/>
                <w:color w:val="000000"/>
                <w:sz w:val="20"/>
              </w:rPr>
              <w:t>Límites efectivos y degradación de las demás dentro del umbral acordado.</w:t>
            </w:r>
          </w:p>
        </w:tc>
      </w:tr>
      <w:tr>
        <w:trPr>
          <w:cantSplit/>
        </w:trPr>
        <w:tc>
          <w:tcPr>
            <w:tcW w:type="dxa" w:w="792"/>
            <w:vAlign w:val="center"/>
            <w:shd w:fill="F1F4F6"/>
            <w:tcMar>
              <w:top w:w="85" w:type="dxa"/>
              <w:bottom w:w="85" w:type="dxa"/>
              <w:left w:w="85" w:type="dxa"/>
              <w:right w:w="85" w:type="dxa"/>
            </w:tcMar>
          </w:tcPr>
          <w:p>
            <w:pPr>
              <w:spacing w:after="40" w:before="40" w:line="245" w:lineRule="auto"/>
            </w:pPr>
            <w:r>
              <w:rPr>
                <w:b w:val="0"/>
                <w:color w:val="000000"/>
                <w:sz w:val="20"/>
              </w:rPr>
              <w:t>PV20</w:t>
            </w:r>
          </w:p>
        </w:tc>
        <w:tc>
          <w:tcPr>
            <w:tcW w:type="dxa" w:w="3744"/>
            <w:vAlign w:val="center"/>
            <w:shd w:fill="F1F4F6"/>
            <w:tcMar>
              <w:top w:w="85" w:type="dxa"/>
              <w:bottom w:w="85" w:type="dxa"/>
              <w:left w:w="85" w:type="dxa"/>
              <w:right w:w="85" w:type="dxa"/>
            </w:tcMar>
          </w:tcPr>
          <w:p>
            <w:pPr>
              <w:spacing w:after="40" w:before="40" w:line="245" w:lineRule="auto"/>
            </w:pPr>
            <w:r>
              <w:rPr>
                <w:b w:val="0"/>
                <w:color w:val="000000"/>
                <w:sz w:val="20"/>
              </w:rPr>
              <w:t>Acceso desde VPN al host y otras empresas.</w:t>
            </w:r>
          </w:p>
        </w:tc>
        <w:tc>
          <w:tcPr>
            <w:tcW w:type="dxa" w:w="5544"/>
            <w:vAlign w:val="center"/>
            <w:shd w:fill="F1F4F6"/>
            <w:tcMar>
              <w:top w:w="85" w:type="dxa"/>
              <w:bottom w:w="85" w:type="dxa"/>
              <w:left w:w="85" w:type="dxa"/>
              <w:right w:w="85" w:type="dxa"/>
            </w:tcMar>
          </w:tcPr>
          <w:p>
            <w:pPr>
              <w:spacing w:after="40" w:before="40" w:line="245" w:lineRule="auto"/>
            </w:pPr>
            <w:r>
              <w:rPr>
                <w:b w:val="0"/>
                <w:color w:val="000000"/>
                <w:sz w:val="20"/>
              </w:rPr>
              <w:t>Denegación IPv4 e IPv6, incluido acceso a servicios y metadatos no autorizados.</w:t>
            </w:r>
          </w:p>
        </w:tc>
      </w:tr>
      <w:tr>
        <w:trPr>
          <w:cantSplit/>
        </w:trPr>
        <w:tc>
          <w:tcPr>
            <w:tcW w:type="dxa" w:w="792"/>
            <w:vAlign w:val="center"/>
            <w:shd w:fill="FFFFFF"/>
            <w:tcMar>
              <w:top w:w="85" w:type="dxa"/>
              <w:bottom w:w="85" w:type="dxa"/>
              <w:left w:w="85" w:type="dxa"/>
              <w:right w:w="85" w:type="dxa"/>
            </w:tcMar>
          </w:tcPr>
          <w:p>
            <w:pPr>
              <w:spacing w:after="40" w:before="40" w:line="245" w:lineRule="auto"/>
            </w:pPr>
            <w:r>
              <w:rPr>
                <w:b w:val="0"/>
                <w:color w:val="000000"/>
                <w:sz w:val="20"/>
              </w:rPr>
              <w:t>PV21</w:t>
            </w:r>
          </w:p>
        </w:tc>
        <w:tc>
          <w:tcPr>
            <w:tcW w:type="dxa" w:w="3744"/>
            <w:vAlign w:val="center"/>
            <w:shd w:fill="FFFFFF"/>
            <w:tcMar>
              <w:top w:w="85" w:type="dxa"/>
              <w:bottom w:w="85" w:type="dxa"/>
              <w:left w:w="85" w:type="dxa"/>
              <w:right w:w="85" w:type="dxa"/>
            </w:tcMar>
          </w:tcPr>
          <w:p>
            <w:pPr>
              <w:spacing w:after="40" w:before="40" w:line="245" w:lineRule="auto"/>
            </w:pPr>
            <w:r>
              <w:rPr>
                <w:b w:val="0"/>
                <w:color w:val="000000"/>
                <w:sz w:val="20"/>
              </w:rPr>
              <w:t>Retorno de una migración real.</w:t>
            </w:r>
          </w:p>
        </w:tc>
        <w:tc>
          <w:tcPr>
            <w:tcW w:type="dxa" w:w="5544"/>
            <w:vAlign w:val="center"/>
            <w:shd w:fill="FFFFFF"/>
            <w:tcMar>
              <w:top w:w="85" w:type="dxa"/>
              <w:bottom w:w="85" w:type="dxa"/>
              <w:left w:w="85" w:type="dxa"/>
              <w:right w:w="85" w:type="dxa"/>
            </w:tcMar>
          </w:tcPr>
          <w:p>
            <w:pPr>
              <w:spacing w:after="40" w:before="40" w:line="245" w:lineRule="auto"/>
            </w:pPr>
            <w:r>
              <w:rPr>
                <w:b w:val="0"/>
                <w:color w:val="000000"/>
                <w:sz w:val="20"/>
              </w:rPr>
              <w:t>Servidor anterior recupera el servicio sin rutas ambiguas.</w:t>
            </w:r>
          </w:p>
        </w:tc>
      </w:tr>
    </w:tbl>
    <w:p>
      <w:pPr>
        <w:widowControl/>
        <w:spacing w:after="0"/>
      </w:pPr>
    </w:p>
    <w:p>
      <w:pPr>
        <w:pStyle w:val="Heading2"/>
      </w:pPr>
      <w:r>
        <w:t>Migración y criterio de salida</w:t>
      </w:r>
    </w:p>
    <w:p>
      <w:pPr>
        <w:widowControl/>
      </w:pPr>
      <w:r>
        <w:t>El OpenVPN actual permanecerá activo. Para cada grupo se guardará configuración previa y se comprobarán rutas, DNS, aplicaciones, telemetría y revocación en el nuevo nodo. Ante una regresión se retirarán las rutas nuevas y se restablecerá el acceso anterior. No se mantendrán dos rutas equivalentes activas sin una política explícita.</w:t>
      </w:r>
    </w:p>
    <w:p>
      <w:pPr>
        <w:widowControl/>
      </w:pPr>
      <w:r>
        <w:t>La incorporación de clientes reales requiere evidencia de PV01 a PV21 según las capacidades disponibles, restauración del control y aceptación del riesgo de una sola EC2. El endurecimiento reduce el alcance de fallos, pero un namespace no garantiza resistencia frente a vulnerabilidades del kernel compartido.</w:t>
      </w:r>
    </w:p>
    <w:p>
      <w:r>
        <w:br w:type="page"/>
      </w:r>
    </w:p>
    <w:p>
      <w:pPr>
        <w:pStyle w:val="Heading1"/>
      </w:pPr>
      <w:r>
        <w:t>24 Fuentes técnicas</w:t>
      </w:r>
    </w:p>
    <w:p>
      <w:pPr>
        <w:widowControl/>
      </w:pPr>
      <w:r>
        <w:t>Documentación primaria consultada el 20 de octubre de 2026. Las referencias sustentan capacidades de los componentes; la arquitectura, las metas y los contratos descritos para Nexo son propuestas de este análisis. Antes de implementar se fijarán versiones y se revisarán los cambios relevantes.</w:t>
      </w:r>
    </w:p>
    <w:p>
      <w:pPr>
        <w:keepNext/>
        <w:widowControl/>
      </w:pPr>
      <w:r>
        <w:t xml:space="preserve">S01  </w:t>
      </w:r>
      <w:hyperlink r:id="rId11">
        <w:r>
          <w:rPr>
            <w:color w:val="174C70"/>
          </w:rPr>
          <w:t>OpenVPN Management Interface</w:t>
        </w:r>
      </w:hyperlink>
    </w:p>
    <w:p>
      <w:pPr>
        <w:widowControl/>
      </w:pPr>
      <w:r>
        <w:t>Control del proceso, estado, contadores y canales de administración.</w:t>
      </w:r>
    </w:p>
    <w:p>
      <w:pPr>
        <w:widowControl/>
        <w:spacing w:after="200"/>
      </w:pPr>
      <w:r>
        <w:rPr>
          <w:sz w:val="18"/>
        </w:rPr>
        <w:t>https://openvpn.net/community-docs/management-interface.html</w:t>
      </w:r>
    </w:p>
    <w:p>
      <w:pPr>
        <w:keepNext/>
        <w:widowControl/>
      </w:pPr>
      <w:r>
        <w:t xml:space="preserve">S02  </w:t>
      </w:r>
      <w:hyperlink r:id="rId12">
        <w:r>
          <w:rPr>
            <w:color w:val="174C70"/>
          </w:rPr>
          <w:t>OpenVPN 2 6 Manual</w:t>
        </w:r>
      </w:hyperlink>
    </w:p>
    <w:p>
      <w:pPr>
        <w:widowControl/>
      </w:pPr>
      <w:r>
        <w:t>Rutas, configuración por cliente, autenticación y condiciones de DCO.</w:t>
      </w:r>
    </w:p>
    <w:p>
      <w:pPr>
        <w:widowControl/>
        <w:spacing w:after="200"/>
      </w:pPr>
      <w:r>
        <w:rPr>
          <w:sz w:val="18"/>
        </w:rPr>
        <w:t>https://openvpn.net/community-docs/community-articles/openvpn-2-6-manual.html</w:t>
      </w:r>
    </w:p>
    <w:p>
      <w:pPr>
        <w:keepNext/>
        <w:widowControl/>
      </w:pPr>
      <w:r>
        <w:t xml:space="preserve">S03  </w:t>
      </w:r>
      <w:hyperlink r:id="rId13">
        <w:r>
          <w:rPr>
            <w:color w:val="174C70"/>
          </w:rPr>
          <w:t>WireGuard Conceptual Overview</w:t>
        </w:r>
      </w:hyperlink>
    </w:p>
    <w:p>
      <w:pPr>
        <w:widowControl/>
      </w:pPr>
      <w:r>
        <w:t>Claves, peers, AllowedIPs y límites del protocolo.</w:t>
      </w:r>
    </w:p>
    <w:p>
      <w:pPr>
        <w:widowControl/>
        <w:spacing w:after="200"/>
      </w:pPr>
      <w:r>
        <w:rPr>
          <w:sz w:val="18"/>
        </w:rPr>
        <w:t>https://www.wireguard.com/</w:t>
      </w:r>
    </w:p>
    <w:p>
      <w:pPr>
        <w:keepNext/>
        <w:widowControl/>
      </w:pPr>
      <w:r>
        <w:t xml:space="preserve">S04  </w:t>
      </w:r>
      <w:hyperlink r:id="rId14">
        <w:r>
          <w:rPr>
            <w:color w:val="174C70"/>
          </w:rPr>
          <w:t>WireGuard Embedding into Applications</w:t>
        </w:r>
      </w:hyperlink>
    </w:p>
    <w:p>
      <w:pPr>
        <w:widowControl/>
      </w:pPr>
      <w:r>
        <w:t>Integración del motor en aplicaciones por plataforma.</w:t>
      </w:r>
    </w:p>
    <w:p>
      <w:pPr>
        <w:widowControl/>
        <w:spacing w:after="200"/>
      </w:pPr>
      <w:r>
        <w:rPr>
          <w:sz w:val="18"/>
        </w:rPr>
        <w:t>https://www.wireguard.com/embedding/</w:t>
      </w:r>
    </w:p>
    <w:p>
      <w:pPr>
        <w:keepNext/>
        <w:widowControl/>
      </w:pPr>
      <w:r>
        <w:t xml:space="preserve">S05  </w:t>
      </w:r>
      <w:hyperlink r:id="rId15">
        <w:r>
          <w:rPr>
            <w:color w:val="174C70"/>
          </w:rPr>
          <w:t>MeshCentral Guide</w:t>
        </w:r>
      </w:hyperlink>
    </w:p>
    <w:p>
      <w:pPr>
        <w:widowControl/>
      </w:pPr>
      <w:r>
        <w:t>Administración, dominios e integración de funciones en otro portal.</w:t>
      </w:r>
    </w:p>
    <w:p>
      <w:pPr>
        <w:widowControl/>
        <w:spacing w:after="200"/>
      </w:pPr>
      <w:r>
        <w:rPr>
          <w:sz w:val="18"/>
        </w:rPr>
        <w:t>https://docs.meshcentral.com/meshcentral/</w:t>
      </w:r>
    </w:p>
    <w:p>
      <w:pPr>
        <w:keepNext/>
        <w:widowControl/>
      </w:pPr>
      <w:r>
        <w:t xml:space="preserve">S06  </w:t>
      </w:r>
      <w:hyperlink r:id="rId16">
        <w:r>
          <w:rPr>
            <w:color w:val="174C70"/>
          </w:rPr>
          <w:t>MeshAgent Repository</w:t>
        </w:r>
      </w:hyperlink>
    </w:p>
    <w:p>
      <w:pPr>
        <w:widowControl/>
      </w:pPr>
      <w:r>
        <w:t>Agente de gestión remota y componentes del proyecto.</w:t>
      </w:r>
    </w:p>
    <w:p>
      <w:pPr>
        <w:widowControl/>
        <w:spacing w:after="200"/>
      </w:pPr>
      <w:r>
        <w:rPr>
          <w:sz w:val="18"/>
        </w:rPr>
        <w:t>https://github.com/Ylianst/MeshAgent</w:t>
      </w:r>
    </w:p>
    <w:p>
      <w:pPr>
        <w:keepNext/>
        <w:widowControl/>
      </w:pPr>
      <w:r>
        <w:t xml:space="preserve">S07  </w:t>
      </w:r>
      <w:hyperlink r:id="rId17">
        <w:r>
          <w:rPr>
            <w:color w:val="174C70"/>
          </w:rPr>
          <w:t>MeshCentral Design and Architecture</w:t>
        </w:r>
      </w:hyperlink>
    </w:p>
    <w:p>
      <w:pPr>
        <w:widowControl/>
      </w:pPr>
      <w:r>
        <w:t>Canales de control, relay, WebRTC y límites del cifrado descrito.</w:t>
      </w:r>
    </w:p>
    <w:p>
      <w:pPr>
        <w:widowControl/>
        <w:spacing w:after="200"/>
      </w:pPr>
      <w:r>
        <w:rPr>
          <w:sz w:val="18"/>
        </w:rPr>
        <w:t>https://docs.meshcentral.com/design/</w:t>
      </w:r>
    </w:p>
    <w:p>
      <w:pPr>
        <w:keepNext/>
        <w:widowControl/>
      </w:pPr>
      <w:r>
        <w:t xml:space="preserve">S08  </w:t>
      </w:r>
      <w:hyperlink r:id="rId18">
        <w:r>
          <w:rPr>
            <w:color w:val="174C70"/>
          </w:rPr>
          <w:t>OpenVPN Community COPYING</w:t>
        </w:r>
      </w:hyperlink>
    </w:p>
    <w:p>
      <w:pPr>
        <w:widowControl/>
      </w:pPr>
      <w:r>
        <w:t>Licencia publicada y condiciones de componentes incluidos.</w:t>
      </w:r>
    </w:p>
    <w:p>
      <w:pPr>
        <w:widowControl/>
        <w:spacing w:after="200"/>
      </w:pPr>
      <w:r>
        <w:rPr>
          <w:sz w:val="18"/>
        </w:rPr>
        <w:t>https://github.com/OpenVPN/openvpn/blob/master/COPYING</w:t>
      </w:r>
    </w:p>
    <w:p>
      <w:r>
        <w:br w:type="page"/>
      </w:r>
    </w:p>
    <w:p>
      <w:pPr>
        <w:pStyle w:val="Heading1"/>
      </w:pPr>
      <w:r>
        <w:t>Fuentes técnicas complementarias</w:t>
      </w:r>
    </w:p>
    <w:p>
      <w:pPr>
        <w:keepNext/>
        <w:widowControl/>
      </w:pPr>
      <w:r>
        <w:t xml:space="preserve">S09  </w:t>
      </w:r>
      <w:hyperlink r:id="rId19">
        <w:r>
          <w:rPr>
            <w:color w:val="174C70"/>
          </w:rPr>
          <w:t>MeshCentral LICENSE</w:t>
        </w:r>
      </w:hyperlink>
    </w:p>
    <w:p>
      <w:pPr>
        <w:widowControl/>
      </w:pPr>
      <w:r>
        <w:t>Licencia Apache 2.0 publicada por el proyecto.</w:t>
      </w:r>
    </w:p>
    <w:p>
      <w:pPr>
        <w:widowControl/>
        <w:spacing w:after="200"/>
      </w:pPr>
      <w:r>
        <w:rPr>
          <w:sz w:val="18"/>
        </w:rPr>
        <w:t>https://github.com/Ylianst/MeshCentral/blob/master/LICENSE</w:t>
      </w:r>
    </w:p>
    <w:p>
      <w:pPr>
        <w:keepNext/>
        <w:widowControl/>
      </w:pPr>
      <w:r>
        <w:t xml:space="preserve">S10  </w:t>
      </w:r>
      <w:hyperlink r:id="rId20">
        <w:r>
          <w:rPr>
            <w:color w:val="174C70"/>
          </w:rPr>
          <w:t>AWS EC2 Network Bandwidth</w:t>
        </w:r>
      </w:hyperlink>
    </w:p>
    <w:p>
      <w:pPr>
        <w:widowControl/>
      </w:pPr>
      <w:r>
        <w:t>Límites y condiciones del rendimiento de red de las instancias.</w:t>
      </w:r>
    </w:p>
    <w:p>
      <w:pPr>
        <w:widowControl/>
        <w:spacing w:after="200"/>
      </w:pPr>
      <w:r>
        <w:rPr>
          <w:sz w:val="18"/>
        </w:rPr>
        <w:t>https://docs.aws.amazon.com/AWSEC2/latest/UserGuide/ec2-instance-network-bandwidth.html</w:t>
      </w:r>
    </w:p>
    <w:p>
      <w:pPr>
        <w:keepNext/>
        <w:widowControl/>
      </w:pPr>
      <w:r>
        <w:t xml:space="preserve">S11  </w:t>
      </w:r>
      <w:hyperlink r:id="rId21">
        <w:r>
          <w:rPr>
            <w:color w:val="174C70"/>
          </w:rPr>
          <w:t>AWS Elastic Network Interfaces</w:t>
        </w:r>
      </w:hyperlink>
    </w:p>
    <w:p>
      <w:pPr>
        <w:widowControl/>
      </w:pPr>
      <w:r>
        <w:t>Interfaces, atributos y comprobación de origen y destino.</w:t>
      </w:r>
    </w:p>
    <w:p>
      <w:pPr>
        <w:widowControl/>
        <w:spacing w:after="200"/>
      </w:pPr>
      <w:r>
        <w:rPr>
          <w:sz w:val="18"/>
        </w:rPr>
        <w:t>https://docs.aws.amazon.com/AWSEC2/latest/UserGuide/using-eni.html</w:t>
      </w:r>
    </w:p>
    <w:p>
      <w:pPr>
        <w:keepNext/>
        <w:widowControl/>
      </w:pPr>
      <w:r>
        <w:t xml:space="preserve">S12  </w:t>
      </w:r>
      <w:hyperlink r:id="rId22">
        <w:r>
          <w:rPr>
            <w:color w:val="174C70"/>
          </w:rPr>
          <w:t>OpenVPN Connect User Guide</w:t>
        </w:r>
      </w:hyperlink>
    </w:p>
    <w:p>
      <w:pPr>
        <w:widowControl/>
      </w:pPr>
      <w:r>
        <w:t>Compatibilidad del cliente actual con servidores del protocolo OpenVPN.</w:t>
      </w:r>
    </w:p>
    <w:p>
      <w:pPr>
        <w:widowControl/>
        <w:spacing w:after="200"/>
      </w:pPr>
      <w:r>
        <w:rPr>
          <w:sz w:val="18"/>
        </w:rPr>
        <w:t>https://openvpn.net/connect-docs/user-guide.html</w:t>
      </w:r>
    </w:p>
    <w:p>
      <w:pPr>
        <w:keepNext/>
        <w:widowControl/>
      </w:pPr>
      <w:r>
        <w:t xml:space="preserve">S13  </w:t>
      </w:r>
      <w:hyperlink r:id="rId23">
        <w:r>
          <w:rPr>
            <w:color w:val="174C70"/>
          </w:rPr>
          <w:t>Synology Active Backup for Business Specifications</w:t>
        </w:r>
      </w:hyperlink>
    </w:p>
    <w:p>
      <w:pPr>
        <w:widowControl/>
      </w:pPr>
      <w:r>
        <w:t>Alcance de respaldo y recuperación usado como referencia funcional.</w:t>
      </w:r>
    </w:p>
    <w:p>
      <w:pPr>
        <w:widowControl/>
        <w:spacing w:after="200"/>
      </w:pPr>
      <w:r>
        <w:rPr>
          <w:sz w:val="18"/>
        </w:rPr>
        <w:t>https://www.synology.com/dsm/software_spec/active_backup_for_business</w:t>
      </w:r>
    </w:p>
    <w:p>
      <w:pPr>
        <w:keepNext/>
        <w:widowControl/>
      </w:pPr>
      <w:r>
        <w:t xml:space="preserve">S14  </w:t>
      </w:r>
      <w:hyperlink r:id="rId24">
        <w:r>
          <w:rPr>
            <w:color w:val="174C70"/>
          </w:rPr>
          <w:t>Restic Repository</w:t>
        </w:r>
      </w:hyperlink>
    </w:p>
    <w:p>
      <w:pPr>
        <w:widowControl/>
      </w:pPr>
      <w:r>
        <w:t>Motor abierto candidato para respaldo de archivos y restauración.</w:t>
      </w:r>
    </w:p>
    <w:p>
      <w:pPr>
        <w:widowControl/>
        <w:spacing w:after="200"/>
      </w:pPr>
      <w:r>
        <w:rPr>
          <w:sz w:val="18"/>
        </w:rPr>
        <w:t>https://github.com/restic/restic</w:t>
      </w:r>
    </w:p>
    <w:p>
      <w:pPr>
        <w:keepNext/>
        <w:widowControl/>
      </w:pPr>
      <w:r>
        <w:t xml:space="preserve">S15  </w:t>
      </w:r>
      <w:hyperlink r:id="rId25">
        <w:r>
          <w:rPr>
            <w:color w:val="174C70"/>
          </w:rPr>
          <w:t>Kopia Features</w:t>
        </w:r>
      </w:hyperlink>
    </w:p>
    <w:p>
      <w:pPr>
        <w:widowControl/>
      </w:pPr>
      <w:r>
        <w:t>Cifrado, deduplicación, políticas y compresión.</w:t>
      </w:r>
    </w:p>
    <w:p>
      <w:pPr>
        <w:widowControl/>
        <w:spacing w:after="200"/>
      </w:pPr>
      <w:r>
        <w:rPr>
          <w:sz w:val="18"/>
        </w:rPr>
        <w:t>https://kopia.io/docs/features/</w:t>
      </w:r>
    </w:p>
    <w:p>
      <w:pPr>
        <w:keepNext/>
        <w:widowControl/>
      </w:pPr>
      <w:r>
        <w:t xml:space="preserve">S16  </w:t>
      </w:r>
      <w:hyperlink r:id="rId26">
        <w:r>
          <w:rPr>
            <w:color w:val="174C70"/>
          </w:rPr>
          <w:t>AWS S3 Object Lock</w:t>
        </w:r>
      </w:hyperlink>
    </w:p>
    <w:p>
      <w:pPr>
        <w:widowControl/>
      </w:pPr>
      <w:r>
        <w:t>Protección de versiones de objetos y retención.</w:t>
      </w:r>
    </w:p>
    <w:p>
      <w:pPr>
        <w:widowControl/>
        <w:spacing w:after="200"/>
      </w:pPr>
      <w:r>
        <w:rPr>
          <w:sz w:val="18"/>
        </w:rPr>
        <w:t>https://docs.aws.amazon.com/AmazonS3/latest/userguide/object-lock.html</w:t>
      </w:r>
    </w:p>
    <w:p>
      <w:r>
        <w:br w:type="page"/>
      </w:r>
    </w:p>
    <w:p>
      <w:pPr>
        <w:pStyle w:val="Heading1"/>
      </w:pPr>
      <w:r>
        <w:t>Fuentes de despliegue y aislamiento</w:t>
      </w:r>
    </w:p>
    <w:p>
      <w:pPr>
        <w:widowControl/>
      </w:pPr>
      <w:r>
        <w:t>S17  Linux network namespaces</w:t>
      </w:r>
    </w:p>
    <w:p>
      <w:pPr>
        <w:widowControl/>
      </w:pPr>
      <w:r>
        <w:t>Recursos de red aislados por namespace y enlaces virtuales entre espacios de red.</w:t>
      </w:r>
    </w:p>
    <w:p>
      <w:pPr>
        <w:widowControl/>
      </w:pPr>
      <w:r>
        <w:t>https://man7.org/linux/man-pages/man7/network_namespaces.7.html</w:t>
      </w:r>
    </w:p>
    <w:p>
      <w:pPr>
        <w:widowControl/>
      </w:pPr>
      <w:r>
        <w:t>S18  Docker Engine security</w:t>
      </w:r>
    </w:p>
    <w:p>
      <w:pPr>
        <w:widowControl/>
      </w:pPr>
      <w:r>
        <w:t>Namespaces, límites con cgroups, capacidades y riesgos del runtime compartido.</w:t>
      </w:r>
    </w:p>
    <w:p>
      <w:pPr>
        <w:widowControl/>
      </w:pPr>
      <w:r>
        <w:t>https://docs.docker.com/engine/security/</w:t>
      </w:r>
    </w:p>
    <w:p>
      <w:pPr>
        <w:widowControl/>
      </w:pPr>
      <w:r>
        <w:t>S19  WireGuard routing and network namespaces</w:t>
      </w:r>
    </w:p>
    <w:p>
      <w:pPr>
        <w:widowControl/>
      </w:pPr>
      <w:r>
        <w:t>Ubicación del socket de transporte y movimiento de interfaces entre namespaces.</w:t>
      </w:r>
    </w:p>
    <w:p>
      <w:pPr>
        <w:widowControl/>
      </w:pPr>
      <w:r>
        <w:t>https://www.wireguard.com/netns/</w:t>
      </w:r>
    </w:p>
    <w:p>
      <w:pPr>
        <w:widowControl/>
      </w:pPr>
      <w:r>
        <w:t>Estas referencias documentan mecanismos disponibles. La topología de Nexo y sus resultados de aislamiento, carga y recuperación requieren implementación y pruebas propias. Los ejemplos de WireGuard que redirigen todo Internet no forman parte del alcance del proyecto.</w:t>
      </w:r>
    </w:p>
    <w:sectPr w:rsidR="00FC693F" w:rsidRPr="0006063C" w:rsidSect="00034616">
      <w:footerReference w:type="default" r:id="rId9"/>
      <w:pgSz w:w="12240" w:h="15840"/>
      <w:pgMar w:top="965"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Proyecto Nexo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lang w:val="es-SV"/>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8"/>
      <w:szCs w:val="28"/>
      <w:lang w:val="es-SV"/>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lang w:val="es-SV"/>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lang w:val="es-SV"/>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6"/>
      <w:szCs w:val="52"/>
      <w:lang w:val="es-SV"/>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000000"/>
      <w:spacing w:val="15"/>
      <w:sz w:val="30"/>
      <w:szCs w:val="24"/>
      <w:lang w:val="es-SV"/>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nvpn.net/community-docs/management-interface.html" TargetMode="External"/><Relationship Id="rId12" Type="http://schemas.openxmlformats.org/officeDocument/2006/relationships/hyperlink" Target="https://openvpn.net/community-docs/community-articles/openvpn-2-6-manual.html" TargetMode="External"/><Relationship Id="rId13" Type="http://schemas.openxmlformats.org/officeDocument/2006/relationships/hyperlink" Target="https://www.wireguard.com/" TargetMode="External"/><Relationship Id="rId14" Type="http://schemas.openxmlformats.org/officeDocument/2006/relationships/hyperlink" Target="https://www.wireguard.com/embedding/" TargetMode="External"/><Relationship Id="rId15" Type="http://schemas.openxmlformats.org/officeDocument/2006/relationships/hyperlink" Target="https://docs.meshcentral.com/meshcentral/" TargetMode="External"/><Relationship Id="rId16" Type="http://schemas.openxmlformats.org/officeDocument/2006/relationships/hyperlink" Target="https://github.com/Ylianst/MeshAgent" TargetMode="External"/><Relationship Id="rId17" Type="http://schemas.openxmlformats.org/officeDocument/2006/relationships/hyperlink" Target="https://docs.meshcentral.com/design/" TargetMode="External"/><Relationship Id="rId18" Type="http://schemas.openxmlformats.org/officeDocument/2006/relationships/hyperlink" Target="https://github.com/OpenVPN/openvpn/blob/master/COPYING" TargetMode="External"/><Relationship Id="rId19" Type="http://schemas.openxmlformats.org/officeDocument/2006/relationships/hyperlink" Target="https://github.com/Ylianst/MeshCentral/blob/master/LICENSE" TargetMode="External"/><Relationship Id="rId20" Type="http://schemas.openxmlformats.org/officeDocument/2006/relationships/hyperlink" Target="https://docs.aws.amazon.com/AWSEC2/latest/UserGuide/ec2-instance-network-bandwidth.html" TargetMode="External"/><Relationship Id="rId21" Type="http://schemas.openxmlformats.org/officeDocument/2006/relationships/hyperlink" Target="https://docs.aws.amazon.com/AWSEC2/latest/UserGuide/using-eni.html" TargetMode="External"/><Relationship Id="rId22" Type="http://schemas.openxmlformats.org/officeDocument/2006/relationships/hyperlink" Target="https://openvpn.net/connect-docs/user-guide.html" TargetMode="External"/><Relationship Id="rId23" Type="http://schemas.openxmlformats.org/officeDocument/2006/relationships/hyperlink" Target="https://www.synology.com/dsm/software_spec/active_backup_for_business" TargetMode="External"/><Relationship Id="rId24" Type="http://schemas.openxmlformats.org/officeDocument/2006/relationships/hyperlink" Target="https://github.com/restic/restic" TargetMode="External"/><Relationship Id="rId25" Type="http://schemas.openxmlformats.org/officeDocument/2006/relationships/hyperlink" Target="https://kopia.io/docs/features/" TargetMode="External"/><Relationship Id="rId26" Type="http://schemas.openxmlformats.org/officeDocument/2006/relationships/hyperlink" Target="https://docs.aws.amazon.com/AmazonS3/latest/userguide/object-lock.html" TargetMode="External"/><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técnico Proyecto Nexo</dc:title>
  <dc:subject>Plataforma multiempresa de conectividad y soporte remoto</dc:subject>
  <dc:creator>Edgar Garay</dc:creator>
  <cp:keywords>Nexo, OpenVPN, WireGuard, soporte remoto, multiempresa</cp:keywords>
  <dc:description/>
  <cp:lastModifiedBy/>
  <cp:revision>3</cp:revision>
  <dcterms:created xsi:type="dcterms:W3CDTF">2013-12-23T23:15:00Z</dcterms:created>
  <dcterms:modified xsi:type="dcterms:W3CDTF">2013-12-23T23:15:00Z</dcterms:modified>
  <cp:category/>
</cp:coreProperties>
</file>