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Definición de producto Nexo</w:t>
      </w:r>
    </w:p>
    <w:p>
      <w:pPr>
        <w:pStyle w:val="Subtitle"/>
      </w:pPr>
      <w:r>
        <w:t>Plataforma multiempresa de conectividad privada, gestión de equipos y soporte remoto</w:t>
      </w:r>
    </w:p>
    <w:p>
      <w:r>
        <w:t>Versión 1.0  |  20 de octubre de 2026  |  Responsable del proyecto Edgar Garay</w:t>
      </w:r>
    </w:p>
    <w:p>
      <w:r>
        <w:t>Este documento fija el producto que se pretende construir y cómo deberá comportarse para el proveedor y para cada empresa cliente. Se apoya en el Análisis técnico del Proyecto Nexo, versión 1.2. La arquitectura y los contratos son propuestas para validar en el piloto; no describen un sistema ya entregado.</w:t>
      </w:r>
    </w:p>
    <w:p>
      <w:r>
        <w:t>La decisión central es iniciar con una VPN empresarial gestionada en una EC2 nueva y entornos aislados por empresa, acompañada de portales y un cliente universal. El soporte remoto será un adicional con permisos independientes. Los respaldos empresariales se incorporarán después como módulo opcional con repositorio separado del nodo VPN.</w:t>
      </w:r>
    </w:p>
    <w:p>
      <w:pPr>
        <w:pStyle w:val="Heading1"/>
      </w:pPr>
      <w:r>
        <w:t>1 Visión y problema que resuelve</w:t>
      </w:r>
    </w:p>
    <w:p>
      <w:r>
        <w:t>Las empresas necesitan conectar sucursales y equipos a recursos internos y dar soporte a sus usuarios sin depender de altas manuales en el servidor del proveedor. El esquema actual de OpenVPN Community, OpenVPN Connect y Webmin funciona para tres empresas, pero ampliar clientes, delegar tareas, diferenciar permisos y medir el servicio requiere un producto con procesos repetibles.</w:t>
      </w:r>
    </w:p>
    <w:p>
      <w:r>
        <w:t>Nexo ofrecerá al proveedor control de la infraestructura y a cada empresa un espacio propio para administrar equipos, sucursales, usuarios, accesos y reportes. La VPN sólo transportará tráfico hacia redes privadas autorizadas; la navegación normal a Internet seguirá usando la conexión local del dispositivo. El nombre Nexo es provisional y no define la marca comercial.</w:t>
      </w:r>
    </w:p>
    <w:p>
      <w:pPr>
        <w:pStyle w:val="Heading2"/>
      </w:pPr>
      <w:r>
        <w:t>Resultado esperado para cada participante</w:t>
      </w:r>
    </w:p>
    <w:p>
      <w:pPr>
        <w:pStyle w:val="ListBullet"/>
        <w:spacing w:after="80"/>
        <w:ind w:left="360" w:hanging="230"/>
      </w:pPr>
      <w:r>
        <w:t>Proveedor: crear una empresa y su VPN, asignar un plan, observar salud y consumo, asistir a clientes autorizados y ampliar capacidad sin configurar cada alta desde Webmin.</w:t>
      </w:r>
    </w:p>
    <w:p>
      <w:pPr>
        <w:pStyle w:val="ListBullet"/>
        <w:spacing w:after="80"/>
        <w:ind w:left="360" w:hanging="230"/>
      </w:pPr>
      <w:r>
        <w:t>Administrador de empresa: conocer qué sucursales y equipos están conectados, delegar permisos y controlar acceso, soporte y servicios contratados.</w:t>
      </w:r>
    </w:p>
    <w:p>
      <w:pPr>
        <w:pStyle w:val="ListBullet"/>
        <w:spacing w:after="80"/>
        <w:ind w:left="360" w:hanging="230"/>
      </w:pPr>
      <w:r>
        <w:t>Técnico de empresa: registrar equipos con invitaciones acotadas, diagnosticar problemas y prestar soporte remoto sólo cuando existe contrato y autorización.</w:t>
      </w:r>
    </w:p>
    <w:p>
      <w:pPr>
        <w:pStyle w:val="ListBullet"/>
        <w:spacing w:after="80"/>
        <w:ind w:left="360" w:hanging="230"/>
      </w:pPr>
      <w:r>
        <w:t>Usuario final: instalar una sola aplicación, entender el estado de sus servicios y solicitar o aceptar asistencia de forma clara.</w:t>
      </w:r>
    </w:p>
    <w:p>
      <w:pPr>
        <w:pStyle w:val="Heading1"/>
      </w:pPr>
      <w:r>
        <w:t>2 Mercado objetivo y unidad de servicio</w:t>
      </w:r>
    </w:p>
    <w:p>
      <w:r>
        <w:t>El cliente inicial es una empresa con una o varias sedes, equipos móviles o usuarios que necesitan acceso a aplicaciones y redes internas. La empresa contratante es un tenant: posee membresías, sedes, inventario, políticas, reportes y suscripciones. Sus entornos VPN son recursos técnicos asignados por el proveedor; una empresa puede necesitar más de un entorno si separa dominios de red.</w:t>
      </w:r>
    </w:p>
    <w:p>
      <w:r>
        <w:t>Una sucursal es una sede con redes privadas definidas. Un gateway es un dispositivo registrado que conecta su LAN. Un endpoint es un dispositivo individual registrado y conserva una identidad propia; un gateway puede representar muchos equipos detrás de él, por lo que cantidad de túneles y número de equipos no son equivalentes.</w:t>
      </w:r>
    </w:p>
    <w:p>
      <w:pPr>
        <w:pStyle w:val="Heading1"/>
      </w:pPr>
      <w:r>
        <w:t>3 Oferta modular y condiciones comerciales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4435"/>
        <w:gridCol w:w="3686"/>
      </w:tblGrid>
      <w:tr>
        <w:trPr>
          <w:tblHeader w:val="true"/>
        </w:trPr>
        <w:tc>
          <w:tcPr>
            <w:tcW w:type="dxa" w:w="1757"/>
            <w:shd w:fill="183B59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4435"/>
            <w:shd w:fill="183B59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Propuesta de valor</w:t>
            </w:r>
          </w:p>
        </w:tc>
        <w:tc>
          <w:tcPr>
            <w:tcW w:type="dxa" w:w="3686"/>
            <w:shd w:fill="183B59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Condición de activación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VPN empresarial</w:t>
            </w:r>
          </w:p>
        </w:tc>
        <w:tc>
          <w:tcPr>
            <w:tcW w:type="dxa" w:w="443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Interconecta sucursales, gateways y equipos hacia recursos privados autorizados.</w:t>
            </w:r>
          </w:p>
        </w:tc>
        <w:tc>
          <w:tcPr>
            <w:tcW w:type="dxa" w:w="368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Suscripción VPN activa, cupo, entorno y credenciales aprobadas.</w:t>
            </w:r>
          </w:p>
        </w:tc>
      </w:tr>
      <w:tr>
        <w:trPr>
          <w:cantSplit/>
        </w:trPr>
        <w:tc>
          <w:tcPr>
            <w:tcW w:type="dxa" w:w="1757"/>
            <w:shd w:fill="F2F6FA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Soporte remoto</w:t>
            </w:r>
          </w:p>
        </w:tc>
        <w:tc>
          <w:tcPr>
            <w:tcW w:type="dxa" w:w="4435"/>
            <w:shd w:fill="F2F6FA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Permite a técnicos de la empresa atender computadoras y al proveedor actuar cuando recibe autorización.</w:t>
            </w:r>
          </w:p>
        </w:tc>
        <w:tc>
          <w:tcPr>
            <w:tcW w:type="dxa" w:w="3686"/>
            <w:shd w:fill="F2F6FA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Adicional a VPN o respaldo; roles, autorización, consentimiento o política desatendida.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Respaldo de archivos</w:t>
            </w:r>
          </w:p>
        </w:tc>
        <w:tc>
          <w:tcPr>
            <w:tcW w:type="dxa" w:w="443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Protege carpetas seleccionadas con historial y restauración comprobable.</w:t>
            </w:r>
          </w:p>
        </w:tc>
        <w:tc>
          <w:tcPr>
            <w:tcW w:type="dxa" w:w="368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Módulo opcional posterior, política, cuota, repositorio y claves de la empresa.</w:t>
            </w:r>
          </w:p>
        </w:tc>
      </w:tr>
      <w:tr>
        <w:trPr>
          <w:cantSplit/>
        </w:trPr>
        <w:tc>
          <w:tcPr>
            <w:tcW w:type="dxa" w:w="1757"/>
            <w:shd w:fill="F2F6FA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Portal y reportes</w:t>
            </w:r>
          </w:p>
        </w:tc>
        <w:tc>
          <w:tcPr>
            <w:tcW w:type="dxa" w:w="4435"/>
            <w:shd w:fill="F2F6FA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Visibilidad de inventario, estado, uso y eventos de cada servicio.</w:t>
            </w:r>
          </w:p>
        </w:tc>
        <w:tc>
          <w:tcPr>
            <w:tcW w:type="dxa" w:w="3686"/>
            <w:shd w:fill="F2F6FA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Acceso dentro de la empresa y facultades del usuario.</w:t>
            </w:r>
          </w:p>
        </w:tc>
      </w:tr>
    </w:tbl>
    <w:p>
      <w:pPr>
        <w:spacing w:after="20"/>
      </w:pPr>
    </w:p>
    <w:p>
      <w:r>
        <w:t>Planes y suscripciones deberán limitar, según el servicio, endpoints, redes, técnicos, sesiones simultáneas y almacenamiento. El proveedor definirá cuotas y precios antes del lanzamiento. Un cambio de plan actualiza capacidades en el cliente existente; reducir el cupo muestra los excedentes y aplica una regla explícita, sin borrar equipos arbitrariamente. La primera versión puede registrar cobros manuales; una pasarela específica queda para una integración posterior.</w:t>
      </w:r>
    </w:p>
    <w:p>
      <w:r>
        <w:t>Estados comerciales propuestos: pendiente de activación, activa, en gracia, suspendida y cancelada. Cada módulo tendrá capacidad, política de suspensión y estado técnico propios. Suspender la VPN no cancela automáticamente el soporte remoto o el backup contratado; la cancelación completa sigue un proceso de revocación y conservación de datos.</w:t>
      </w:r>
    </w:p>
    <w:p>
      <w:pPr>
        <w:pStyle w:val="Heading1"/>
      </w:pPr>
      <w:r>
        <w:t>4 Personas, tareas y permisos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46"/>
        <w:gridCol w:w="3888"/>
        <w:gridCol w:w="3744"/>
      </w:tblGrid>
      <w:tr>
        <w:trPr>
          <w:tblHeader w:val="true"/>
        </w:trPr>
        <w:tc>
          <w:tcPr>
            <w:tcW w:type="dxa" w:w="2246"/>
            <w:shd w:fill="183B59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3888"/>
            <w:shd w:fill="183B59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Tarea principal</w:t>
            </w:r>
          </w:p>
        </w:tc>
        <w:tc>
          <w:tcPr>
            <w:tcW w:type="dxa" w:w="3744"/>
            <w:shd w:fill="183B59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Límite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Propietario del proveedor</w:t>
            </w:r>
          </w:p>
        </w:tc>
        <w:tc>
          <w:tcPr>
            <w:tcW w:type="dxa" w:w="38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Administra empresas, planes, nodos y operadores.</w:t>
            </w:r>
          </w:p>
        </w:tc>
        <w:tc>
          <w:tcPr>
            <w:tcW w:type="dxa" w:w="37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El acceso a equipos de clientes requiere autorización de soporte vigente.</w:t>
            </w:r>
          </w:p>
        </w:tc>
      </w:tr>
      <w:tr>
        <w:trPr>
          <w:cantSplit/>
        </w:trPr>
        <w:tc>
          <w:tcPr>
            <w:tcW w:type="dxa" w:w="2246"/>
            <w:shd w:fill="F2F6FA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Operador del proveedor</w:t>
            </w:r>
          </w:p>
        </w:tc>
        <w:tc>
          <w:tcPr>
            <w:tcW w:type="dxa" w:w="3888"/>
            <w:shd w:fill="F2F6FA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Diagnostica y atiende empresas asignadas.</w:t>
            </w:r>
          </w:p>
        </w:tc>
        <w:tc>
          <w:tcPr>
            <w:tcW w:type="dxa" w:w="3744"/>
            <w:shd w:fill="F2F6FA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No recibe acceso general a claves, cobros u otras empresas.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Administrador de empresa</w:t>
            </w:r>
          </w:p>
        </w:tc>
        <w:tc>
          <w:tcPr>
            <w:tcW w:type="dxa" w:w="38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Gestiona usuarios, equipos, sedes y permisos delegados.</w:t>
            </w:r>
          </w:p>
        </w:tc>
        <w:tc>
          <w:tcPr>
            <w:tcW w:type="dxa" w:w="37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No administra el host ni otras empresas.</w:t>
            </w:r>
          </w:p>
        </w:tc>
      </w:tr>
      <w:tr>
        <w:trPr>
          <w:cantSplit/>
        </w:trPr>
        <w:tc>
          <w:tcPr>
            <w:tcW w:type="dxa" w:w="2246"/>
            <w:shd w:fill="F2F6FA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Técnico de empresa</w:t>
            </w:r>
          </w:p>
        </w:tc>
        <w:tc>
          <w:tcPr>
            <w:tcW w:type="dxa" w:w="3888"/>
            <w:shd w:fill="F2F6FA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Registra equipos y ejecuta soporte y políticas permitidas.</w:t>
            </w:r>
          </w:p>
        </w:tc>
        <w:tc>
          <w:tcPr>
            <w:tcW w:type="dxa" w:w="3744"/>
            <w:shd w:fill="F2F6FA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Acciones limitadas por rol, grupo, recurso y contrato.</w:t>
            </w:r>
          </w:p>
        </w:tc>
      </w:tr>
      <w:tr>
        <w:trPr>
          <w:cantSplit/>
        </w:trPr>
        <w:tc>
          <w:tcPr>
            <w:tcW w:type="dxa" w:w="224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Auditor de empresa</w:t>
            </w:r>
          </w:p>
        </w:tc>
        <w:tc>
          <w:tcPr>
            <w:tcW w:type="dxa" w:w="388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Consulta reportes y eventos.</w:t>
            </w:r>
          </w:p>
        </w:tc>
        <w:tc>
          <w:tcPr>
            <w:tcW w:type="dxa" w:w="374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Sin cambios ni control remoto.</w:t>
            </w:r>
          </w:p>
        </w:tc>
      </w:tr>
      <w:tr>
        <w:trPr>
          <w:cantSplit/>
        </w:trPr>
        <w:tc>
          <w:tcPr>
            <w:tcW w:type="dxa" w:w="2246"/>
            <w:shd w:fill="F2F6FA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Usuario final</w:t>
            </w:r>
          </w:p>
        </w:tc>
        <w:tc>
          <w:tcPr>
            <w:tcW w:type="dxa" w:w="3888"/>
            <w:shd w:fill="F2F6FA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Consulta su conexión y solicita o acepta ayuda.</w:t>
            </w:r>
          </w:p>
        </w:tc>
        <w:tc>
          <w:tcPr>
            <w:tcW w:type="dxa" w:w="3744"/>
            <w:shd w:fill="F2F6FA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Sin administración de red o endpoints ajenos.</w:t>
            </w:r>
          </w:p>
        </w:tc>
      </w:tr>
    </w:tbl>
    <w:p>
      <w:pPr>
        <w:spacing w:after="20"/>
      </w:pPr>
    </w:p>
    <w:p>
      <w:r>
        <w:t>El producto verificará permisos en la API y en los motores utilizados. La pertenencia a una empresa no habilita acciones por sí sola: se combinan rol, recurso, acción, capacidad contratada y vigencia. El proveedor tampoco tiene control remoto implícito sobre todos los equipos.</w:t>
      </w:r>
    </w:p>
    <w:p>
      <w:pPr>
        <w:pStyle w:val="Heading1"/>
      </w:pPr>
      <w:r>
        <w:t>5 Experiencia de administración del proveedor</w:t>
      </w:r>
    </w:p>
    <w:p>
      <w:r>
        <w:t>El panel del proveedor debe mostrar empresas, estado contractual, nodos, entornos, operaciones pendientes o fallidas, capacidad y eventos de auditoría. Desde la ficha de una empresa podrá crear un entorno VPN, seleccionar nodo y motor disponible, definir rango y política inicial, revisar conflictos y enviar el cambio. El panel mostrará solicitud aceptada, configuración aplicada y conectividad verificada como momentos distintos.</w:t>
      </w:r>
    </w:p>
    <w:p>
      <w:r>
        <w:t>El operador podrá identificar una falla por empresa, entorno, gateway o equipo sin acceder a datos de otra empresa. Las excepciones de cuota y autorizaciones de soporte tendrán responsable, motivo y vencimiento. Acciones privilegiadas del host y secretos no estarán expuestos en el navegador.</w:t>
      </w:r>
    </w:p>
    <w:p>
      <w:pPr>
        <w:pStyle w:val="Heading1"/>
      </w:pPr>
      <w:r>
        <w:t>6 Experiencia de autoservicio de la empresa</w:t>
      </w:r>
    </w:p>
    <w:p>
      <w:r>
        <w:t>El portal empresarial presentará un resumen de sedes, equipos y servicios contratados. Sus vistas principales serán Equipos, Sucursales y redes, Políticas, Soporte, Reportes, Usuarios y Suscripción. Cada pantalla mostrará estado y última observación; un equipo registrado puede estar sin conexión, una VPN puede estar configurada sin ser operativa, y un servicio puede estar contratado sin tener permisos nativos en el sistema operativo.</w:t>
      </w:r>
    </w:p>
    <w:p>
      <w:r>
        <w:t>El administrador delegará por grupo o sede la creación de equipos, la asignación de políticas y el soporte. Los reportes presentarán consumo VPN, sesiones y transferencias de backup en categorías distintas, con fechas de medición y cobertura. Un gateway muestra tráfico privado agregado de su sede; atribuir ese consumo a cada equipo LAN requiere instrumentación adicional.</w:t>
      </w:r>
    </w:p>
    <w:p>
      <w:pPr>
        <w:pStyle w:val="Heading1"/>
      </w:pPr>
      <w:r>
        <w:t>7 Cliente universal y experiencia del usuario final</w:t>
      </w:r>
    </w:p>
    <w:p>
      <w:r>
        <w:t>Cada plataforma tendrá su propio paquete de instalación, pero un único producto e identidad por dispositivo. Windows será el primer cliente de escritorio del piloto; macOS y Linux se validarán por instalación, permisos, soporte y actualización. Android e iOS/iPadOS se orientan a VPN y diagnóstico básico; no incluyen control de pantalla. OpenVPN Connect seguirá funcionando durante la migración.</w:t>
      </w:r>
    </w:p>
    <w:p>
      <w:r>
        <w:t>La interfaz del cliente mostrará estado independiente para VPN, soporte y respaldo: no contratado, disponible, pendiente, activo, error o suspendido, según corresponda. Si la empresa amplía el contrato, el endpoint conserva identidad e historial. Podrá ser necesaria una actualización firmada del mismo agente o permiso nativo, pero no un nuevo registro ni otro instalador manual.</w:t>
      </w:r>
    </w:p>
    <w:p>
      <w:r>
        <w:t>El agente local manejará claves y operaciones privilegiadas con un canal restringido desde la interfaz visible. La desinstalación no sustituye la baja del equipo; un dispositivo retirado revoca sus accesos en el servidor. Las imágenes corporativas no deben distribuir una identidad ya inscrita.</w:t>
      </w:r>
    </w:p>
    <w:p>
      <w:pPr>
        <w:pStyle w:val="Heading1"/>
      </w:pPr>
      <w:r>
        <w:t>8 Recorridos de producto prioritarios</w:t>
      </w:r>
    </w:p>
    <w:p>
      <w:pPr>
        <w:pStyle w:val="Heading2"/>
      </w:pPr>
      <w:r>
        <w:t>8.1 El proveedor crea una VPN empresarial</w:t>
      </w:r>
    </w:p>
    <w:p>
      <w:pPr>
        <w:spacing w:after="100"/>
        <w:ind w:left="374" w:hanging="317"/>
      </w:pPr>
      <w:r>
        <w:rPr>
          <w:b/>
        </w:rPr>
        <w:t xml:space="preserve">1.  </w:t>
      </w:r>
      <w:r>
        <w:t>La empresa y la suscripción VPN están activas. El proveedor elige empresa, nodo, motor, rango y política inicial.</w:t>
      </w:r>
    </w:p>
    <w:p>
      <w:pPr>
        <w:spacing w:after="100"/>
        <w:ind w:left="374" w:hanging="317"/>
      </w:pPr>
      <w:r>
        <w:rPr>
          <w:b/>
        </w:rPr>
        <w:t xml:space="preserve">2.  </w:t>
      </w:r>
      <w:r>
        <w:t>Nexo valida cupo, conflictos, rutas y puertos; reserva recursos y crea una operación visible.</w:t>
      </w:r>
    </w:p>
    <w:p>
      <w:pPr>
        <w:spacing w:after="100"/>
        <w:ind w:left="374" w:hanging="317"/>
      </w:pPr>
      <w:r>
        <w:rPr>
          <w:b/>
        </w:rPr>
        <w:t xml:space="preserve">3.  </w:t>
      </w:r>
      <w:r>
        <w:t>El agente del nodo prepara un entorno aislado y confirma la revisión aplicada. El proveedor ejecuta una prueba real con un equipo.</w:t>
      </w:r>
    </w:p>
    <w:p>
      <w:pPr>
        <w:spacing w:after="100"/>
        <w:ind w:left="374" w:hanging="317"/>
      </w:pPr>
      <w:r>
        <w:rPr>
          <w:b/>
        </w:rPr>
        <w:t xml:space="preserve">4.  </w:t>
      </w:r>
      <w:r>
        <w:t>El entorno queda disponible para gateways y endpoints sólo tras pasar las comprobaciones. Si falla, se bloquea el entorno incompleto y se muestra la causa.</w:t>
      </w:r>
    </w:p>
    <w:p>
      <w:pPr>
        <w:pStyle w:val="Heading2"/>
      </w:pPr>
      <w:r>
        <w:t>8.2 Un técnico conecta una sucursal</w:t>
      </w:r>
    </w:p>
    <w:p>
      <w:r>
        <w:t>Proveedor o técnico delegado crea la sede, declara sus CIDR y recursos permitidos y emite una invitación de gateway. Instala el cliente en un equipo compatible de disponibilidad continua. Configura rutas de retorno en la LAN o valida SNAT limitado a recursos privados, y prueba comunicación permitida en ambos sentidos. Registrar el gateway por sí mismo no reconfigura el router de la sucursal.</w:t>
      </w:r>
    </w:p>
    <w:p>
      <w:pPr>
        <w:pStyle w:val="Heading2"/>
      </w:pPr>
      <w:r>
        <w:t>8.3 Un técnico añade un equipo</w:t>
      </w:r>
    </w:p>
    <w:p>
      <w:r>
        <w:t>Con permiso `endpoint.create`, grupo autorizado y cupo, el técnico emite un enlace o código limitado a su empresa, con caducidad y usos. El usuario instala el cliente universal; el agente crea identidad y claves locales, registra el token y recibe funciones autorizadas. Una política de aprobación mantiene el equipo pendiente hasta la autorización. El técnico verifica agente, módulo VPN y acceso al recurso de prueba. Invitaciones vencidas, permisos insuficientes y falta de cupo no crean accesos parciales.</w:t>
      </w:r>
    </w:p>
    <w:p>
      <w:pPr>
        <w:pStyle w:val="Heading2"/>
      </w:pPr>
      <w:r>
        <w:t>8.4 Un técnico inicia soporte remoto</w:t>
      </w:r>
    </w:p>
    <w:p>
      <w:r>
        <w:t>La empresa contrata el adicional y define qué técnicos y equipos pueden utilizarlo. Una sesión asistida muestra al usuario la identidad de quien solicita acceso y requiere aceptación local; una sesión desatendida exige una política previa y permisos del sistema. La autorización dura sólo para esa sesión y separa escritorio, terminal, archivos y portapapeles. El usuario o la empresa pueden finalizarla; quedan trazas de participantes, duración y resultado.</w:t>
      </w:r>
    </w:p>
    <w:p>
      <w:pPr>
        <w:pStyle w:val="Heading2"/>
      </w:pPr>
      <w:r>
        <w:t>8.5 La empresa respalda y restaura archivos</w:t>
      </w:r>
    </w:p>
    <w:p>
      <w:r>
        <w:t>Con el módulo opcional activo, un administrador asigna a equipos autorizados una política de carpetas, horarios, exclusiones, retención y cuota. El agente cifra y envía respaldos al repositorio de su empresa por la conexión disponible, sin depender de la VPN. El portal muestra última copia, errores, versiones y cobertura. Un usuario autorizado selecciona versión y destino; el sistema reconstruye y verifica contenido y metadatos. El repositorio permanece separado de la EC2 VPN y cada empresa conserva credenciales y claves independientes.</w:t>
      </w:r>
    </w:p>
    <w:p>
      <w:r>
        <w:t>Esta primera capacidad protege archivos. Bases de datos requieren procedimientos de consistencia propios; imágenes de equipos, máquinas virtuales y recuperación instantánea tienen un alcance posterior. La inmutabilidad mediante S3 Object Lock es una opción por validar con el motor y la retención elegidos.</w:t>
      </w:r>
    </w:p>
    <w:p>
      <w:pPr>
        <w:pStyle w:val="Heading1"/>
      </w:pPr>
      <w:r>
        <w:t>9 Reglas de seguridad y confianza visibles en el producto</w:t>
      </w:r>
    </w:p>
    <w:p>
      <w:pPr>
        <w:pStyle w:val="ListBullet"/>
        <w:spacing w:after="80"/>
        <w:ind w:left="360" w:hanging="230"/>
      </w:pPr>
      <w:r>
        <w:t>MFA para administradores y técnicos; sesiones revocables; autorizaciones temporales y auditables.</w:t>
      </w:r>
    </w:p>
    <w:p>
      <w:pPr>
        <w:pStyle w:val="ListBullet"/>
        <w:spacing w:after="80"/>
        <w:ind w:left="360" w:hanging="230"/>
      </w:pPr>
      <w:r>
        <w:t>Aislamiento por empresa en vistas, API, base, colas, métricas, archivos y motor de soporte. Exportaciones y enlaces de descarga respetan los mismos permisos.</w:t>
      </w:r>
    </w:p>
    <w:p>
      <w:pPr>
        <w:pStyle w:val="ListBullet"/>
        <w:spacing w:after="80"/>
        <w:ind w:left="360" w:hanging="230"/>
      </w:pPr>
      <w:r>
        <w:t>Claves privadas fuera de tablas de inventario y logs; actualizaciones del cliente firmadas; identidad individual del agente y del nodo.</w:t>
      </w:r>
    </w:p>
    <w:p>
      <w:pPr>
        <w:pStyle w:val="ListBullet"/>
        <w:spacing w:after="80"/>
        <w:ind w:left="360" w:hanging="230"/>
      </w:pPr>
      <w:r>
        <w:t>La VPN sólo publica redes privadas aprobadas. Los clientes mantienen la salida local a Internet en IPv4 e IPv6.</w:t>
      </w:r>
    </w:p>
    <w:p>
      <w:pPr>
        <w:pStyle w:val="ListBullet"/>
        <w:spacing w:after="80"/>
        <w:ind w:left="360" w:hanging="230"/>
      </w:pPr>
      <w:r>
        <w:t>El portal informa estado observado y antigüedad de la señal; no presenta una orden pendiente como protección aplicada.</w:t>
      </w:r>
    </w:p>
    <w:p>
      <w:pPr>
        <w:pStyle w:val="Heading1"/>
      </w:pPr>
      <w:r>
        <w:t>10 Alcance de entregas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5184"/>
        <w:gridCol w:w="2966"/>
      </w:tblGrid>
      <w:tr>
        <w:trPr>
          <w:tblHeader w:val="true"/>
        </w:trPr>
        <w:tc>
          <w:tcPr>
            <w:tcW w:type="dxa" w:w="1728"/>
            <w:shd w:fill="183B59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5184"/>
            <w:shd w:fill="183B59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Incluye</w:t>
            </w:r>
          </w:p>
        </w:tc>
        <w:tc>
          <w:tcPr>
            <w:tcW w:type="dxa" w:w="2966"/>
            <w:shd w:fill="183B59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Criterio de salida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0 Descubrimiento</w:t>
            </w:r>
          </w:p>
        </w:tc>
        <w:tc>
          <w:tcPr>
            <w:tcW w:type="dxa" w:w="51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Inventario del OpenVPN actual, redes, equipos, carga, suscripciones y retorno.</w:t>
            </w:r>
          </w:p>
        </w:tc>
        <w:tc>
          <w:tcPr>
            <w:tcW w:type="dxa" w:w="296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Línea base y topología de laboratorio documentadas.</w:t>
            </w:r>
          </w:p>
        </w:tc>
      </w:tr>
      <w:tr>
        <w:trPr>
          <w:cantSplit/>
        </w:trPr>
        <w:tc>
          <w:tcPr>
            <w:tcW w:type="dxa" w:w="1728"/>
            <w:shd w:fill="F2F6FA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1 Prueba técnica</w:t>
            </w:r>
          </w:p>
        </w:tc>
        <w:tc>
          <w:tcPr>
            <w:tcW w:type="dxa" w:w="5184"/>
            <w:shd w:fill="F2F6FA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EC2 nueva; dos empresas ficticias aisladas; gateways; cliente Windows; activación modular básica.</w:t>
            </w:r>
          </w:p>
        </w:tc>
        <w:tc>
          <w:tcPr>
            <w:tcW w:type="dxa" w:w="2966"/>
            <w:shd w:fill="F2F6FA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LAN repetidas aisladas, rutas privadas, Internet local y reinicios probados.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2 Producto inicial</w:t>
            </w:r>
          </w:p>
        </w:tc>
        <w:tc>
          <w:tcPr>
            <w:tcW w:type="dxa" w:w="51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Portal, altas, políticas, suscripciones, operación, auditoría y reportes.</w:t>
            </w:r>
          </w:p>
        </w:tc>
        <w:tc>
          <w:tcPr>
            <w:tcW w:type="dxa" w:w="296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Recorrido de empresa a equipo, suspensión y reactivación verificadas.</w:t>
            </w:r>
          </w:p>
        </w:tc>
      </w:tr>
      <w:tr>
        <w:trPr>
          <w:cantSplit/>
        </w:trPr>
        <w:tc>
          <w:tcPr>
            <w:tcW w:type="dxa" w:w="1728"/>
            <w:shd w:fill="F2F6FA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3 Piloto real</w:t>
            </w:r>
          </w:p>
        </w:tc>
        <w:tc>
          <w:tcPr>
            <w:tcW w:type="dxa" w:w="5184"/>
            <w:shd w:fill="F2F6FA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Una empresa seleccionada y grupos limitados de equipos.</w:t>
            </w:r>
          </w:p>
        </w:tc>
        <w:tc>
          <w:tcPr>
            <w:tcW w:type="dxa" w:w="2966"/>
            <w:shd w:fill="F2F6FA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Estabilidad, reversión, carga y soporte aceptados.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4 y 5 Evolución</w:t>
            </w:r>
          </w:p>
        </w:tc>
        <w:tc>
          <w:tcPr>
            <w:tcW w:type="dxa" w:w="518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Más plataformas, automatización, malla y relays según necesidad.</w:t>
            </w:r>
          </w:p>
        </w:tc>
        <w:tc>
          <w:tcPr>
            <w:tcW w:type="dxa" w:w="2966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Compatibilidad y conectividad en redes restrictivas probadas.</w:t>
            </w:r>
          </w:p>
        </w:tc>
      </w:tr>
      <w:tr>
        <w:trPr>
          <w:cantSplit/>
        </w:trPr>
        <w:tc>
          <w:tcPr>
            <w:tcW w:type="dxa" w:w="1728"/>
            <w:shd w:fill="F2F6FA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6 Respaldo opcional</w:t>
            </w:r>
          </w:p>
        </w:tc>
        <w:tc>
          <w:tcPr>
            <w:tcW w:type="dxa" w:w="5184"/>
            <w:shd w:fill="F2F6FA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Políticas, archivos, versiones, retención y restauración.</w:t>
            </w:r>
          </w:p>
        </w:tc>
        <w:tc>
          <w:tcPr>
            <w:tcW w:type="dxa" w:w="2966"/>
            <w:shd w:fill="F2F6FA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Activación sin reinstalar y restauración desde instalación limpia verificadas.</w:t>
            </w:r>
          </w:p>
        </w:tc>
      </w:tr>
    </w:tbl>
    <w:p>
      <w:pPr>
        <w:spacing w:after="20"/>
      </w:pPr>
    </w:p>
    <w:p>
      <w:r>
        <w:t>Fuera del compromiso inicial: antivirus, MDM completo, inspección del contenido de navegación, pasarela de pagos específica, escritorio remoto móvil, imagen completa, protección de VM y recuperación instantánea de servidores. La disponibilidad alta y el failover requieren un diseño y pruebas posteriores.</w:t>
      </w:r>
    </w:p>
    <w:p>
      <w:pPr>
        <w:pStyle w:val="Heading1"/>
      </w:pPr>
      <w:r>
        <w:t>11 Criterios de aceptación y medición</w:t>
      </w:r>
    </w:p>
    <w:p>
      <w:r>
        <w:t>El paso de laboratorio a una empresa real exige evidencia de las pruebas PV01 a PV21 del análisis técnico según capacidades activadas. Entre ellas se encuentran: aislamiento por API y red; dos empresas con la misma LAN; no salida general de Internet por la VPN; cupos e invitaciones atómicos; suspensión efectiva; autorización de soporte; recuperación tras caída; restauración del plano de control; y retorno al OpenVPN anterior.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4594"/>
        <w:gridCol w:w="2765"/>
      </w:tblGrid>
      <w:tr>
        <w:trPr>
          <w:tblHeader w:val="true"/>
        </w:trPr>
        <w:tc>
          <w:tcPr>
            <w:tcW w:type="dxa" w:w="2520"/>
            <w:shd w:fill="183B59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Indicador de producto</w:t>
            </w:r>
          </w:p>
        </w:tc>
        <w:tc>
          <w:tcPr>
            <w:tcW w:type="dxa" w:w="4594"/>
            <w:shd w:fill="183B59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Qué demuestra</w:t>
            </w:r>
          </w:p>
        </w:tc>
        <w:tc>
          <w:tcPr>
            <w:tcW w:type="dxa" w:w="2765"/>
            <w:shd w:fill="183B59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Alta de empresa a primer recurso accesible</w:t>
            </w:r>
          </w:p>
        </w:tc>
        <w:tc>
          <w:tcPr>
            <w:tcW w:type="dxa" w:w="459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Capacidad de proveer una empresa sin pasos manuales no registrados.</w:t>
            </w:r>
          </w:p>
        </w:tc>
        <w:tc>
          <w:tcPr>
            <w:tcW w:type="dxa" w:w="276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Definir meta tras el piloto.</w:t>
            </w:r>
          </w:p>
        </w:tc>
      </w:tr>
      <w:tr>
        <w:trPr>
          <w:cantSplit/>
        </w:trPr>
        <w:tc>
          <w:tcPr>
            <w:tcW w:type="dxa" w:w="2520"/>
            <w:shd w:fill="F2F6FA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Equipos con módulo operativo</w:t>
            </w:r>
          </w:p>
        </w:tc>
        <w:tc>
          <w:tcPr>
            <w:tcW w:type="dxa" w:w="4594"/>
            <w:shd w:fill="F2F6FA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Distingue instalados, habilitados, conectados y utilizables.</w:t>
            </w:r>
          </w:p>
        </w:tc>
        <w:tc>
          <w:tcPr>
            <w:tcW w:type="dxa" w:w="2765"/>
            <w:shd w:fill="F2F6FA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Medir por plataforma y empresa.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Cambios aplicados y errores</w:t>
            </w:r>
          </w:p>
        </w:tc>
        <w:tc>
          <w:tcPr>
            <w:tcW w:type="dxa" w:w="459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Calidad de provisión, reintentos y reconciliación.</w:t>
            </w:r>
          </w:p>
        </w:tc>
        <w:tc>
          <w:tcPr>
            <w:tcW w:type="dxa" w:w="276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Registrar revisión y tiempos observados.</w:t>
            </w:r>
          </w:p>
        </w:tc>
      </w:tr>
      <w:tr>
        <w:trPr>
          <w:cantSplit/>
        </w:trPr>
        <w:tc>
          <w:tcPr>
            <w:tcW w:type="dxa" w:w="2520"/>
            <w:shd w:fill="F2F6FA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Soporte autorizado</w:t>
            </w:r>
          </w:p>
        </w:tc>
        <w:tc>
          <w:tcPr>
            <w:tcW w:type="dxa" w:w="4594"/>
            <w:shd w:fill="F2F6FA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Uso, consentimiento, finalización y revocación.</w:t>
            </w:r>
          </w:p>
        </w:tc>
        <w:tc>
          <w:tcPr>
            <w:tcW w:type="dxa" w:w="2765"/>
            <w:shd w:fill="F2F6FA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Medir eventos sin grabar pantalla por defecto.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Restauraciones verificadas</w:t>
            </w:r>
          </w:p>
        </w:tc>
        <w:tc>
          <w:tcPr>
            <w:tcW w:type="dxa" w:w="459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Capacidad real de recuperar datos, si se ofrece backup.</w:t>
            </w:r>
          </w:p>
        </w:tc>
        <w:tc>
          <w:tcPr>
            <w:tcW w:type="dxa" w:w="276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</w:tcPr>
          <w:p>
            <w:pPr>
              <w:spacing w:after="0" w:line="259" w:lineRule="auto"/>
            </w:pPr>
            <w:r>
              <w:rPr>
                <w:sz w:val="18"/>
              </w:rPr>
              <w:t>Probar contenido y metadatos.</w:t>
            </w:r>
          </w:p>
        </w:tc>
      </w:tr>
    </w:tbl>
    <w:p>
      <w:pPr>
        <w:spacing w:after="20"/>
      </w:pPr>
    </w:p>
    <w:p>
      <w:r>
        <w:t>La meta técnica inicial propuesta para el control incluye p95 de API interactiva menor de 500 ms, aplicación de políticas p95 menor de 60 segundos en agentes conectados y recuperación piloto del control RPO 24 horas / RTO 4 horas. Son hipótesis de diseño del análisis técnico, no un SLA comercial; sólo pueden ofrecerse tras medir y probar recuperación.</w:t>
      </w:r>
    </w:p>
    <w:p>
      <w:pPr>
        <w:pStyle w:val="Heading1"/>
      </w:pPr>
      <w:r>
        <w:t>12 Dependencias y decisiones abiertas</w:t>
      </w:r>
    </w:p>
    <w:p>
      <w:pPr>
        <w:pStyle w:val="ListBullet"/>
        <w:spacing w:after="80"/>
        <w:ind w:left="360" w:hanging="230"/>
      </w:pPr>
      <w:r>
        <w:t>Definir nombre comercial, estructura de planes, precios, cuotas, gracia, cancelación, exportación y conservación de datos.</w:t>
      </w:r>
    </w:p>
    <w:p>
      <w:pPr>
        <w:pStyle w:val="ListBullet"/>
        <w:spacing w:after="80"/>
        <w:ind w:left="360" w:hanging="230"/>
      </w:pPr>
      <w:r>
        <w:t>Levantar inventario real de EC2, OpenVPN, redes, gateways, endpoints, concurrencia y transferencia mensual para dimensionar y presupuestar.</w:t>
      </w:r>
    </w:p>
    <w:p>
      <w:pPr>
        <w:pStyle w:val="ListBullet"/>
        <w:spacing w:after="80"/>
        <w:ind w:left="360" w:hanging="230"/>
      </w:pPr>
      <w:r>
        <w:t>Elegir stack final de API, base, motor remoto, empaquetado del cliente y compatibilidad por plataforma tras pruebas de integración.</w:t>
      </w:r>
    </w:p>
    <w:p>
      <w:pPr>
        <w:pStyle w:val="ListBullet"/>
        <w:spacing w:after="80"/>
        <w:ind w:left="360" w:hanging="230"/>
      </w:pPr>
      <w:r>
        <w:t>Decidir vigencia de políticas cuando el plano de control esté fuera de servicio y objetivos comerciales de disponibilidad y recuperación.</w:t>
      </w:r>
    </w:p>
    <w:p>
      <w:pPr>
        <w:pStyle w:val="ListBullet"/>
        <w:spacing w:after="80"/>
        <w:ind w:left="360" w:hanging="230"/>
      </w:pPr>
      <w:r>
        <w:t>Definir el alcance de acceso delegado al técnico del cliente y el procedimiento de autorización de soporte del proveedor.</w:t>
      </w:r>
    </w:p>
    <w:p>
      <w:pPr>
        <w:pStyle w:val="ListBullet"/>
        <w:spacing w:after="80"/>
        <w:ind w:left="360" w:hanging="230"/>
      </w:pPr>
      <w:r>
        <w:t>Para el módulo futuro de respaldo, seleccionar motor, repositorio externo, ubicación, claves, cuotas, retención y pruebas de recuperación.</w:t>
      </w:r>
    </w:p>
    <w:p>
      <w:pPr>
        <w:pStyle w:val="Heading1"/>
      </w:pPr>
      <w:r>
        <w:t>13 Siguiente entregable</w:t>
      </w:r>
    </w:p>
    <w:p>
      <w:r>
        <w:t>Con el producto delimitado, el siguiente documento será el plan de implementación del piloto: inventario y supuestos, arquitectura ejecutable en la EC2 nueva, fases y responsables, estimación de costos, criterios de aceptación, evidencia requerida, migración por grupos y procedimiento de retorno. El plan deberá resolver las decisiones que bloqueen el laboratorio y mantener visibles las que correspondan a etapas posteriores.</w:t>
      </w:r>
    </w:p>
    <w:sectPr w:rsidR="00FC693F" w:rsidRPr="0006063C" w:rsidSect="00034616">
      <w:footerReference w:type="default" r:id="rId9"/>
      <w:pgSz w:w="12240" w:h="15840"/>
      <w:pgMar w:top="1094" w:right="1109" w:bottom="1037" w:left="11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F7D"/>
        <w:sz w:val="16"/>
      </w:rPr>
      <w:t>Proyecto Nexo  |  Definición de producto  |  20 octubre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Liberation Sans" w:hAnsi="Liberation Sans"/>
      <w:color w:val="1E2B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80" w:after="1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Liberation Sans" w:hAnsi="Liberation Sans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Definición de producto Nexo</dc:title>
  <dc:subject>Plataforma multiempresa de conectividad privada y soporte remoto</dc:subject>
  <dc:creator>Edgar Garay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