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0"/>
      </w:pPr>
      <w:r>
        <w:rPr>
          <w:rFonts w:ascii="Roboto Mono" w:cs="Roboto Mono" w:eastAsia="Roboto Mono" w:hAnsi="Roboto Mono"/>
          <w:b/>
          <w:bCs/>
          <w:color w:val="231F20"/>
          <w:sz w:val="16"/>
          <w:szCs w:val="16"/>
        </w:rPr>
        <w:t xml:space="preserve">HORIZONS ARCHITECTURE</w:t>
      </w:r>
    </w:p>
    <w:p>
      <w:pPr>
        <w:spacing w:before="0" w:after="200"/>
      </w:pPr>
      <w:r>
        <w:rPr>
          <w:rFonts w:ascii="Plus Jakarta Sans Medium" w:cs="Plus Jakarta Sans Medium" w:eastAsia="Plus Jakarta Sans Medium" w:hAnsi="Plus Jakarta Sans Medium"/>
          <w:color w:val="231F20"/>
          <w:sz w:val="28"/>
          <w:szCs w:val="28"/>
        </w:rPr>
        <w:t xml:space="preserve">FICHA PRESUPUESTAL</w:t>
      </w:r>
    </w:p>
    <w:p>
      <w:pPr>
        <w:pBdr>
          <w:left w:val="single" w:color="3356F6" w:sz="6" w:space="12"/>
        </w:pBdr>
        <w:spacing w:before="200" w:after="480" w:line="360" w:lineRule="atLeast"/>
      </w:pPr>
      <w:r>
        <w:rPr>
          <w:rFonts w:ascii="Plus Jakarta Sans Medium" w:cs="Plus Jakarta Sans Medium" w:eastAsia="Plus Jakarta Sans Medium" w:hAnsi="Plus Jakarta Sans Medium"/>
          <w:color w:val="231F20"/>
          <w:sz w:val="56"/>
          <w:szCs w:val="56"/>
        </w:rPr>
        <w:t xml:space="preserve">SIC-Q — Dimensión presupuestal 2026</w:t>
      </w:r>
    </w:p>
    <w:p>
      <w:pPr>
        <w:spacing w:before="0" w:after="360"/>
      </w:pPr>
      <w:r>
        <w:rPr>
          <w:rFonts w:ascii="Plus Jakarta Sans" w:cs="Plus Jakarta Sans" w:eastAsia="Plus Jakarta Sans" w:hAnsi="Plus Jakarta Sans"/>
          <w:color w:val="666666"/>
          <w:sz w:val="24"/>
          <w:szCs w:val="24"/>
        </w:rPr>
        <w:t xml:space="preserve">Aproximación presupuestal para el Sistema de Inteligencia Colectiva de Querétaro</w:t>
      </w:r>
    </w:p>
    <w:p>
      <w:pPr>
        <w:spacing w:before="0" w:after="80"/>
      </w:pPr>
      <w:r>
        <w:rPr>
          <w:rFonts w:ascii="Roboto Mono" w:cs="Roboto Mono" w:eastAsia="Roboto Mono" w:hAnsi="Roboto Mono"/>
          <w:color w:val="666666"/>
          <w:sz w:val="18"/>
          <w:szCs w:val="18"/>
        </w:rPr>
        <w:t xml:space="preserve">FEBRERO 2026</w:t>
      </w:r>
    </w:p>
    <w:p>
      <w:pPr>
        <w:spacing w:before="0" w:after="0"/>
      </w:pPr>
      <w:r>
        <w:rPr>
          <w:rFonts w:ascii="Roboto Mono" w:cs="Roboto Mono" w:eastAsia="Roboto Mono" w:hAnsi="Roboto Mono"/>
          <w:color w:val="666666"/>
          <w:sz w:val="18"/>
          <w:szCs w:val="18"/>
        </w:rPr>
        <w:t xml:space="preserve">Antonio Rangel / Gobierno de Querétaro</w:t>
      </w:r>
    </w:p>
    <w:p>
      <w:pPr>
        <w:sectPr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spacing w:before="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Toño,</w:t>
      </w:r>
    </w:p>
    <w:p>
      <w:pPr>
        <w:spacing w:before="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Números gruesos para tu reunión. Una aproximación a lo que necesitaremos para el año.</w:t>
      </w:r>
    </w:p>
    <w:p>
      <w:pPr>
        <w:spacing w:before="240" w:after="8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Pagado: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$3.7M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(30+ entregables en etapa de prototipo)</w:t>
      </w:r>
    </w:p>
    <w:p>
      <w:pPr>
        <w:spacing w:before="0" w:after="8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Pendiente contrato original: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~$8.6M + IVA</w:t>
      </w:r>
    </w:p>
    <w:p>
      <w:pPr>
        <w:spacing w:before="0" w:after="8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3 productos nuevos: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$6M + IVA</w:t>
      </w:r>
    </w:p>
    <w:p>
      <w:pPr>
        <w:spacing w:before="0" w:after="8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Proyecto completo (todo lo del contrato más los 3 proyectos nuevos):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$16M + IVA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| Con buffer: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$18M + IVA</w:t>
      </w:r>
    </w:p>
    <w:p>
      <w:pPr>
        <w:spacing w:before="0" w:after="16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Cloud (anual, aparte):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$600K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a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$5M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según escala</w:t>
      </w:r>
    </w:p>
    <w:p>
      <w:pPr>
        <w:pBdr>
          <w:bottom w:val="single" w:color="CCCCCC" w:sz="1" w:space="8"/>
        </w:pBdr>
        <w:spacing w:before="960" w:after="480"/>
      </w:pPr>
    </w:p>
    <w:p>
      <w:pPr>
        <w:keepNext/>
        <w:spacing w:before="0" w:after="8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01</w:t>
      </w:r>
    </w:p>
    <w:p>
      <w:pPr>
        <w:pStyle w:val="Heading1"/>
        <w:keepNext/>
        <w:spacing w:before="0" w:after="360" w:line="276"/>
      </w:pPr>
      <w:r>
        <w:rPr>
          <w:rFonts w:ascii="Plus Jakarta Sans Medium" w:cs="Plus Jakarta Sans Medium" w:eastAsia="Plus Jakarta Sans Medium" w:hAnsi="Plus Jakarta Sans Medium"/>
          <w:color w:val="3356F6"/>
          <w:sz w:val="40"/>
          <w:szCs w:val="40"/>
        </w:rPr>
        <w:t xml:space="preserve">Lo que ya entregamos (etapa de prototipo)</w:t>
      </w:r>
    </w:p>
    <w:p>
      <w:pPr>
        <w:spacing w:before="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Con los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$3.7M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pagados hemos entregado más de 30 productos: prototipo navegable del SIC-Q, primer agente de IA funcional, presentación para el gobernador (que se hará en mayo), demo de agentes, visor de mapas, app de capacitación para moderadores, 2 talleres de codiseño (74 participantes, 778 ideas, 248 actores), sesión CONSEQRO (13 consejeros, 4 demos en vivo), 5 reportes, procesamiento con IA en tiempo real, todos los materiales de ejecución, replanteamiento estratégico, Citizens Journey v.03 y v.04, diseño de proceso en 12 fases, simulador de costos, código de ética, benchmarks internacionales, y documentos base de conocimientos. Todo documentado en Notion y en las plataformas de HA.</w:t>
      </w:r>
    </w:p>
    <w:p>
      <w:pPr>
        <w:pBdr>
          <w:bottom w:val="single" w:color="CCCCCC" w:sz="1" w:space="8"/>
        </w:pBdr>
        <w:spacing w:before="960" w:after="480"/>
      </w:pPr>
    </w:p>
    <w:p>
      <w:pPr>
        <w:keepNext/>
        <w:spacing w:before="0" w:after="8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02</w:t>
      </w:r>
    </w:p>
    <w:p>
      <w:pPr>
        <w:pStyle w:val="Heading1"/>
        <w:keepNext/>
        <w:spacing w:before="0" w:after="360" w:line="276"/>
      </w:pPr>
      <w:r>
        <w:rPr>
          <w:rFonts w:ascii="Plus Jakarta Sans Medium" w:cs="Plus Jakarta Sans Medium" w:eastAsia="Plus Jakarta Sans Medium" w:hAnsi="Plus Jakarta Sans Medium"/>
          <w:color w:val="3356F6"/>
          <w:sz w:val="40"/>
          <w:szCs w:val="40"/>
        </w:rPr>
        <w:t xml:space="preserve">Lo que estaba y lo que sigue: $16M + IVA</w:t>
      </w:r>
    </w:p>
    <w:p>
      <w:pPr>
        <w:pStyle w:val="Heading2"/>
        <w:keepNext/>
        <w:spacing w:before="600" w:after="240" w:line="300"/>
      </w:pPr>
      <w:r>
        <w:rPr>
          <w:rFonts w:ascii="Plus Jakarta Sans SemiBold" w:cs="Plus Jakarta Sans SemiBold" w:eastAsia="Plus Jakarta Sans SemiBold" w:hAnsi="Plus Jakarta Sans SemiBold"/>
          <w:color w:val="231F20"/>
          <w:sz w:val="28"/>
          <w:szCs w:val="28"/>
        </w:rPr>
        <w:t xml:space="preserve">Del contrato original (~$8.6M + IVA pendientes)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Plataforma de Orquestación Ciudadana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sistema web y móvil de participación para ~50,000 usuarios con múltiples canales (web, móvil, WhatsApp), procesamiento IA en tiempo real, reportes de inteligencia colectiva y seguimiento al ciudadano. El componente más ambicioso del proyecto.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Sistema de Agentes de IA públicos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agentes conversacionales conectados a bases de datos oficiales.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Arquitectura técnica y de datos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infraestructura cloud, seguridad, integración institucional.</w:t>
      </w:r>
    </w:p>
    <w:p>
      <w:pPr>
        <w:pStyle w:val="ListParagraph"/>
        <w:numPr>
          <w:ilvl w:val="0"/>
          <w:numId w:val="2"/>
        </w:numPr>
        <w:spacing w:before="0" w:after="24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Dashboard de inteligencia colectiva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visualización para la Secretaría y el CONSEQRO.</w:t>
      </w:r>
    </w:p>
    <w:p>
      <w:pPr>
        <w:pStyle w:val="Heading2"/>
        <w:keepNext/>
        <w:spacing w:before="600" w:after="240" w:line="300"/>
      </w:pPr>
      <w:r>
        <w:rPr>
          <w:rFonts w:ascii="Plus Jakarta Sans SemiBold" w:cs="Plus Jakarta Sans SemiBold" w:eastAsia="Plus Jakarta Sans SemiBold" w:hAnsi="Plus Jakarta Sans SemiBold"/>
          <w:color w:val="231F20"/>
          <w:sz w:val="28"/>
          <w:szCs w:val="28"/>
        </w:rPr>
        <w:t xml:space="preserve">3 productos nuevos ($6M + IVA)</w:t>
      </w:r>
    </w:p>
    <w:p>
      <w:pPr>
        <w:spacing w:before="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Surgieron de los talleres, el CONSEQRO y lo que definimos el 19 de febrero: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Agente Toño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tu herramienta de inteligencia ejecutiva: reportes automáticos, fichas por municipio, indicadores, resúmenes de prensa.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Caso ejecutivo para el Gobernador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demostración estratégica con datos reales del valor del SIC.</w:t>
      </w:r>
    </w:p>
    <w:p>
      <w:pPr>
        <w:pStyle w:val="ListParagraph"/>
        <w:numPr>
          <w:ilvl w:val="0"/>
          <w:numId w:val="2"/>
        </w:numPr>
        <w:spacing w:before="0" w:after="24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Procesamiento de IA del Plan QRO 2050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toda la información existente procesada para la actualización del Plan. Herramienta de planeación para Sergio.</w:t>
      </w:r>
    </w:p>
    <w:p>
      <w:pPr>
        <w:spacing w:before="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Estos 3 productos no estaban incluidos en el contrato original. Surgieron del avance del proyecto — no es un incremento arbitrario, es lo que se necesita para generar impacto este año.</w:t>
      </w:r>
    </w:p>
    <w:p>
      <w:pPr>
        <w:pBdr>
          <w:bottom w:val="single" w:color="CCCCCC" w:sz="1" w:space="8"/>
        </w:pBdr>
        <w:spacing w:before="960" w:after="480"/>
      </w:pPr>
    </w:p>
    <w:p>
      <w:pPr>
        <w:keepNext/>
        <w:spacing w:before="0" w:after="8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03</w:t>
      </w:r>
    </w:p>
    <w:p>
      <w:pPr>
        <w:pStyle w:val="Heading1"/>
        <w:keepNext/>
        <w:spacing w:before="0" w:after="360" w:line="276"/>
      </w:pPr>
      <w:r>
        <w:rPr>
          <w:rFonts w:ascii="Plus Jakarta Sans Medium" w:cs="Plus Jakarta Sans Medium" w:eastAsia="Plus Jakarta Sans Medium" w:hAnsi="Plus Jakarta Sans Medium"/>
          <w:color w:val="3356F6"/>
          <w:sz w:val="40"/>
          <w:szCs w:val="40"/>
        </w:rPr>
        <w:t xml:space="preserve">Timeline estimado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Primeros 4 meses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los 3 frentes operando: tu agente, el caso gobernador, y la herramienta de planeación generando resultados.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Meses 4–8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arquitectura técnica, agentes públicos y dashboard en desarrollo.</w:t>
      </w:r>
    </w:p>
    <w:p>
      <w:pPr>
        <w:pStyle w:val="ListParagraph"/>
        <w:numPr>
          <w:ilvl w:val="0"/>
          <w:numId w:val="2"/>
        </w:numPr>
        <w:spacing w:before="0" w:after="24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Meses 6–12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plataforma ciudadana: diseño, desarrollo y lanzamiento para ~50,000 usuarios.</w:t>
      </w:r>
    </w:p>
    <w:p>
      <w:pPr>
        <w:spacing w:before="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Los 3 frentes dan resultados rápido. La plataforma ciudadana es la que toma más tiempo.</w:t>
      </w:r>
    </w:p>
    <w:p>
      <w:pPr>
        <w:pBdr>
          <w:bottom w:val="single" w:color="CCCCCC" w:sz="1" w:space="8"/>
        </w:pBdr>
        <w:spacing w:before="960" w:after="480"/>
      </w:pPr>
    </w:p>
    <w:p>
      <w:pPr>
        <w:keepNext/>
        <w:spacing w:before="0" w:after="8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04</w:t>
      </w:r>
    </w:p>
    <w:p>
      <w:pPr>
        <w:pStyle w:val="Heading1"/>
        <w:keepNext/>
        <w:spacing w:before="0" w:after="360" w:line="276"/>
      </w:pPr>
      <w:r>
        <w:rPr>
          <w:rFonts w:ascii="Plus Jakarta Sans Medium" w:cs="Plus Jakarta Sans Medium" w:eastAsia="Plus Jakarta Sans Medium" w:hAnsi="Plus Jakarta Sans Medium"/>
          <w:color w:val="3356F6"/>
          <w:sz w:val="40"/>
          <w:szCs w:val="40"/>
        </w:rPr>
        <w:t xml:space="preserve">Infraestructura cloud (costo operativo anual)</w:t>
      </w:r>
    </w:p>
    <w:p>
      <w:pPr>
        <w:spacing w:before="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Aparte del desarrollo, el sistema necesita infraestructura de nube para operar un año. Dependiendo de la escala: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$600K/año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piloto (~500 usuarios: gobierno, consejos, equipo cercano)</w:t>
      </w:r>
    </w:p>
    <w:p>
      <w:pPr>
        <w:pStyle w:val="ListParagraph"/>
        <w:numPr>
          <w:ilvl w:val="0"/>
          <w:numId w:val="2"/>
        </w:numPr>
        <w:spacing w:before="0" w:after="120" w:line="276"/>
      </w:pP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$1.5M/año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operación estándar (~5,000–10,000 usuarios: gobierno + ciudadanos activos)</w:t>
      </w:r>
    </w:p>
    <w:p>
      <w:pPr>
        <w:pStyle w:val="ListParagraph"/>
        <w:numPr>
          <w:ilvl w:val="0"/>
          <w:numId w:val="2"/>
        </w:numPr>
        <w:spacing w:before="0" w:after="240" w:line="276"/>
      </w:pP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$5M/año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escala completa (~50,000 usuarios: todos los canales ciudadanos abiertos)</w:t>
      </w:r>
    </w:p>
    <w:p>
      <w:pPr>
        <w:spacing w:before="240" w:after="160" w:line="276"/>
      </w:pP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Buffer: +$2M + IVA. 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Como esto no es una propuesta formal ni contractual sino la dimensión que me pediste, incluyo un margen de </w:t>
      </w: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$2M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para cubrir la diferencia entre estos números gruesos y lo que resulte al aterrizar los detalles. Total con buffer: </w:t>
      </w:r>
      <w:r>
        <w:rPr>
          <w:rFonts w:ascii="Plus Jakarta Sans SemiBold" w:cs="Plus Jakarta Sans SemiBold" w:eastAsia="Plus Jakarta Sans SemiBold" w:hAnsi="Plus Jakarta Sans SemiBold"/>
          <w:color w:val="231F20"/>
          <w:sz w:val="21"/>
          <w:szCs w:val="21"/>
        </w:rPr>
        <w:t xml:space="preserve">$18M + IVA.</w:t>
      </w:r>
    </w:p>
    <w:p>
      <w:pPr>
        <w:pBdr>
          <w:bottom w:val="single" w:color="CCCCCC" w:sz="1" w:space="8"/>
        </w:pBdr>
        <w:spacing w:before="960" w:after="480"/>
      </w:pPr>
    </w:p>
    <w:p>
      <w:pPr>
        <w:keepNext/>
        <w:spacing w:before="0" w:after="80"/>
      </w:pPr>
      <w:r>
        <w:rPr>
          <w:rFonts w:ascii="Roboto Mono" w:cs="Roboto Mono" w:eastAsia="Roboto Mono" w:hAnsi="Roboto Mono"/>
          <w:color w:val="666666"/>
          <w:sz w:val="16"/>
          <w:szCs w:val="16"/>
        </w:rPr>
        <w:t xml:space="preserve">05</w:t>
      </w:r>
    </w:p>
    <w:p>
      <w:pPr>
        <w:pStyle w:val="Heading1"/>
        <w:keepNext/>
        <w:spacing w:before="0" w:after="360" w:line="276"/>
      </w:pPr>
      <w:r>
        <w:rPr>
          <w:rFonts w:ascii="Plus Jakarta Sans Medium" w:cs="Plus Jakarta Sans Medium" w:eastAsia="Plus Jakarta Sans Medium" w:hAnsi="Plus Jakarta Sans Medium"/>
          <w:color w:val="3356F6"/>
          <w:sz w:val="40"/>
          <w:szCs w:val="40"/>
        </w:rPr>
        <w:t xml:space="preserve">Si hay que ajustar</w:t>
      </w:r>
    </w:p>
    <w:p>
      <w:pPr>
        <w:spacing w:before="0" w:after="160" w:line="276"/>
      </w:pP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$13M + IVA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Agente Toño, caso ejecutivo para el gobernador, procesamiento de IA del Plan QRO 2050, agentes públicos, arquitectura técnica y dashboard. Lo único que queda fuera es la Plataforma de Orquestación Ciudadana — el componente de mayor inversión y mayor tiempo.</w:t>
      </w:r>
    </w:p>
    <w:p>
      <w:pPr>
        <w:spacing w:before="0" w:after="240" w:line="276"/>
      </w:pPr>
      <w:r>
        <w:rPr>
          <w:rFonts w:ascii="Roboto Mono" w:cs="Roboto Mono" w:eastAsia="Roboto Mono" w:hAnsi="Roboto Mono"/>
          <w:color w:val="231F20"/>
          <w:sz w:val="21"/>
          <w:szCs w:val="21"/>
        </w:rPr>
        <w:t xml:space="preserve">$10M + IVA</w:t>
      </w: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 — Agente Toño, caso ejecutivo para el gobernador, procesamiento de IA del Plan QRO 2050, y arquitectura básica. La plataforma ciudadana, los agentes públicos y el dashboard no entran en este presupuesto.</w:t>
      </w:r>
    </w:p>
    <w:p>
      <w:pPr>
        <w:spacing w:before="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En cualquier escenario, los 3 frentes van — tú con tu agente, el caso ejecutivo para el gobernador, y Sergio con la herramienta de planeación. Lo que se recorta es la plataforma ciudadana: lo que más recursos requiere, pero que puede esperar mientras los 3 frentes ya generan valor.</w:t>
      </w:r>
    </w:p>
    <w:p>
      <w:pPr>
        <w:pBdr>
          <w:bottom w:val="single" w:color="CCCCCC" w:sz="1" w:space="8"/>
        </w:pBdr>
        <w:spacing w:before="960" w:after="480"/>
      </w:pPr>
    </w:p>
    <w:p>
      <w:pPr>
        <w:spacing w:before="240" w:after="16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¿Cómo la ves? Todo lo podemos platicar.</w:t>
      </w:r>
    </w:p>
    <w:p>
      <w:pPr>
        <w:spacing w:before="0" w:after="48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Un abrazo.</w:t>
      </w:r>
    </w:p>
    <w:p>
      <w:pPr>
        <w:spacing w:before="480" w:after="80" w:line="276"/>
      </w:pPr>
      <w:r>
        <w:rPr>
          <w:rFonts w:ascii="Plus Jakarta Sans" w:cs="Plus Jakarta Sans" w:eastAsia="Plus Jakarta Sans" w:hAnsi="Plus Jakarta Sans"/>
          <w:color w:val="231F20"/>
          <w:sz w:val="21"/>
          <w:szCs w:val="21"/>
        </w:rPr>
        <w:t xml:space="preserve">Documento preparado por Horizons Architecture para el Gobierno de Querétaro.</w:t>
      </w:r>
    </w:p>
    <w:p>
      <w:pPr>
        <w:spacing w:before="0" w:after="0" w:line="276"/>
      </w:pPr>
      <w:r>
        <w:rPr>
          <w:rFonts w:ascii="Roboto Mono" w:cs="Roboto Mono" w:eastAsia="Roboto Mono" w:hAnsi="Roboto Mono"/>
          <w:color w:val="666666"/>
          <w:sz w:val="18"/>
          <w:szCs w:val="18"/>
        </w:rPr>
        <w:t xml:space="preserve">Febrero 2026 — horizonsarchitecture.ai</w:t>
      </w:r>
    </w:p>
    <w:sectPr>
      <w:type w:val="nextPage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231F20"/>
        <w:sz w:val="21"/>
        <w:szCs w:val="21"/>
      </w:rPr>
    </w:rPrDefault>
    <w:pPrDefault>
      <w:pPr>
        <w:spacing w:line="276"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720" w:after="360" w:line="360"/>
      <w:outlineLvl w:val="0"/>
    </w:pPr>
    <w:rPr>
      <w:rFonts w:ascii="Plus Jakarta Sans Medium" w:cs="Plus Jakarta Sans Medium" w:eastAsia="Plus Jakarta Sans Medium" w:hAnsi="Plus Jakarta Sans Medium"/>
      <w:color w:val="3356F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600" w:after="240" w:line="300"/>
      <w:outlineLvl w:val="1"/>
    </w:pPr>
    <w:rPr>
      <w:rFonts w:ascii="Plus Jakarta Sans SemiBold" w:cs="Plus Jakarta Sans SemiBold" w:eastAsia="Plus Jakarta Sans SemiBold" w:hAnsi="Plus Jakarta Sans SemiBold"/>
      <w:color w:val="231F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360" w:after="160" w:line="300"/>
      <w:outlineLvl w:val="2"/>
    </w:pPr>
    <w:rPr>
      <w:rFonts w:ascii="Plus Jakarta Sans SemiBold" w:cs="Plus Jakarta Sans SemiBold" w:eastAsia="Plus Jakarta Sans SemiBold" w:hAnsi="Plus Jakarta Sans SemiBold"/>
      <w:color w:val="231F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2026-02-21T18:32:44.160Z</dcterms:created>
  <dcterms:modified xsi:type="dcterms:W3CDTF">2026-02-21T18:32:44.164Z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