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0D6E6E"/>
          <w:sz w:val="52"/>
          <w:szCs w:val="52"/>
        </w:rPr>
        <w:t xml:space="preserve">IntakeAI</w:t>
      </w:r>
    </w:p>
    <w:p>
      <w:pPr>
        <w:spacing w:before="0" w:after="80"/>
        <w:jc w:val="center"/>
      </w:pPr>
      <w:r>
        <w:rPr>
          <w:rFonts w:ascii="Arial" w:cs="Arial" w:eastAsia="Arial" w:hAnsi="Arial"/>
          <w:b/>
          <w:bCs/>
          <w:color w:val="1A2332"/>
          <w:sz w:val="32"/>
          <w:szCs w:val="32"/>
        </w:rPr>
        <w:t xml:space="preserve">BUSINESS ASSOCIATE AGREEMENT</w:t>
      </w:r>
    </w:p>
    <w:p>
      <w:pPr>
        <w:spacing w:before="0" w:after="480"/>
        <w:jc w:val="center"/>
      </w:pPr>
      <w:r>
        <w:rPr>
          <w:rFonts w:ascii="Arial" w:cs="Arial" w:eastAsia="Arial" w:hAnsi="Arial"/>
          <w:i/>
          <w:iCs/>
          <w:color w:val="6B7C93"/>
          <w:sz w:val="20"/>
          <w:szCs w:val="20"/>
        </w:rPr>
        <w:t xml:space="preserve">45 C.F.R. Parts 160 and 164 (HIPAA/HITECH)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______________________________</w:t>
            </w:r>
          </w:p>
        </w:tc>
      </w:tr>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Covered Entity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______________________________  ("Practice")</w:t>
            </w:r>
          </w:p>
        </w:tc>
      </w:tr>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Business Associate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IntakeAI, LLC  ("IntakeAI")</w:t>
            </w:r>
          </w:p>
        </w:tc>
      </w:tr>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Agreement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1.0</w:t>
            </w:r>
          </w:p>
        </w:tc>
      </w:tr>
    </w:tbl>
    <w:p>
      <w:pPr>
        <w:spacing w:before="80" w:after="80"/>
      </w:pPr>
      <w:r>
        <w:t xml:space="preserve"/>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RECITALS</w:t>
      </w:r>
    </w:p>
    <w:p>
      <w:pPr>
        <w:spacing w:before="60" w:after="60"/>
        <w:jc w:val="both"/>
      </w:pPr>
      <w:r>
        <w:rPr>
          <w:rFonts w:ascii="Arial" w:cs="Arial" w:eastAsia="Arial" w:hAnsi="Arial"/>
          <w:color w:val="1A2332"/>
          <w:sz w:val="20"/>
          <w:szCs w:val="20"/>
        </w:rPr>
        <w:t xml:space="preserve">WHEREAS, Practice is a Covered Entity as defined under the Health Insurance Portability and Accountability Act of 1996 ("HIPAA") and its implementing regulations, including the Privacy Rule (45 C.F.R. Part 164, Subparts A and E) and the Security Rule (45 C.F.R. Part 164, Subparts A and C);</w:t>
      </w:r>
    </w:p>
    <w:p>
      <w:pPr>
        <w:spacing w:before="80" w:after="80"/>
      </w:pPr>
      <w:r>
        <w:t xml:space="preserve"/>
      </w:r>
    </w:p>
    <w:p>
      <w:pPr>
        <w:spacing w:before="60" w:after="60"/>
        <w:jc w:val="both"/>
      </w:pPr>
      <w:r>
        <w:rPr>
          <w:rFonts w:ascii="Arial" w:cs="Arial" w:eastAsia="Arial" w:hAnsi="Arial"/>
          <w:color w:val="1A2332"/>
          <w:sz w:val="20"/>
          <w:szCs w:val="20"/>
        </w:rPr>
        <w:t xml:space="preserve">WHEREAS, IntakeAI provides patient intake automation services, including AI-powered clinical summary generation, that involve the creation, receipt, maintenance, or transmission of Protected Health Information ("PHI") on behalf of Practice;</w:t>
      </w:r>
    </w:p>
    <w:p>
      <w:pPr>
        <w:spacing w:before="80" w:after="80"/>
      </w:pPr>
      <w:r>
        <w:t xml:space="preserve"/>
      </w:r>
    </w:p>
    <w:p>
      <w:pPr>
        <w:spacing w:before="60" w:after="60"/>
        <w:jc w:val="both"/>
      </w:pPr>
      <w:r>
        <w:rPr>
          <w:rFonts w:ascii="Arial" w:cs="Arial" w:eastAsia="Arial" w:hAnsi="Arial"/>
          <w:color w:val="1A2332"/>
          <w:sz w:val="20"/>
          <w:szCs w:val="20"/>
        </w:rPr>
        <w:t xml:space="preserve">WHEREAS, HIPAA requires Covered Entities to enter into a Business Associate Agreement with their Business Associates prior to disclosing PHI;</w:t>
      </w:r>
    </w:p>
    <w:p>
      <w:pPr>
        <w:spacing w:before="80" w:after="80"/>
      </w:pPr>
      <w:r>
        <w:t xml:space="preserve"/>
      </w:r>
    </w:p>
    <w:p>
      <w:pPr>
        <w:spacing w:before="60" w:after="60"/>
        <w:jc w:val="both"/>
      </w:pPr>
      <w:r>
        <w:rPr>
          <w:rFonts w:ascii="Arial" w:cs="Arial" w:eastAsia="Arial" w:hAnsi="Arial"/>
          <w:color w:val="1A2332"/>
          <w:sz w:val="20"/>
          <w:szCs w:val="20"/>
        </w:rPr>
        <w:t xml:space="preserve">NOW, THEREFORE, in consideration of the mutual promises and covenants contained herein, the parties agree as follows:</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1. DEFINITIONS</w:t>
      </w:r>
    </w:p>
    <w:p>
      <w:pPr>
        <w:spacing w:before="60" w:after="60"/>
        <w:jc w:val="left"/>
      </w:pPr>
      <w:r>
        <w:rPr>
          <w:rFonts w:ascii="Arial" w:cs="Arial" w:eastAsia="Arial" w:hAnsi="Arial"/>
          <w:color w:val="1A2332"/>
          <w:sz w:val="20"/>
          <w:szCs w:val="20"/>
        </w:rPr>
        <w:t xml:space="preserve">Unless otherwise defined herein, capitalized terms shall have the meanings set forth in HIPAA and the HITECH Act.</w:t>
      </w:r>
    </w:p>
    <w:p>
      <w:pPr>
        <w:spacing w:before="80" w:after="80"/>
      </w:pPr>
      <w:r>
        <w:t xml:space="preserve"/>
      </w:r>
    </w:p>
    <w:p>
      <w:pPr>
        <w:spacing w:before="240" w:after="80"/>
      </w:pPr>
      <w:r>
        <w:rPr>
          <w:rFonts w:ascii="Arial" w:cs="Arial" w:eastAsia="Arial" w:hAnsi="Arial"/>
          <w:b/>
          <w:bCs/>
          <w:color w:val="0D6E6E"/>
          <w:sz w:val="22"/>
          <w:szCs w:val="22"/>
        </w:rPr>
        <w:t xml:space="preserve">1.1 Protected Health Information (PHI)</w:t>
      </w:r>
    </w:p>
    <w:p>
      <w:pPr>
        <w:spacing w:before="60" w:after="60"/>
        <w:jc w:val="left"/>
      </w:pPr>
      <w:r>
        <w:rPr>
          <w:rFonts w:ascii="Arial" w:cs="Arial" w:eastAsia="Arial" w:hAnsi="Arial"/>
          <w:color w:val="1A2332"/>
          <w:sz w:val="20"/>
          <w:szCs w:val="20"/>
        </w:rPr>
        <w:t xml:space="preserve">PHI means individually identifiable health information transmitted or maintained in any form or medium, as defined in 45 C.F.R. § 160.103, including Electronic Protected Health Information (ePHI).</w:t>
      </w:r>
    </w:p>
    <w:p>
      <w:pPr>
        <w:spacing w:before="80" w:after="80"/>
      </w:pPr>
      <w:r>
        <w:t xml:space="preserve"/>
      </w:r>
    </w:p>
    <w:p>
      <w:pPr>
        <w:spacing w:before="240" w:after="80"/>
      </w:pPr>
      <w:r>
        <w:rPr>
          <w:rFonts w:ascii="Arial" w:cs="Arial" w:eastAsia="Arial" w:hAnsi="Arial"/>
          <w:b/>
          <w:bCs/>
          <w:color w:val="0D6E6E"/>
          <w:sz w:val="22"/>
          <w:szCs w:val="22"/>
        </w:rPr>
        <w:t xml:space="preserve">1.2 Business Associate Services</w:t>
      </w:r>
    </w:p>
    <w:p>
      <w:pPr>
        <w:spacing w:before="60" w:after="60"/>
        <w:jc w:val="left"/>
      </w:pPr>
      <w:r>
        <w:rPr>
          <w:rFonts w:ascii="Arial" w:cs="Arial" w:eastAsia="Arial" w:hAnsi="Arial"/>
          <w:color w:val="1A2332"/>
          <w:sz w:val="20"/>
          <w:szCs w:val="20"/>
        </w:rPr>
        <w:t xml:space="preserve">Services provided by IntakeAI on behalf of Practice, including but not limited to: patient intake form collection, AI-assisted clinical summary generation, patient data storage, and dashboard analytics.</w:t>
      </w:r>
    </w:p>
    <w:p>
      <w:pPr>
        <w:spacing w:before="80" w:after="80"/>
      </w:pPr>
      <w:r>
        <w:t xml:space="preserve"/>
      </w:r>
    </w:p>
    <w:p>
      <w:pPr>
        <w:spacing w:before="240" w:after="80"/>
      </w:pPr>
      <w:r>
        <w:rPr>
          <w:rFonts w:ascii="Arial" w:cs="Arial" w:eastAsia="Arial" w:hAnsi="Arial"/>
          <w:b/>
          <w:bCs/>
          <w:color w:val="0D6E6E"/>
          <w:sz w:val="22"/>
          <w:szCs w:val="22"/>
        </w:rPr>
        <w:t xml:space="preserve">1.3 Breach</w:t>
      </w:r>
    </w:p>
    <w:p>
      <w:pPr>
        <w:spacing w:before="60" w:after="60"/>
        <w:jc w:val="left"/>
      </w:pPr>
      <w:r>
        <w:rPr>
          <w:rFonts w:ascii="Arial" w:cs="Arial" w:eastAsia="Arial" w:hAnsi="Arial"/>
          <w:color w:val="1A2332"/>
          <w:sz w:val="20"/>
          <w:szCs w:val="20"/>
        </w:rPr>
        <w:t xml:space="preserve">The acquisition, access, use, or disclosure of PHI in a manner not permitted by the Privacy Rule that compromises the security or privacy of the PHI, as defined in 45 C.F.R. § 164.402.</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2. OBLIGATIONS OF INTAKEAI (BUSINESS ASSOCIATE)</w:t>
      </w:r>
    </w:p>
    <w:p>
      <w:pPr>
        <w:spacing w:before="240" w:after="80"/>
      </w:pPr>
      <w:r>
        <w:rPr>
          <w:rFonts w:ascii="Arial" w:cs="Arial" w:eastAsia="Arial" w:hAnsi="Arial"/>
          <w:b/>
          <w:bCs/>
          <w:color w:val="0D6E6E"/>
          <w:sz w:val="22"/>
          <w:szCs w:val="22"/>
        </w:rPr>
        <w:t xml:space="preserve">2.1 Permitted Uses and Disclosures</w:t>
      </w:r>
    </w:p>
    <w:p>
      <w:pPr>
        <w:spacing w:before="60" w:after="60"/>
        <w:jc w:val="left"/>
      </w:pPr>
      <w:r>
        <w:rPr>
          <w:rFonts w:ascii="Arial" w:cs="Arial" w:eastAsia="Arial" w:hAnsi="Arial"/>
          <w:color w:val="1A2332"/>
          <w:sz w:val="20"/>
          <w:szCs w:val="20"/>
        </w:rPr>
        <w:t xml:space="preserve">IntakeAI shall not use or disclose PHI other than as permitted or required by this Agreement or as Required by Law. Permitted uses include:</w:t>
      </w:r>
    </w:p>
    <w:p>
      <w:pPr>
        <w:pStyle w:val="ListParagraph"/>
        <w:numPr>
          <w:ilvl w:val="0"/>
          <w:numId w:val="2"/>
        </w:numPr>
        <w:spacing w:before="40" w:after="40"/>
      </w:pPr>
      <w:r>
        <w:rPr>
          <w:rFonts w:ascii="Arial" w:cs="Arial" w:eastAsia="Arial" w:hAnsi="Arial"/>
          <w:color w:val="1A2332"/>
          <w:sz w:val="20"/>
          <w:szCs w:val="20"/>
        </w:rPr>
        <w:t xml:space="preserve">Providing and improving the patient intake automation services</w:t>
      </w:r>
    </w:p>
    <w:p>
      <w:pPr>
        <w:pStyle w:val="ListParagraph"/>
        <w:numPr>
          <w:ilvl w:val="0"/>
          <w:numId w:val="2"/>
        </w:numPr>
        <w:spacing w:before="40" w:after="40"/>
      </w:pPr>
      <w:r>
        <w:rPr>
          <w:rFonts w:ascii="Arial" w:cs="Arial" w:eastAsia="Arial" w:hAnsi="Arial"/>
          <w:color w:val="1A2332"/>
          <w:sz w:val="20"/>
          <w:szCs w:val="20"/>
        </w:rPr>
        <w:t xml:space="preserve">Generating AI-powered clinical summaries for authorized providers</w:t>
      </w:r>
    </w:p>
    <w:p>
      <w:pPr>
        <w:pStyle w:val="ListParagraph"/>
        <w:numPr>
          <w:ilvl w:val="0"/>
          <w:numId w:val="2"/>
        </w:numPr>
        <w:spacing w:before="40" w:after="40"/>
      </w:pPr>
      <w:r>
        <w:rPr>
          <w:rFonts w:ascii="Arial" w:cs="Arial" w:eastAsia="Arial" w:hAnsi="Arial"/>
          <w:color w:val="1A2332"/>
          <w:sz w:val="20"/>
          <w:szCs w:val="20"/>
        </w:rPr>
        <w:t xml:space="preserve">Technical operations, maintenance, and support of the platform</w:t>
      </w:r>
    </w:p>
    <w:p>
      <w:pPr>
        <w:pStyle w:val="ListParagraph"/>
        <w:numPr>
          <w:ilvl w:val="0"/>
          <w:numId w:val="2"/>
        </w:numPr>
        <w:spacing w:before="40" w:after="40"/>
      </w:pPr>
      <w:r>
        <w:rPr>
          <w:rFonts w:ascii="Arial" w:cs="Arial" w:eastAsia="Arial" w:hAnsi="Arial"/>
          <w:color w:val="1A2332"/>
          <w:sz w:val="20"/>
          <w:szCs w:val="20"/>
        </w:rPr>
        <w:t xml:space="preserve">De-identified data analysis for service improvement (per 45 C.F.R. § 164.514)</w:t>
      </w:r>
    </w:p>
    <w:p>
      <w:pPr>
        <w:spacing w:before="80" w:after="80"/>
      </w:pPr>
      <w:r>
        <w:t xml:space="preserve"/>
      </w:r>
    </w:p>
    <w:p>
      <w:pPr>
        <w:spacing w:before="240" w:after="80"/>
      </w:pPr>
      <w:r>
        <w:rPr>
          <w:rFonts w:ascii="Arial" w:cs="Arial" w:eastAsia="Arial" w:hAnsi="Arial"/>
          <w:b/>
          <w:bCs/>
          <w:color w:val="0D6E6E"/>
          <w:sz w:val="22"/>
          <w:szCs w:val="22"/>
        </w:rPr>
        <w:t xml:space="preserve">2.2 Safeguards</w:t>
      </w:r>
    </w:p>
    <w:p>
      <w:pPr>
        <w:spacing w:before="60" w:after="60"/>
        <w:jc w:val="left"/>
      </w:pPr>
      <w:r>
        <w:rPr>
          <w:rFonts w:ascii="Arial" w:cs="Arial" w:eastAsia="Arial" w:hAnsi="Arial"/>
          <w:color w:val="1A2332"/>
          <w:sz w:val="20"/>
          <w:szCs w:val="20"/>
        </w:rPr>
        <w:t xml:space="preserve">IntakeAI shall implement and maintain appropriate administrative, physical, and technical safeguards to protect the confidentiality, integrity, and availability of ePHI, including:</w:t>
      </w:r>
    </w:p>
    <w:p>
      <w:pPr>
        <w:pStyle w:val="ListParagraph"/>
        <w:numPr>
          <w:ilvl w:val="0"/>
          <w:numId w:val="2"/>
        </w:numPr>
        <w:spacing w:before="40" w:after="40"/>
      </w:pPr>
      <w:r>
        <w:rPr>
          <w:rFonts w:ascii="Arial" w:cs="Arial" w:eastAsia="Arial" w:hAnsi="Arial"/>
          <w:color w:val="1A2332"/>
          <w:sz w:val="20"/>
          <w:szCs w:val="20"/>
        </w:rPr>
        <w:t xml:space="preserve">AES-256 encryption for all PHI at rest</w:t>
      </w:r>
    </w:p>
    <w:p>
      <w:pPr>
        <w:pStyle w:val="ListParagraph"/>
        <w:numPr>
          <w:ilvl w:val="0"/>
          <w:numId w:val="2"/>
        </w:numPr>
        <w:spacing w:before="40" w:after="40"/>
      </w:pPr>
      <w:r>
        <w:rPr>
          <w:rFonts w:ascii="Arial" w:cs="Arial" w:eastAsia="Arial" w:hAnsi="Arial"/>
          <w:color w:val="1A2332"/>
          <w:sz w:val="20"/>
          <w:szCs w:val="20"/>
        </w:rPr>
        <w:t xml:space="preserve">TLS 1.2 or higher encryption for all PHI in transit</w:t>
      </w:r>
    </w:p>
    <w:p>
      <w:pPr>
        <w:pStyle w:val="ListParagraph"/>
        <w:numPr>
          <w:ilvl w:val="0"/>
          <w:numId w:val="2"/>
        </w:numPr>
        <w:spacing w:before="40" w:after="40"/>
      </w:pPr>
      <w:r>
        <w:rPr>
          <w:rFonts w:ascii="Arial" w:cs="Arial" w:eastAsia="Arial" w:hAnsi="Arial"/>
          <w:color w:val="1A2332"/>
          <w:sz w:val="20"/>
          <w:szCs w:val="20"/>
        </w:rPr>
        <w:t xml:space="preserve">Multi-factor authentication (MFA) for all system access</w:t>
      </w:r>
    </w:p>
    <w:p>
      <w:pPr>
        <w:pStyle w:val="ListParagraph"/>
        <w:numPr>
          <w:ilvl w:val="0"/>
          <w:numId w:val="2"/>
        </w:numPr>
        <w:spacing w:before="40" w:after="40"/>
      </w:pPr>
      <w:r>
        <w:rPr>
          <w:rFonts w:ascii="Arial" w:cs="Arial" w:eastAsia="Arial" w:hAnsi="Arial"/>
          <w:color w:val="1A2332"/>
          <w:sz w:val="20"/>
          <w:szCs w:val="20"/>
        </w:rPr>
        <w:t xml:space="preserve">Role-based access controls (RBAC) limiting PHI access to authorized personnel</w:t>
      </w:r>
    </w:p>
    <w:p>
      <w:pPr>
        <w:pStyle w:val="ListParagraph"/>
        <w:numPr>
          <w:ilvl w:val="0"/>
          <w:numId w:val="2"/>
        </w:numPr>
        <w:spacing w:before="40" w:after="40"/>
      </w:pPr>
      <w:r>
        <w:rPr>
          <w:rFonts w:ascii="Arial" w:cs="Arial" w:eastAsia="Arial" w:hAnsi="Arial"/>
          <w:color w:val="1A2332"/>
          <w:sz w:val="20"/>
          <w:szCs w:val="20"/>
        </w:rPr>
        <w:t xml:space="preserve">Automatic session timeouts after 15 minutes of inactivity</w:t>
      </w:r>
    </w:p>
    <w:p>
      <w:pPr>
        <w:pStyle w:val="ListParagraph"/>
        <w:numPr>
          <w:ilvl w:val="0"/>
          <w:numId w:val="2"/>
        </w:numPr>
        <w:spacing w:before="40" w:after="40"/>
      </w:pPr>
      <w:r>
        <w:rPr>
          <w:rFonts w:ascii="Arial" w:cs="Arial" w:eastAsia="Arial" w:hAnsi="Arial"/>
          <w:color w:val="1A2332"/>
          <w:sz w:val="20"/>
          <w:szCs w:val="20"/>
        </w:rPr>
        <w:t xml:space="preserve">Comprehensive audit logging of all PHI access and modifications</w:t>
      </w:r>
    </w:p>
    <w:p>
      <w:pPr>
        <w:pStyle w:val="ListParagraph"/>
        <w:numPr>
          <w:ilvl w:val="0"/>
          <w:numId w:val="2"/>
        </w:numPr>
        <w:spacing w:before="40" w:after="40"/>
      </w:pPr>
      <w:r>
        <w:rPr>
          <w:rFonts w:ascii="Arial" w:cs="Arial" w:eastAsia="Arial" w:hAnsi="Arial"/>
          <w:color w:val="1A2332"/>
          <w:sz w:val="20"/>
          <w:szCs w:val="20"/>
        </w:rPr>
        <w:t xml:space="preserve">Annual security risk assessments per 45 C.F.R. § 164.308(a)(1)</w:t>
      </w:r>
    </w:p>
    <w:p>
      <w:pPr>
        <w:spacing w:before="80" w:after="80"/>
      </w:pPr>
      <w:r>
        <w:t xml:space="preserve"/>
      </w:r>
    </w:p>
    <w:p>
      <w:pPr>
        <w:spacing w:before="240" w:after="80"/>
      </w:pPr>
      <w:r>
        <w:rPr>
          <w:rFonts w:ascii="Arial" w:cs="Arial" w:eastAsia="Arial" w:hAnsi="Arial"/>
          <w:b/>
          <w:bCs/>
          <w:color w:val="0D6E6E"/>
          <w:sz w:val="22"/>
          <w:szCs w:val="22"/>
        </w:rPr>
        <w:t xml:space="preserve">2.3 Subcontractors</w:t>
      </w:r>
    </w:p>
    <w:p>
      <w:pPr>
        <w:spacing w:before="60" w:after="60"/>
        <w:jc w:val="left"/>
      </w:pPr>
      <w:r>
        <w:rPr>
          <w:rFonts w:ascii="Arial" w:cs="Arial" w:eastAsia="Arial" w:hAnsi="Arial"/>
          <w:color w:val="1A2332"/>
          <w:sz w:val="20"/>
          <w:szCs w:val="20"/>
        </w:rPr>
        <w:t xml:space="preserve">IntakeAI shall enter into a written agreement with any subcontractor or agent that creates, receives, maintains, or transmits PHI on behalf of IntakeAI, requiring the subcontractor to comply with the same restrictions and conditions as IntakeAI under this Agreement. Current subcontractors with executed BAAs include:</w:t>
      </w:r>
    </w:p>
    <w:p>
      <w:pPr>
        <w:pStyle w:val="ListParagraph"/>
        <w:numPr>
          <w:ilvl w:val="0"/>
          <w:numId w:val="2"/>
        </w:numPr>
        <w:spacing w:before="40" w:after="40"/>
      </w:pPr>
      <w:r>
        <w:rPr>
          <w:rFonts w:ascii="Arial" w:cs="Arial" w:eastAsia="Arial" w:hAnsi="Arial"/>
          <w:color w:val="1A2332"/>
          <w:sz w:val="20"/>
          <w:szCs w:val="20"/>
        </w:rPr>
        <w:t xml:space="preserve">Supabase, Inc. — Database and storage infrastructure</w:t>
      </w:r>
    </w:p>
    <w:p>
      <w:pPr>
        <w:pStyle w:val="ListParagraph"/>
        <w:numPr>
          <w:ilvl w:val="0"/>
          <w:numId w:val="2"/>
        </w:numPr>
        <w:spacing w:before="40" w:after="40"/>
      </w:pPr>
      <w:r>
        <w:rPr>
          <w:rFonts w:ascii="Arial" w:cs="Arial" w:eastAsia="Arial" w:hAnsi="Arial"/>
          <w:color w:val="1A2332"/>
          <w:sz w:val="20"/>
          <w:szCs w:val="20"/>
        </w:rPr>
        <w:t xml:space="preserve">Amazon Web Services, Inc. — Cloud hosting and email services</w:t>
      </w:r>
    </w:p>
    <w:p>
      <w:pPr>
        <w:pStyle w:val="ListParagraph"/>
        <w:numPr>
          <w:ilvl w:val="0"/>
          <w:numId w:val="2"/>
        </w:numPr>
        <w:spacing w:before="40" w:after="40"/>
      </w:pPr>
      <w:r>
        <w:rPr>
          <w:rFonts w:ascii="Arial" w:cs="Arial" w:eastAsia="Arial" w:hAnsi="Arial"/>
          <w:color w:val="1A2332"/>
          <w:sz w:val="20"/>
          <w:szCs w:val="20"/>
        </w:rPr>
        <w:t xml:space="preserve">Anthropic, PBC — AI model processing (Claude API)</w:t>
      </w:r>
    </w:p>
    <w:p>
      <w:pPr>
        <w:spacing w:before="80" w:after="80"/>
      </w:pPr>
      <w:r>
        <w:t xml:space="preserve"/>
      </w:r>
    </w:p>
    <w:p>
      <w:pPr>
        <w:spacing w:before="240" w:after="80"/>
      </w:pPr>
      <w:r>
        <w:rPr>
          <w:rFonts w:ascii="Arial" w:cs="Arial" w:eastAsia="Arial" w:hAnsi="Arial"/>
          <w:b/>
          <w:bCs/>
          <w:color w:val="0D6E6E"/>
          <w:sz w:val="22"/>
          <w:szCs w:val="22"/>
        </w:rPr>
        <w:t xml:space="preserve">2.4 Breach Notification</w:t>
      </w:r>
    </w:p>
    <w:p>
      <w:pPr>
        <w:spacing w:before="60" w:after="60"/>
        <w:jc w:val="left"/>
      </w:pPr>
      <w:r>
        <w:rPr>
          <w:rFonts w:ascii="Arial" w:cs="Arial" w:eastAsia="Arial" w:hAnsi="Arial"/>
          <w:color w:val="1A2332"/>
          <w:sz w:val="20"/>
          <w:szCs w:val="20"/>
        </w:rPr>
        <w:t xml:space="preserve">IntakeAI shall notify Practice of a Breach of Unsecured PHI without unreasonable delay and in no case later than 60 calendar days following discovery of the Breach. Notification shall include, to the extent possible:</w:t>
      </w:r>
    </w:p>
    <w:p>
      <w:pPr>
        <w:pStyle w:val="ListParagraph"/>
        <w:numPr>
          <w:ilvl w:val="0"/>
          <w:numId w:val="2"/>
        </w:numPr>
        <w:spacing w:before="40" w:after="40"/>
      </w:pPr>
      <w:r>
        <w:rPr>
          <w:rFonts w:ascii="Arial" w:cs="Arial" w:eastAsia="Arial" w:hAnsi="Arial"/>
          <w:color w:val="1A2332"/>
          <w:sz w:val="20"/>
          <w:szCs w:val="20"/>
        </w:rPr>
        <w:t xml:space="preserve">Identification of each individual whose PHI was or may have been involved</w:t>
      </w:r>
    </w:p>
    <w:p>
      <w:pPr>
        <w:pStyle w:val="ListParagraph"/>
        <w:numPr>
          <w:ilvl w:val="0"/>
          <w:numId w:val="2"/>
        </w:numPr>
        <w:spacing w:before="40" w:after="40"/>
      </w:pPr>
      <w:r>
        <w:rPr>
          <w:rFonts w:ascii="Arial" w:cs="Arial" w:eastAsia="Arial" w:hAnsi="Arial"/>
          <w:color w:val="1A2332"/>
          <w:sz w:val="20"/>
          <w:szCs w:val="20"/>
        </w:rPr>
        <w:t xml:space="preserve">Description of the Breach, including date of Breach and date of discovery</w:t>
      </w:r>
    </w:p>
    <w:p>
      <w:pPr>
        <w:pStyle w:val="ListParagraph"/>
        <w:numPr>
          <w:ilvl w:val="0"/>
          <w:numId w:val="2"/>
        </w:numPr>
        <w:spacing w:before="40" w:after="40"/>
      </w:pPr>
      <w:r>
        <w:rPr>
          <w:rFonts w:ascii="Arial" w:cs="Arial" w:eastAsia="Arial" w:hAnsi="Arial"/>
          <w:color w:val="1A2332"/>
          <w:sz w:val="20"/>
          <w:szCs w:val="20"/>
        </w:rPr>
        <w:t xml:space="preserve">Description of the types of PHI involved</w:t>
      </w:r>
    </w:p>
    <w:p>
      <w:pPr>
        <w:pStyle w:val="ListParagraph"/>
        <w:numPr>
          <w:ilvl w:val="0"/>
          <w:numId w:val="2"/>
        </w:numPr>
        <w:spacing w:before="40" w:after="40"/>
      </w:pPr>
      <w:r>
        <w:rPr>
          <w:rFonts w:ascii="Arial" w:cs="Arial" w:eastAsia="Arial" w:hAnsi="Arial"/>
          <w:color w:val="1A2332"/>
          <w:sz w:val="20"/>
          <w:szCs w:val="20"/>
        </w:rPr>
        <w:t xml:space="preserve">Steps individuals should take to protect themselves</w:t>
      </w:r>
    </w:p>
    <w:p>
      <w:pPr>
        <w:pStyle w:val="ListParagraph"/>
        <w:numPr>
          <w:ilvl w:val="0"/>
          <w:numId w:val="2"/>
        </w:numPr>
        <w:spacing w:before="40" w:after="40"/>
      </w:pPr>
      <w:r>
        <w:rPr>
          <w:rFonts w:ascii="Arial" w:cs="Arial" w:eastAsia="Arial" w:hAnsi="Arial"/>
          <w:color w:val="1A2332"/>
          <w:sz w:val="20"/>
          <w:szCs w:val="20"/>
        </w:rPr>
        <w:t xml:space="preserve">Steps IntakeAI is taking to investigate and mitigate harm</w:t>
      </w:r>
    </w:p>
    <w:p>
      <w:pPr>
        <w:spacing w:before="80" w:after="80"/>
      </w:pPr>
      <w:r>
        <w:t xml:space="preserve"/>
      </w:r>
    </w:p>
    <w:p>
      <w:pPr>
        <w:spacing w:before="240" w:after="80"/>
      </w:pPr>
      <w:r>
        <w:rPr>
          <w:rFonts w:ascii="Arial" w:cs="Arial" w:eastAsia="Arial" w:hAnsi="Arial"/>
          <w:b/>
          <w:bCs/>
          <w:color w:val="0D6E6E"/>
          <w:sz w:val="22"/>
          <w:szCs w:val="22"/>
        </w:rPr>
        <w:t xml:space="preserve">2.5 Access and Amendment</w:t>
      </w:r>
    </w:p>
    <w:p>
      <w:pPr>
        <w:spacing w:before="60" w:after="60"/>
        <w:jc w:val="left"/>
      </w:pPr>
      <w:r>
        <w:rPr>
          <w:rFonts w:ascii="Arial" w:cs="Arial" w:eastAsia="Arial" w:hAnsi="Arial"/>
          <w:color w:val="1A2332"/>
          <w:sz w:val="20"/>
          <w:szCs w:val="20"/>
        </w:rPr>
        <w:t xml:space="preserve">IntakeAI shall make PHI available to Practice to fulfill Practice's obligations to provide access and make amendments under 45 C.F.R. §§ 164.524 and 164.526. IntakeAI shall incorporate any amendments to PHI in its records within 30 days of receiving written notice from Practice.</w:t>
      </w:r>
    </w:p>
    <w:p>
      <w:pPr>
        <w:spacing w:before="80" w:after="80"/>
      </w:pPr>
      <w:r>
        <w:t xml:space="preserve"/>
      </w:r>
    </w:p>
    <w:p>
      <w:pPr>
        <w:spacing w:before="240" w:after="80"/>
      </w:pPr>
      <w:r>
        <w:rPr>
          <w:rFonts w:ascii="Arial" w:cs="Arial" w:eastAsia="Arial" w:hAnsi="Arial"/>
          <w:b/>
          <w:bCs/>
          <w:color w:val="0D6E6E"/>
          <w:sz w:val="22"/>
          <w:szCs w:val="22"/>
        </w:rPr>
        <w:t xml:space="preserve">2.6 Audit and Accounting</w:t>
      </w:r>
    </w:p>
    <w:p>
      <w:pPr>
        <w:spacing w:before="60" w:after="60"/>
        <w:jc w:val="left"/>
      </w:pPr>
      <w:r>
        <w:rPr>
          <w:rFonts w:ascii="Arial" w:cs="Arial" w:eastAsia="Arial" w:hAnsi="Arial"/>
          <w:color w:val="1A2332"/>
          <w:sz w:val="20"/>
          <w:szCs w:val="20"/>
        </w:rPr>
        <w:t xml:space="preserve">IntakeAI shall maintain an audit log of all access to PHI and make such log available to Practice upon written request. IntakeAI shall retain audit logs for a minimum of six (6) years from the date of creation or last effective date, whichever is later, in accordance with 45 C.F.R. § 164.530(j).</w:t>
      </w:r>
    </w:p>
    <w:p>
      <w:pPr>
        <w:spacing w:before="80" w:after="80"/>
      </w:pPr>
      <w:r>
        <w:t xml:space="preserve"/>
      </w:r>
    </w:p>
    <w:p>
      <w:pPr>
        <w:spacing w:before="240" w:after="80"/>
      </w:pPr>
      <w:r>
        <w:rPr>
          <w:rFonts w:ascii="Arial" w:cs="Arial" w:eastAsia="Arial" w:hAnsi="Arial"/>
          <w:b/>
          <w:bCs/>
          <w:color w:val="0D6E6E"/>
          <w:sz w:val="22"/>
          <w:szCs w:val="22"/>
        </w:rPr>
        <w:t xml:space="preserve">2.7 Minimum Necessary</w:t>
      </w:r>
    </w:p>
    <w:p>
      <w:pPr>
        <w:spacing w:before="60" w:after="60"/>
        <w:jc w:val="left"/>
      </w:pPr>
      <w:r>
        <w:rPr>
          <w:rFonts w:ascii="Arial" w:cs="Arial" w:eastAsia="Arial" w:hAnsi="Arial"/>
          <w:color w:val="1A2332"/>
          <w:sz w:val="20"/>
          <w:szCs w:val="20"/>
        </w:rPr>
        <w:t xml:space="preserve">IntakeAI shall, to the extent practicable, use, disclose, and request only the minimum amount of PHI necessary to accomplish the intended purpose of the use, disclosure, or request.</w:t>
      </w:r>
    </w:p>
    <w:p>
      <w:pPr>
        <w:spacing w:before="80" w:after="80"/>
      </w:pPr>
      <w:r>
        <w:t xml:space="preserve"/>
      </w:r>
    </w:p>
    <w:p>
      <w:pPr>
        <w:spacing w:before="240" w:after="80"/>
      </w:pPr>
      <w:r>
        <w:rPr>
          <w:rFonts w:ascii="Arial" w:cs="Arial" w:eastAsia="Arial" w:hAnsi="Arial"/>
          <w:b/>
          <w:bCs/>
          <w:color w:val="0D6E6E"/>
          <w:sz w:val="22"/>
          <w:szCs w:val="22"/>
        </w:rPr>
        <w:t xml:space="preserve">2.8 Government Access</w:t>
      </w:r>
    </w:p>
    <w:p>
      <w:pPr>
        <w:spacing w:before="60" w:after="60"/>
        <w:jc w:val="left"/>
      </w:pPr>
      <w:r>
        <w:rPr>
          <w:rFonts w:ascii="Arial" w:cs="Arial" w:eastAsia="Arial" w:hAnsi="Arial"/>
          <w:color w:val="1A2332"/>
          <w:sz w:val="20"/>
          <w:szCs w:val="20"/>
        </w:rPr>
        <w:t xml:space="preserve">IntakeAI shall make its internal practices, books, and records relating to the use and disclosure of PHI available to the Secretary of Health and Human Services (HHS) for purposes of determining compliance with HIPAA.</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3. OBLIGATIONS OF PRACTICE (COVERED ENTITY)</w:t>
      </w:r>
    </w:p>
    <w:p>
      <w:pPr>
        <w:spacing w:before="60" w:after="60"/>
        <w:jc w:val="left"/>
      </w:pPr>
      <w:r>
        <w:rPr>
          <w:rFonts w:ascii="Arial" w:cs="Arial" w:eastAsia="Arial" w:hAnsi="Arial"/>
          <w:color w:val="1A2332"/>
          <w:sz w:val="20"/>
          <w:szCs w:val="20"/>
        </w:rPr>
        <w:t xml:space="preserve">Practice shall:</w:t>
      </w:r>
    </w:p>
    <w:p>
      <w:pPr>
        <w:pStyle w:val="ListParagraph"/>
        <w:numPr>
          <w:ilvl w:val="0"/>
          <w:numId w:val="2"/>
        </w:numPr>
        <w:spacing w:before="40" w:after="40"/>
      </w:pPr>
      <w:r>
        <w:rPr>
          <w:rFonts w:ascii="Arial" w:cs="Arial" w:eastAsia="Arial" w:hAnsi="Arial"/>
          <w:color w:val="1A2332"/>
          <w:sz w:val="20"/>
          <w:szCs w:val="20"/>
        </w:rPr>
        <w:t xml:space="preserve">Notify IntakeAI of any limitations in its Notice of Privacy Practices that may affect IntakeAI's use or disclosure of PHI</w:t>
      </w:r>
    </w:p>
    <w:p>
      <w:pPr>
        <w:pStyle w:val="ListParagraph"/>
        <w:numPr>
          <w:ilvl w:val="0"/>
          <w:numId w:val="2"/>
        </w:numPr>
        <w:spacing w:before="40" w:after="40"/>
      </w:pPr>
      <w:r>
        <w:rPr>
          <w:rFonts w:ascii="Arial" w:cs="Arial" w:eastAsia="Arial" w:hAnsi="Arial"/>
          <w:color w:val="1A2332"/>
          <w:sz w:val="20"/>
          <w:szCs w:val="20"/>
        </w:rPr>
        <w:t xml:space="preserve">Notify IntakeAI of any changes in, or revocation of, authorizations by individuals, to the extent that such changes affect IntakeAI's use or disclosure of PHI</w:t>
      </w:r>
    </w:p>
    <w:p>
      <w:pPr>
        <w:pStyle w:val="ListParagraph"/>
        <w:numPr>
          <w:ilvl w:val="0"/>
          <w:numId w:val="2"/>
        </w:numPr>
        <w:spacing w:before="40" w:after="40"/>
      </w:pPr>
      <w:r>
        <w:rPr>
          <w:rFonts w:ascii="Arial" w:cs="Arial" w:eastAsia="Arial" w:hAnsi="Arial"/>
          <w:color w:val="1A2332"/>
          <w:sz w:val="20"/>
          <w:szCs w:val="20"/>
        </w:rPr>
        <w:t xml:space="preserve">Not request that IntakeAI use or disclose PHI in any manner that would not be permissible under HIPAA if done by Practice</w:t>
      </w:r>
    </w:p>
    <w:p>
      <w:pPr>
        <w:pStyle w:val="ListParagraph"/>
        <w:numPr>
          <w:ilvl w:val="0"/>
          <w:numId w:val="2"/>
        </w:numPr>
        <w:spacing w:before="40" w:after="40"/>
      </w:pPr>
      <w:r>
        <w:rPr>
          <w:rFonts w:ascii="Arial" w:cs="Arial" w:eastAsia="Arial" w:hAnsi="Arial"/>
          <w:color w:val="1A2332"/>
          <w:sz w:val="20"/>
          <w:szCs w:val="20"/>
        </w:rPr>
        <w:t xml:space="preserve">Ensure that all authorized users complete HIPAA training prior to accessing PHI through the IntakeAI platform</w:t>
      </w:r>
    </w:p>
    <w:p>
      <w:pPr>
        <w:pStyle w:val="ListParagraph"/>
        <w:numPr>
          <w:ilvl w:val="0"/>
          <w:numId w:val="2"/>
        </w:numPr>
        <w:spacing w:before="40" w:after="40"/>
      </w:pPr>
      <w:r>
        <w:rPr>
          <w:rFonts w:ascii="Arial" w:cs="Arial" w:eastAsia="Arial" w:hAnsi="Arial"/>
          <w:color w:val="1A2332"/>
          <w:sz w:val="20"/>
          <w:szCs w:val="20"/>
        </w:rPr>
        <w:t xml:space="preserve">Promptly notify IntakeAI of any suspected security incidents or unauthorized disclosures</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4. PERMITTED USES AND DISCLOSURES BY INTAKEAI</w:t>
      </w:r>
    </w:p>
    <w:p>
      <w:pPr>
        <w:spacing w:before="60" w:after="60"/>
        <w:jc w:val="left"/>
      </w:pPr>
      <w:r>
        <w:rPr>
          <w:rFonts w:ascii="Arial" w:cs="Arial" w:eastAsia="Arial" w:hAnsi="Arial"/>
          <w:color w:val="1A2332"/>
          <w:sz w:val="20"/>
          <w:szCs w:val="20"/>
        </w:rPr>
        <w:t xml:space="preserve">IntakeAI may use PHI in its possession for the following purposes without additional authorization from Practice:</w:t>
      </w:r>
    </w:p>
    <w:p>
      <w:pPr>
        <w:pStyle w:val="ListParagraph"/>
        <w:numPr>
          <w:ilvl w:val="0"/>
          <w:numId w:val="2"/>
        </w:numPr>
        <w:spacing w:before="40" w:after="40"/>
      </w:pPr>
      <w:r>
        <w:rPr>
          <w:rFonts w:ascii="Arial" w:cs="Arial" w:eastAsia="Arial" w:hAnsi="Arial"/>
          <w:color w:val="1A2332"/>
          <w:sz w:val="20"/>
          <w:szCs w:val="20"/>
        </w:rPr>
        <w:t xml:space="preserve">Data aggregation services relating to the healthcare operations of Practice, as defined in 45 C.F.R. § 164.501</w:t>
      </w:r>
    </w:p>
    <w:p>
      <w:pPr>
        <w:pStyle w:val="ListParagraph"/>
        <w:numPr>
          <w:ilvl w:val="0"/>
          <w:numId w:val="2"/>
        </w:numPr>
        <w:spacing w:before="40" w:after="40"/>
      </w:pPr>
      <w:r>
        <w:rPr>
          <w:rFonts w:ascii="Arial" w:cs="Arial" w:eastAsia="Arial" w:hAnsi="Arial"/>
          <w:color w:val="1A2332"/>
          <w:sz w:val="20"/>
          <w:szCs w:val="20"/>
        </w:rPr>
        <w:t xml:space="preserve">Management and administration of IntakeAI's business, provided such use is necessary</w:t>
      </w:r>
    </w:p>
    <w:p>
      <w:pPr>
        <w:pStyle w:val="ListParagraph"/>
        <w:numPr>
          <w:ilvl w:val="0"/>
          <w:numId w:val="2"/>
        </w:numPr>
        <w:spacing w:before="40" w:after="40"/>
      </w:pPr>
      <w:r>
        <w:rPr>
          <w:rFonts w:ascii="Arial" w:cs="Arial" w:eastAsia="Arial" w:hAnsi="Arial"/>
          <w:color w:val="1A2332"/>
          <w:sz w:val="20"/>
          <w:szCs w:val="20"/>
        </w:rPr>
        <w:t xml:space="preserve">Carrying out legal responsibilities of IntakeAI, provided such disclosure is Required by Law</w:t>
      </w:r>
    </w:p>
    <w:p>
      <w:pPr>
        <w:pStyle w:val="ListParagraph"/>
        <w:numPr>
          <w:ilvl w:val="0"/>
          <w:numId w:val="2"/>
        </w:numPr>
        <w:spacing w:before="40" w:after="40"/>
      </w:pPr>
      <w:r>
        <w:rPr>
          <w:rFonts w:ascii="Arial" w:cs="Arial" w:eastAsia="Arial" w:hAnsi="Arial"/>
          <w:color w:val="1A2332"/>
          <w:sz w:val="20"/>
          <w:szCs w:val="20"/>
        </w:rPr>
        <w:t xml:space="preserve">De-identification of PHI for platform improvement, analytics, and research, provided de-identification meets the standards of 45 C.F.R. § 164.514(b)</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5. TERM AND TERMINATION</w:t>
      </w:r>
    </w:p>
    <w:p>
      <w:pPr>
        <w:spacing w:before="240" w:after="80"/>
      </w:pPr>
      <w:r>
        <w:rPr>
          <w:rFonts w:ascii="Arial" w:cs="Arial" w:eastAsia="Arial" w:hAnsi="Arial"/>
          <w:b/>
          <w:bCs/>
          <w:color w:val="0D6E6E"/>
          <w:sz w:val="22"/>
          <w:szCs w:val="22"/>
        </w:rPr>
        <w:t xml:space="preserve">5.1 Term</w:t>
      </w:r>
    </w:p>
    <w:p>
      <w:pPr>
        <w:spacing w:before="60" w:after="60"/>
        <w:jc w:val="left"/>
      </w:pPr>
      <w:r>
        <w:rPr>
          <w:rFonts w:ascii="Arial" w:cs="Arial" w:eastAsia="Arial" w:hAnsi="Arial"/>
          <w:color w:val="1A2332"/>
          <w:sz w:val="20"/>
          <w:szCs w:val="20"/>
        </w:rPr>
        <w:t xml:space="preserve">This Agreement shall be effective as of the Effective Date and shall remain in effect until terminated by either party as provided herein, or until the termination of the underlying service agreement between the parties.</w:t>
      </w:r>
    </w:p>
    <w:p>
      <w:pPr>
        <w:spacing w:before="80" w:after="80"/>
      </w:pPr>
      <w:r>
        <w:t xml:space="preserve"/>
      </w:r>
    </w:p>
    <w:p>
      <w:pPr>
        <w:spacing w:before="240" w:after="80"/>
      </w:pPr>
      <w:r>
        <w:rPr>
          <w:rFonts w:ascii="Arial" w:cs="Arial" w:eastAsia="Arial" w:hAnsi="Arial"/>
          <w:b/>
          <w:bCs/>
          <w:color w:val="0D6E6E"/>
          <w:sz w:val="22"/>
          <w:szCs w:val="22"/>
        </w:rPr>
        <w:t xml:space="preserve">5.2 Termination for Cause</w:t>
      </w:r>
    </w:p>
    <w:p>
      <w:pPr>
        <w:spacing w:before="60" w:after="60"/>
        <w:jc w:val="left"/>
      </w:pPr>
      <w:r>
        <w:rPr>
          <w:rFonts w:ascii="Arial" w:cs="Arial" w:eastAsia="Arial" w:hAnsi="Arial"/>
          <w:color w:val="1A2332"/>
          <w:sz w:val="20"/>
          <w:szCs w:val="20"/>
        </w:rPr>
        <w:t xml:space="preserve">Either party may terminate this Agreement immediately upon written notice if the other party materially breaches any provision of this Agreement and fails to cure such breach within 30 days of receiving written notice of the breach.</w:t>
      </w:r>
    </w:p>
    <w:p>
      <w:pPr>
        <w:spacing w:before="80" w:after="80"/>
      </w:pPr>
      <w:r>
        <w:t xml:space="preserve"/>
      </w:r>
    </w:p>
    <w:p>
      <w:pPr>
        <w:spacing w:before="240" w:after="80"/>
      </w:pPr>
      <w:r>
        <w:rPr>
          <w:rFonts w:ascii="Arial" w:cs="Arial" w:eastAsia="Arial" w:hAnsi="Arial"/>
          <w:b/>
          <w:bCs/>
          <w:color w:val="0D6E6E"/>
          <w:sz w:val="22"/>
          <w:szCs w:val="22"/>
        </w:rPr>
        <w:t xml:space="preserve">5.3 Effect of Termination</w:t>
      </w:r>
    </w:p>
    <w:p>
      <w:pPr>
        <w:spacing w:before="60" w:after="60"/>
        <w:jc w:val="left"/>
      </w:pPr>
      <w:r>
        <w:rPr>
          <w:rFonts w:ascii="Arial" w:cs="Arial" w:eastAsia="Arial" w:hAnsi="Arial"/>
          <w:color w:val="1A2332"/>
          <w:sz w:val="20"/>
          <w:szCs w:val="20"/>
        </w:rPr>
        <w:t xml:space="preserve">Upon termination of this Agreement for any reason, IntakeAI shall:</w:t>
      </w:r>
    </w:p>
    <w:p>
      <w:pPr>
        <w:pStyle w:val="ListParagraph"/>
        <w:numPr>
          <w:ilvl w:val="0"/>
          <w:numId w:val="2"/>
        </w:numPr>
        <w:spacing w:before="40" w:after="40"/>
      </w:pPr>
      <w:r>
        <w:rPr>
          <w:rFonts w:ascii="Arial" w:cs="Arial" w:eastAsia="Arial" w:hAnsi="Arial"/>
          <w:color w:val="1A2332"/>
          <w:sz w:val="20"/>
          <w:szCs w:val="20"/>
        </w:rPr>
        <w:t xml:space="preserve">Return or destroy all PHI received from or created on behalf of Practice, if feasible</w:t>
      </w:r>
    </w:p>
    <w:p>
      <w:pPr>
        <w:pStyle w:val="ListParagraph"/>
        <w:numPr>
          <w:ilvl w:val="0"/>
          <w:numId w:val="2"/>
        </w:numPr>
        <w:spacing w:before="40" w:after="40"/>
      </w:pPr>
      <w:r>
        <w:rPr>
          <w:rFonts w:ascii="Arial" w:cs="Arial" w:eastAsia="Arial" w:hAnsi="Arial"/>
          <w:color w:val="1A2332"/>
          <w:sz w:val="20"/>
          <w:szCs w:val="20"/>
        </w:rPr>
        <w:t xml:space="preserve">If return or destruction is not feasible, extend the protections of this Agreement to such PHI and limit further uses and disclosures to those purposes that make return or destruction infeasible</w:t>
      </w:r>
    </w:p>
    <w:p>
      <w:pPr>
        <w:pStyle w:val="ListParagraph"/>
        <w:numPr>
          <w:ilvl w:val="0"/>
          <w:numId w:val="2"/>
        </w:numPr>
        <w:spacing w:before="40" w:after="40"/>
      </w:pPr>
      <w:r>
        <w:rPr>
          <w:rFonts w:ascii="Arial" w:cs="Arial" w:eastAsia="Arial" w:hAnsi="Arial"/>
          <w:color w:val="1A2332"/>
          <w:sz w:val="20"/>
          <w:szCs w:val="20"/>
        </w:rPr>
        <w:t xml:space="preserve">Certify in writing to Practice that all PHI has been returned or destroyed within 30 days of termination</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6. SECURITY RULE COMPLIANCE</w:t>
      </w:r>
    </w:p>
    <w:p>
      <w:pPr>
        <w:spacing w:before="60" w:after="60"/>
        <w:jc w:val="left"/>
      </w:pPr>
      <w:r>
        <w:rPr>
          <w:rFonts w:ascii="Arial" w:cs="Arial" w:eastAsia="Arial" w:hAnsi="Arial"/>
          <w:color w:val="1A2332"/>
          <w:sz w:val="20"/>
          <w:szCs w:val="20"/>
        </w:rPr>
        <w:t xml:space="preserve">With respect to ePHI, IntakeAI shall comply with the HIPAA Security Rule (45 C.F.R. §§ 164.308–164.316), including:</w:t>
      </w:r>
    </w:p>
    <w:p>
      <w:pPr>
        <w:pStyle w:val="ListParagraph"/>
        <w:numPr>
          <w:ilvl w:val="0"/>
          <w:numId w:val="2"/>
        </w:numPr>
        <w:spacing w:before="40" w:after="40"/>
      </w:pPr>
      <w:r>
        <w:rPr>
          <w:rFonts w:ascii="Arial" w:cs="Arial" w:eastAsia="Arial" w:hAnsi="Arial"/>
          <w:color w:val="1A2332"/>
          <w:sz w:val="20"/>
          <w:szCs w:val="20"/>
        </w:rPr>
        <w:t xml:space="preserve">Administrative safeguards: Security officer designation, workforce training, access management, contingency planning</w:t>
      </w:r>
    </w:p>
    <w:p>
      <w:pPr>
        <w:pStyle w:val="ListParagraph"/>
        <w:numPr>
          <w:ilvl w:val="0"/>
          <w:numId w:val="2"/>
        </w:numPr>
        <w:spacing w:before="40" w:after="40"/>
      </w:pPr>
      <w:r>
        <w:rPr>
          <w:rFonts w:ascii="Arial" w:cs="Arial" w:eastAsia="Arial" w:hAnsi="Arial"/>
          <w:color w:val="1A2332"/>
          <w:sz w:val="20"/>
          <w:szCs w:val="20"/>
        </w:rPr>
        <w:t xml:space="preserve">Physical safeguards: Facility access controls, workstation security, device and media controls</w:t>
      </w:r>
    </w:p>
    <w:p>
      <w:pPr>
        <w:pStyle w:val="ListParagraph"/>
        <w:numPr>
          <w:ilvl w:val="0"/>
          <w:numId w:val="2"/>
        </w:numPr>
        <w:spacing w:before="40" w:after="40"/>
      </w:pPr>
      <w:r>
        <w:rPr>
          <w:rFonts w:ascii="Arial" w:cs="Arial" w:eastAsia="Arial" w:hAnsi="Arial"/>
          <w:color w:val="1A2332"/>
          <w:sz w:val="20"/>
          <w:szCs w:val="20"/>
        </w:rPr>
        <w:t xml:space="preserve">Technical safeguards: Access controls, audit controls, integrity controls, transmission security</w:t>
      </w:r>
    </w:p>
    <w:p>
      <w:pPr>
        <w:pStyle w:val="ListParagraph"/>
        <w:numPr>
          <w:ilvl w:val="0"/>
          <w:numId w:val="2"/>
        </w:numPr>
        <w:spacing w:before="40" w:after="40"/>
      </w:pPr>
      <w:r>
        <w:rPr>
          <w:rFonts w:ascii="Arial" w:cs="Arial" w:eastAsia="Arial" w:hAnsi="Arial"/>
          <w:color w:val="1A2332"/>
          <w:sz w:val="20"/>
          <w:szCs w:val="20"/>
        </w:rPr>
        <w:t xml:space="preserve">Organizational requirements: Business associate contracts with subcontractors</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7. INDEMNIFICATION</w:t>
      </w:r>
    </w:p>
    <w:p>
      <w:pPr>
        <w:spacing w:before="60" w:after="60"/>
        <w:jc w:val="both"/>
      </w:pPr>
      <w:r>
        <w:rPr>
          <w:rFonts w:ascii="Arial" w:cs="Arial" w:eastAsia="Arial" w:hAnsi="Arial"/>
          <w:color w:val="1A2332"/>
          <w:sz w:val="20"/>
          <w:szCs w:val="20"/>
        </w:rPr>
        <w:t xml:space="preserve">Each party (the "Indemnifying Party") shall indemnify, defend, and hold harmless the other party and its officers, directors, employees, and agents from and against any claims, damages, losses, liabilities, costs, and expenses (including reasonable attorneys' fees) arising out of or relating to the Indemnifying Party's breach of this Agreement or violation of applicable law.</w:t>
      </w:r>
    </w:p>
    <w:p>
      <w:pPr>
        <w:spacing w:before="80" w:after="80"/>
      </w:pPr>
      <w:r>
        <w:t xml:space="preserve"/>
      </w:r>
    </w:p>
    <w:p>
      <w:pPr>
        <w:spacing w:before="60" w:after="60"/>
        <w:jc w:val="both"/>
      </w:pPr>
      <w:r>
        <w:rPr>
          <w:rFonts w:ascii="Arial" w:cs="Arial" w:eastAsia="Arial" w:hAnsi="Arial"/>
          <w:color w:val="1A2332"/>
          <w:sz w:val="20"/>
          <w:szCs w:val="20"/>
        </w:rPr>
        <w:t xml:space="preserve">IntakeAI's total liability under this Agreement shall not exceed the total fees paid by Practice to IntakeAI in the twelve (12) months preceding the event giving rise to the claim. Neither party shall be liable for indirect, incidental, special, or consequential damages.</w:t>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8. GENERAL PROVISIONS</w:t>
      </w:r>
    </w:p>
    <w:p>
      <w:pPr>
        <w:spacing w:before="240" w:after="80"/>
      </w:pPr>
      <w:r>
        <w:rPr>
          <w:rFonts w:ascii="Arial" w:cs="Arial" w:eastAsia="Arial" w:hAnsi="Arial"/>
          <w:b/>
          <w:bCs/>
          <w:color w:val="0D6E6E"/>
          <w:sz w:val="22"/>
          <w:szCs w:val="22"/>
        </w:rPr>
        <w:t xml:space="preserve">8.1 Entire Agreement</w:t>
      </w:r>
    </w:p>
    <w:p>
      <w:pPr>
        <w:spacing w:before="60" w:after="60"/>
        <w:jc w:val="left"/>
      </w:pPr>
      <w:r>
        <w:rPr>
          <w:rFonts w:ascii="Arial" w:cs="Arial" w:eastAsia="Arial" w:hAnsi="Arial"/>
          <w:color w:val="1A2332"/>
          <w:sz w:val="20"/>
          <w:szCs w:val="20"/>
        </w:rPr>
        <w:t xml:space="preserve">This Agreement constitutes the entire agreement between the parties with respect to the subject matter hereof and supersedes all prior agreements and understandings regarding the same.</w:t>
      </w:r>
    </w:p>
    <w:p>
      <w:pPr>
        <w:spacing w:before="80" w:after="80"/>
      </w:pPr>
      <w:r>
        <w:t xml:space="preserve"/>
      </w:r>
    </w:p>
    <w:p>
      <w:pPr>
        <w:spacing w:before="240" w:after="80"/>
      </w:pPr>
      <w:r>
        <w:rPr>
          <w:rFonts w:ascii="Arial" w:cs="Arial" w:eastAsia="Arial" w:hAnsi="Arial"/>
          <w:b/>
          <w:bCs/>
          <w:color w:val="0D6E6E"/>
          <w:sz w:val="22"/>
          <w:szCs w:val="22"/>
        </w:rPr>
        <w:t xml:space="preserve">8.2 Amendment</w:t>
      </w:r>
    </w:p>
    <w:p>
      <w:pPr>
        <w:spacing w:before="60" w:after="60"/>
        <w:jc w:val="left"/>
      </w:pPr>
      <w:r>
        <w:rPr>
          <w:rFonts w:ascii="Arial" w:cs="Arial" w:eastAsia="Arial" w:hAnsi="Arial"/>
          <w:color w:val="1A2332"/>
          <w:sz w:val="20"/>
          <w:szCs w:val="20"/>
        </w:rPr>
        <w:t xml:space="preserve">This Agreement may be amended only by a written instrument signed by authorized representatives of both parties. The parties agree to amend this Agreement as necessary to comply with changes in applicable law.</w:t>
      </w:r>
    </w:p>
    <w:p>
      <w:pPr>
        <w:spacing w:before="80" w:after="80"/>
      </w:pPr>
      <w:r>
        <w:t xml:space="preserve"/>
      </w:r>
    </w:p>
    <w:p>
      <w:pPr>
        <w:spacing w:before="240" w:after="80"/>
      </w:pPr>
      <w:r>
        <w:rPr>
          <w:rFonts w:ascii="Arial" w:cs="Arial" w:eastAsia="Arial" w:hAnsi="Arial"/>
          <w:b/>
          <w:bCs/>
          <w:color w:val="0D6E6E"/>
          <w:sz w:val="22"/>
          <w:szCs w:val="22"/>
        </w:rPr>
        <w:t xml:space="preserve">8.3 Governing Law</w:t>
      </w:r>
    </w:p>
    <w:p>
      <w:pPr>
        <w:spacing w:before="60" w:after="60"/>
        <w:jc w:val="left"/>
      </w:pPr>
      <w:r>
        <w:rPr>
          <w:rFonts w:ascii="Arial" w:cs="Arial" w:eastAsia="Arial" w:hAnsi="Arial"/>
          <w:color w:val="1A2332"/>
          <w:sz w:val="20"/>
          <w:szCs w:val="20"/>
        </w:rPr>
        <w:t xml:space="preserve">This Agreement shall be governed by and construed in accordance with the laws of the United States and the state of [STATE], without regard to its conflict of law provisions.</w:t>
      </w:r>
    </w:p>
    <w:p>
      <w:pPr>
        <w:spacing w:before="80" w:after="80"/>
      </w:pPr>
      <w:r>
        <w:t xml:space="preserve"/>
      </w:r>
    </w:p>
    <w:p>
      <w:pPr>
        <w:spacing w:before="240" w:after="80"/>
      </w:pPr>
      <w:r>
        <w:rPr>
          <w:rFonts w:ascii="Arial" w:cs="Arial" w:eastAsia="Arial" w:hAnsi="Arial"/>
          <w:b/>
          <w:bCs/>
          <w:color w:val="0D6E6E"/>
          <w:sz w:val="22"/>
          <w:szCs w:val="22"/>
        </w:rPr>
        <w:t xml:space="preserve">8.4 Severability</w:t>
      </w:r>
    </w:p>
    <w:p>
      <w:pPr>
        <w:spacing w:before="60" w:after="60"/>
        <w:jc w:val="left"/>
      </w:pPr>
      <w:r>
        <w:rPr>
          <w:rFonts w:ascii="Arial" w:cs="Arial" w:eastAsia="Arial" w:hAnsi="Arial"/>
          <w:color w:val="1A2332"/>
          <w:sz w:val="20"/>
          <w:szCs w:val="20"/>
        </w:rPr>
        <w:t xml:space="preserve">If any provision of this Agreement is held invalid or unenforceable, such provision shall be modified to the minimum extent necessary to make it enforceable, and the remaining provisions shall continue in full force and effect.</w:t>
      </w:r>
    </w:p>
    <w:p>
      <w:pPr>
        <w:spacing w:before="80" w:after="80"/>
      </w:pPr>
      <w:r>
        <w:t xml:space="preserve"/>
      </w:r>
    </w:p>
    <w:p>
      <w:pPr>
        <w:spacing w:before="240" w:after="80"/>
      </w:pPr>
      <w:r>
        <w:rPr>
          <w:rFonts w:ascii="Arial" w:cs="Arial" w:eastAsia="Arial" w:hAnsi="Arial"/>
          <w:b/>
          <w:bCs/>
          <w:color w:val="0D6E6E"/>
          <w:sz w:val="22"/>
          <w:szCs w:val="22"/>
        </w:rPr>
        <w:t xml:space="preserve">8.5 No Third-Party Beneficiaries</w:t>
      </w:r>
    </w:p>
    <w:p>
      <w:pPr>
        <w:spacing w:before="60" w:after="60"/>
        <w:jc w:val="left"/>
      </w:pPr>
      <w:r>
        <w:rPr>
          <w:rFonts w:ascii="Arial" w:cs="Arial" w:eastAsia="Arial" w:hAnsi="Arial"/>
          <w:color w:val="1A2332"/>
          <w:sz w:val="20"/>
          <w:szCs w:val="20"/>
        </w:rPr>
        <w:t xml:space="preserve">This Agreement is for the sole benefit of the parties and their permitted successors and assigns. Nothing in this Agreement shall create or be deemed to create any rights in any third party.</w:t>
      </w:r>
    </w:p>
    <w:p>
      <w:pPr>
        <w:spacing w:before="80" w:after="80"/>
      </w:pPr>
      <w:r>
        <w:t xml:space="preserve"/>
      </w:r>
    </w:p>
    <w:p>
      <w:pPr>
        <w:spacing w:before="240" w:after="80"/>
      </w:pPr>
      <w:r>
        <w:rPr>
          <w:rFonts w:ascii="Arial" w:cs="Arial" w:eastAsia="Arial" w:hAnsi="Arial"/>
          <w:b/>
          <w:bCs/>
          <w:color w:val="0D6E6E"/>
          <w:sz w:val="22"/>
          <w:szCs w:val="22"/>
        </w:rPr>
        <w:t xml:space="preserve">8.6 Notices</w:t>
      </w:r>
    </w:p>
    <w:p>
      <w:pPr>
        <w:spacing w:before="60" w:after="60"/>
        <w:jc w:val="left"/>
      </w:pPr>
      <w:r>
        <w:rPr>
          <w:rFonts w:ascii="Arial" w:cs="Arial" w:eastAsia="Arial" w:hAnsi="Arial"/>
          <w:color w:val="1A2332"/>
          <w:sz w:val="20"/>
          <w:szCs w:val="20"/>
        </w:rPr>
        <w:t xml:space="preserve">All notices under this Agreement shall be in writing and delivered by email with read receipt, certified mail, or overnight courier to the addresses set forth in the signature block below.</w:t>
      </w:r>
    </w:p>
    <w:p>
      <w:pPr>
        <w:spacing w:before="80" w:after="80"/>
      </w:pPr>
      <w:r>
        <w:t xml:space="preserve"/>
      </w:r>
    </w:p>
    <w:p>
      <w:pPr>
        <w:spacing w:before="80" w:after="80"/>
      </w:pPr>
      <w:r>
        <w:t xml:space="preserve"/>
      </w:r>
    </w:p>
    <w:p>
      <w:pPr>
        <w:pBdr>
          <w:bottom w:val="single" w:color="0D6E6E" w:sz="4" w:space="4"/>
        </w:pBdr>
        <w:spacing w:before="360" w:after="120"/>
      </w:pPr>
      <w:r>
        <w:rPr>
          <w:rFonts w:ascii="Arial" w:cs="Arial" w:eastAsia="Arial" w:hAnsi="Arial"/>
          <w:b/>
          <w:bCs/>
          <w:color w:val="1A2332"/>
          <w:sz w:val="26"/>
          <w:szCs w:val="26"/>
        </w:rPr>
        <w:t xml:space="preserve">9. SIGNATURES</w:t>
      </w:r>
    </w:p>
    <w:p>
      <w:pPr>
        <w:spacing w:before="60" w:after="60"/>
        <w:jc w:val="left"/>
      </w:pPr>
      <w:r>
        <w:rPr>
          <w:rFonts w:ascii="Arial" w:cs="Arial" w:eastAsia="Arial" w:hAnsi="Arial"/>
          <w:color w:val="1A2332"/>
          <w:sz w:val="20"/>
          <w:szCs w:val="20"/>
        </w:rPr>
        <w:t xml:space="preserve">By signing below, the parties acknowledge that they have read, understood, and agree to be bound by the terms of this Business Associate Agreement.</w:t>
      </w:r>
    </w:p>
    <w:p>
      <w:pPr>
        <w:spacing w:before="80" w:after="80"/>
      </w:pPr>
      <w:r>
        <w:t xml:space="preserve"/>
      </w:r>
    </w:p>
    <w:p>
      <w:pPr>
        <w:spacing w:before="8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80"/>
        <w:gridCol w:w="4480"/>
      </w:tblGrid>
      <w:tr>
        <w:tc>
          <w:tcPr>
            <w:tcW w:type="dxa" w:w="4480"/>
            <w:tcBorders>
              <w:top w:val="none" w:color="FFFFFF" w:sz="0"/>
              <w:left w:val="none" w:color="FFFFFF" w:sz="0"/>
              <w:bottom w:val="none" w:color="FFFFFF" w:sz="0"/>
              <w:right w:val="none" w:color="FFFFFF" w:sz="0"/>
            </w:tcBorders>
            <w:tcMar>
              <w:top w:type="dxa" w:w="0"/>
              <w:left w:type="dxa" w:w="0"/>
              <w:bottom w:type="dxa" w:w="0"/>
              <w:right w:type="dxa" w:w="400"/>
            </w:tcMar>
          </w:tcPr>
          <w:p>
            <w:pPr>
              <w:pBdr>
                <w:bottom w:val="single" w:color="AAAAAA" w:sz="2" w:space="2"/>
              </w:pBdr>
              <w:spacing w:before="200" w:after="40"/>
            </w:pPr>
            <w:r>
              <w:rPr>
                <w:rFonts w:ascii="Arial" w:cs="Arial" w:eastAsia="Arial" w:hAnsi="Arial"/>
                <w:i/>
                <w:iCs/>
                <w:color w:val="6B7C93"/>
                <w:sz w:val="18"/>
                <w:szCs w:val="18"/>
              </w:rPr>
              <w:t xml:space="preserve">Signature</w:t>
            </w:r>
          </w:p>
          <w:p>
            <w:pPr>
              <w:spacing w:before="60" w:after="60"/>
              <w:jc w:val="left"/>
            </w:pPr>
            <w:r>
              <w:rPr>
                <w:rFonts w:ascii="Arial" w:cs="Arial" w:eastAsia="Arial" w:hAnsi="Arial"/>
                <w:i/>
                <w:iCs/>
                <w:color w:val="6B7C93"/>
                <w:sz w:val="20"/>
                <w:szCs w:val="20"/>
              </w:rPr>
              <w:t xml:space="preserve">For Practice (Covered Entity)</w:t>
            </w:r>
          </w:p>
          <w:p>
            <w:pPr>
              <w:spacing w:before="80" w:after="80"/>
            </w:pPr>
            <w:r>
              <w:t xml:space="preserve"/>
            </w:r>
          </w:p>
          <w:p>
            <w:pPr>
              <w:pBdr>
                <w:bottom w:val="single" w:color="AAAAAA" w:sz="2" w:space="2"/>
              </w:pBdr>
              <w:spacing w:before="200" w:after="40"/>
            </w:pPr>
            <w:r>
              <w:rPr>
                <w:rFonts w:ascii="Arial" w:cs="Arial" w:eastAsia="Arial" w:hAnsi="Arial"/>
                <w:i/>
                <w:iCs/>
                <w:color w:val="6B7C93"/>
                <w:sz w:val="18"/>
                <w:szCs w:val="18"/>
              </w:rPr>
              <w:t xml:space="preserve">Printed Name</w:t>
            </w:r>
          </w:p>
          <w:p>
            <w:pPr>
              <w:spacing w:before="80" w:after="80"/>
            </w:pPr>
            <w:r>
              <w:t xml:space="preserve"/>
            </w:r>
          </w:p>
          <w:p>
            <w:pPr>
              <w:pBdr>
                <w:bottom w:val="single" w:color="AAAAAA" w:sz="2" w:space="2"/>
              </w:pBdr>
              <w:spacing w:before="200" w:after="40"/>
            </w:pPr>
            <w:r>
              <w:rPr>
                <w:rFonts w:ascii="Arial" w:cs="Arial" w:eastAsia="Arial" w:hAnsi="Arial"/>
                <w:i/>
                <w:iCs/>
                <w:color w:val="6B7C93"/>
                <w:sz w:val="18"/>
                <w:szCs w:val="18"/>
              </w:rPr>
              <w:t xml:space="preserve">Title</w:t>
            </w:r>
          </w:p>
          <w:p>
            <w:pPr>
              <w:spacing w:before="80" w:after="80"/>
            </w:pPr>
            <w:r>
              <w:t xml:space="preserve"/>
            </w:r>
          </w:p>
          <w:p>
            <w:pPr>
              <w:pBdr>
                <w:bottom w:val="single" w:color="AAAAAA" w:sz="2" w:space="2"/>
              </w:pBdr>
              <w:spacing w:before="200" w:after="40"/>
            </w:pPr>
            <w:r>
              <w:rPr>
                <w:rFonts w:ascii="Arial" w:cs="Arial" w:eastAsia="Arial" w:hAnsi="Arial"/>
                <w:i/>
                <w:iCs/>
                <w:color w:val="6B7C93"/>
                <w:sz w:val="18"/>
                <w:szCs w:val="18"/>
              </w:rPr>
              <w:t xml:space="preserve">Date</w:t>
            </w:r>
          </w:p>
        </w:tc>
        <w:tc>
          <w:tcPr>
            <w:tcW w:type="dxa" w:w="4480"/>
            <w:tcBorders>
              <w:top w:val="none" w:color="FFFFFF" w:sz="0"/>
              <w:left w:val="none" w:color="FFFFFF" w:sz="0"/>
              <w:bottom w:val="none" w:color="FFFFFF" w:sz="0"/>
              <w:right w:val="none" w:color="FFFFFF" w:sz="0"/>
            </w:tcBorders>
            <w:tcMar>
              <w:top w:type="dxa" w:w="0"/>
              <w:left w:type="dxa" w:w="400"/>
              <w:bottom w:type="dxa" w:w="0"/>
              <w:right w:type="dxa" w:w="0"/>
            </w:tcMar>
          </w:tcPr>
          <w:p>
            <w:pPr>
              <w:pBdr>
                <w:bottom w:val="single" w:color="AAAAAA" w:sz="2" w:space="2"/>
              </w:pBdr>
              <w:spacing w:before="200" w:after="40"/>
            </w:pPr>
            <w:r>
              <w:rPr>
                <w:rFonts w:ascii="Arial" w:cs="Arial" w:eastAsia="Arial" w:hAnsi="Arial"/>
                <w:i/>
                <w:iCs/>
                <w:color w:val="6B7C93"/>
                <w:sz w:val="18"/>
                <w:szCs w:val="18"/>
              </w:rPr>
              <w:t xml:space="preserve">Signature</w:t>
            </w:r>
          </w:p>
          <w:p>
            <w:pPr>
              <w:spacing w:before="60" w:after="60"/>
              <w:jc w:val="left"/>
            </w:pPr>
            <w:r>
              <w:rPr>
                <w:rFonts w:ascii="Arial" w:cs="Arial" w:eastAsia="Arial" w:hAnsi="Arial"/>
                <w:i/>
                <w:iCs/>
                <w:color w:val="6B7C93"/>
                <w:sz w:val="20"/>
                <w:szCs w:val="20"/>
              </w:rPr>
              <w:t xml:space="preserve">For IntakeAI, LLC (Business Associate)</w:t>
            </w:r>
          </w:p>
          <w:p>
            <w:pPr>
              <w:spacing w:before="80" w:after="80"/>
            </w:pPr>
            <w:r>
              <w:t xml:space="preserve"/>
            </w:r>
          </w:p>
          <w:p>
            <w:pPr>
              <w:pBdr>
                <w:bottom w:val="single" w:color="AAAAAA" w:sz="2" w:space="2"/>
              </w:pBdr>
              <w:spacing w:before="200" w:after="40"/>
            </w:pPr>
            <w:r>
              <w:rPr>
                <w:rFonts w:ascii="Arial" w:cs="Arial" w:eastAsia="Arial" w:hAnsi="Arial"/>
                <w:i/>
                <w:iCs/>
                <w:color w:val="6B7C93"/>
                <w:sz w:val="18"/>
                <w:szCs w:val="18"/>
              </w:rPr>
              <w:t xml:space="preserve">Printed Name</w:t>
            </w:r>
          </w:p>
          <w:p>
            <w:pPr>
              <w:spacing w:before="80" w:after="80"/>
            </w:pPr>
            <w:r>
              <w:t xml:space="preserve"/>
            </w:r>
          </w:p>
          <w:p>
            <w:pPr>
              <w:pBdr>
                <w:bottom w:val="single" w:color="AAAAAA" w:sz="2" w:space="2"/>
              </w:pBdr>
              <w:spacing w:before="200" w:after="40"/>
            </w:pPr>
            <w:r>
              <w:rPr>
                <w:rFonts w:ascii="Arial" w:cs="Arial" w:eastAsia="Arial" w:hAnsi="Arial"/>
                <w:i/>
                <w:iCs/>
                <w:color w:val="6B7C93"/>
                <w:sz w:val="18"/>
                <w:szCs w:val="18"/>
              </w:rPr>
              <w:t xml:space="preserve">Title</w:t>
            </w:r>
          </w:p>
          <w:p>
            <w:pPr>
              <w:spacing w:before="80" w:after="80"/>
            </w:pPr>
            <w:r>
              <w:t xml:space="preserve"/>
            </w:r>
          </w:p>
          <w:p>
            <w:pPr>
              <w:pBdr>
                <w:bottom w:val="single" w:color="AAAAAA" w:sz="2" w:space="2"/>
              </w:pBdr>
              <w:spacing w:before="200" w:after="40"/>
            </w:pPr>
            <w:r>
              <w:rPr>
                <w:rFonts w:ascii="Arial" w:cs="Arial" w:eastAsia="Arial" w:hAnsi="Arial"/>
                <w:i/>
                <w:iCs/>
                <w:color w:val="6B7C93"/>
                <w:sz w:val="18"/>
                <w:szCs w:val="18"/>
              </w:rPr>
              <w:t xml:space="preserve">Date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Practice 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______________________________
______________________________</w:t>
            </w:r>
          </w:p>
        </w:tc>
      </w:tr>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Practice 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______________________________</w:t>
            </w:r>
          </w:p>
        </w:tc>
      </w:tr>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IntakeAI Address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IntakeAI, LLC
[City, State, ZIP]</w:t>
            </w:r>
          </w:p>
        </w:tc>
      </w:tr>
      <w:tr>
        <w:tc>
          <w:tcPr>
            <w:tcW w:type="dxa" w:w="2400"/>
            <w:tcBorders>
              <w:top w:val="single" w:color="CCCCCC" w:sz="1"/>
              <w:left w:val="single" w:color="CCCCCC" w:sz="1"/>
              <w:bottom w:val="single" w:color="CCCCCC" w:sz="1"/>
              <w:right w:val="single" w:color="CCCCCC" w:sz="1"/>
            </w:tcBorders>
            <w:shd w:fill="F0F6F6" w:val="clear"/>
            <w:tcMar>
              <w:top w:type="dxa" w:w="80"/>
              <w:left w:type="dxa" w:w="120"/>
              <w:bottom w:type="dxa" w:w="80"/>
              <w:right w:type="dxa" w:w="120"/>
            </w:tcMar>
          </w:tcPr>
          <w:p>
            <w:r>
              <w:rPr>
                <w:rFonts w:ascii="Arial" w:cs="Arial" w:eastAsia="Arial" w:hAnsi="Arial"/>
                <w:b/>
                <w:bCs/>
                <w:color w:val="1A2332"/>
                <w:sz w:val="18"/>
                <w:szCs w:val="18"/>
              </w:rPr>
              <w:t xml:space="preserve">IntakeAI Email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2332"/>
                <w:sz w:val="18"/>
                <w:szCs w:val="18"/>
              </w:rPr>
              <w:t xml:space="preserve">legal@intakeai.com</w:t>
            </w:r>
          </w:p>
        </w:tc>
      </w:tr>
    </w:tbl>
    <w:p>
      <w:pPr>
        <w:spacing w:before="80" w:after="80"/>
      </w:pPr>
      <w:r>
        <w:t xml:space="preserve"/>
      </w:r>
    </w:p>
    <w:p>
      <w:pPr>
        <w:spacing w:before="240"/>
        <w:jc w:val="center"/>
      </w:pPr>
      <w:r>
        <w:rPr>
          <w:rFonts w:ascii="Arial" w:cs="Arial" w:eastAsia="Arial" w:hAnsi="Arial"/>
          <w:i/>
          <w:iCs/>
          <w:color w:val="6B7C93"/>
          <w:sz w:val="16"/>
          <w:szCs w:val="16"/>
        </w:rPr>
        <w:t xml:space="preserve">This document should be reviewed by a qualified healthcare attorney before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spacing w:before="80"/>
      <w:jc w:val="center"/>
    </w:pPr>
    <w:r>
      <w:rPr>
        <w:rFonts w:ascii="Arial" w:cs="Arial" w:eastAsia="Arial" w:hAnsi="Arial"/>
        <w:i/>
        <w:iCs/>
        <w:color w:val="6B7C93"/>
        <w:sz w:val="14"/>
        <w:szCs w:val="14"/>
      </w:rPr>
      <w:t xml:space="preserve">CONFIDENTIAL — This document contains legally binding terms governing the use of Protected Health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2" w:space="4"/>
      </w:pBdr>
      <w:spacing w:after="120"/>
      <w:jc w:val="right"/>
    </w:pPr>
    <w:r>
      <w:rPr>
        <w:rFonts w:ascii="Arial" w:cs="Arial" w:eastAsia="Arial" w:hAnsi="Arial"/>
        <w:color w:val="6B7C93"/>
        <w:sz w:val="16"/>
        <w:szCs w:val="16"/>
      </w:rPr>
      <w:t xml:space="preserve">IntakeAI — Business Associate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2026-03-31T19:33:16.838Z</dcterms:created>
  <dcterms:modified xsi:type="dcterms:W3CDTF">2026-03-31T19:33:16.839Z</dcterms:modified>
</cp:coreProperties>
</file>

<file path=docProps/custom.xml><?xml version="1.0" encoding="utf-8"?>
<Properties xmlns="http://schemas.openxmlformats.org/officeDocument/2006/custom-properties" xmlns:vt="http://schemas.openxmlformats.org/officeDocument/2006/docPropsVTypes"/>
</file>