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“PROGRAMA ESPECIALIZADO CIENCIA DE DATOS CON PYTHON”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PROYECTO Nº 02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1294059" cy="143986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059" cy="143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heading=h.3bcm1ekk82wo" w:id="0"/>
      <w:bookmarkEnd w:id="0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Nº 1</w:t>
      </w:r>
    </w:p>
    <w:p w:rsidR="00000000" w:rsidDel="00000000" w:rsidP="00000000" w:rsidRDefault="00000000" w:rsidRPr="00000000" w14:paraId="0000000A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Fichero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autos.csv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="259" w:lineRule="auto"/>
        <w:jc w:val="both"/>
        <w:rPr>
          <w:b w:val="1"/>
          <w:color w:val="313131"/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Generar una función y utilizar esta para recodificar la variable “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país de origen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” (1, 2, 3) en el dataframe a través de la función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heading=h.vzy50yd9o7kl" w:id="1"/>
      <w:bookmarkEnd w:id="1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Nº 2</w:t>
      </w:r>
    </w:p>
    <w:p w:rsidR="00000000" w:rsidDel="00000000" w:rsidP="00000000" w:rsidRDefault="00000000" w:rsidRPr="00000000" w14:paraId="0000000E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Generar un Notebook Colab con código y resultados, con el siguiente fichero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autos.csv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que contiene información de autos de un periodo de tiempo. Resolver los siguientes: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Limpieza y tratamiento de las variables (Según corresponda)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Generar 5 nuevas variables aplicando los siguientes criterios con las variables numéricas: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Log10(var1/var2)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Sqrt(var1)exp(var2)/200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Si var 1 &gt; var 2 → 5, caso contrario 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1/logn(var1/var2)*100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24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var2**2/var1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59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shd w:fill="ffffff" w:val="clear"/>
        <w:spacing w:after="240" w:line="259" w:lineRule="auto"/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Generar 3 variables cualitativas ordinales con los siguientes criterios: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Si es mayor a la “media + 1*desviación estándar” → Alto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Si está entre “media - 1*desviación estándar” y “media + 1*desviación estándar” → Medio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240" w:line="259" w:lineRule="auto"/>
        <w:ind w:left="2160" w:hanging="360"/>
        <w:jc w:val="both"/>
        <w:rPr>
          <w:sz w:val="30"/>
          <w:szCs w:val="3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Si es menor a la “media - 1*desviación estándar” → Bajo</w:t>
          </w:r>
        </w:sdtContent>
      </w:sdt>
    </w:p>
    <w:p w:rsidR="00000000" w:rsidDel="00000000" w:rsidP="00000000" w:rsidRDefault="00000000" w:rsidRPr="00000000" w14:paraId="0000001B">
      <w:pPr>
        <w:shd w:fill="ffffff" w:val="clear"/>
        <w:spacing w:after="240" w:line="259" w:lineRule="auto"/>
        <w:ind w:left="216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Nota: Mostrar con las nuevas variables generadas.</w:t>
      </w:r>
    </w:p>
    <w:p w:rsidR="00000000" w:rsidDel="00000000" w:rsidP="00000000" w:rsidRDefault="00000000" w:rsidRPr="00000000" w14:paraId="0000001C">
      <w:pPr>
        <w:shd w:fill="ffffff" w:val="clear"/>
        <w:spacing w:after="240" w:line="259" w:lineRule="auto"/>
        <w:ind w:left="216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Elegir con libertad las variables a trabajar.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Crear una función que muestre los siguientes gráficos para las variables numéricas según una variable cualitativa: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Cajas y bigotes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Barras de la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59" w:lineRule="auto"/>
        <w:ind w:left="216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Histograma con Curva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line="259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Crear una función que devuelva un mapa de calor con la correlación de todas las variables numéricas (incluye las generadas), para cada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Proyecto Nº 02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Se adjunta Data: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Entregable: generar un informe en Python Notebook, documentado paso a paso.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Subir al GitHub.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Enviar al correo: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yane.data@gmail.com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Asunto: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yellow"/>
          <w:rtl w:val="0"/>
        </w:rPr>
        <w:t xml:space="preserve">pro26.abr2022_proyecto02_nombredelalumno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*. La tarea es personal.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  <w:highlight w:val="cyan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Fecha de entrega máxima: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cyan"/>
          <w:rtl w:val="0"/>
        </w:rPr>
        <w:t xml:space="preserve">06 de junio del 2022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786658" cy="719138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zLZ7BapnRWI5ahy5GCc2fmNUQ==">AMUW2mVtE1fRYDnldUDRJsDAAvPjTXDnQJxM78lJrENS1IMbvpOzzMGGDCbfvLvGJ3Lvu19CiKbkict/Ez//cp8cYcc4FdrK9yvP6akIpAxUTq1Xh2x2/TC0XfCMcnxCAQduyvEbjfIHIWnj8LSNRSRDR2OiTjR6CcCXHBqZHKPzhjn6xAwGLhkmdHUY9uXdmaT/TLsfAfimzsrCykMm1jOK+xcqfgnm4p8fetWg0/nIMlTVPWWAt0X/e4Rwg14iX3WN9FyoyY8eJd+fqkoR/dTPzjtmHjVjTTmQtwc8ZtGoo6F1TWVSrvPFowNEROBZozuNqBz5mQ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