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proofErr w:type="gramStart"/>
      <w:r>
        <w:rPr>
          <w:color w:val="auto"/>
          <w:szCs w:val="20"/>
        </w:rPr>
        <w:t/>
      </w:r>
      <w:r w:rsidRPr="0060231B">
        <w:rPr>
          <w:color w:val="auto"/>
          <w:szCs w:val="20"/>
        </w:rPr>
        <w:t xml:space="preserve">Lima</w:t>
      </w:r>
      <w:proofErr w:type="gramEnd"/>
      <w:r w:rsidRPr="0060231B">
        <w:rPr>
          <w:color w:val="auto"/>
          <w:szCs w:val="20"/>
        </w:rPr>
        <w:t xml:space="preserve">, </w:t>
      </w:r>
      <w:r>
        <w:rPr>
          <w:color w:val="auto"/>
          <w:szCs w:val="20"/>
        </w:rPr>
        <w:t xml:space="preserve">28</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r w:rsidR="00AA0D44">
        <w:rPr>
          <w:color w:val="auto"/>
          <w:szCs w:val="20"/>
        </w:rPr>
        <w:t/>
      </w:r>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00D7EA96" w14:textId="77777777" w:rsidR="009706EA" w:rsidRDefault="009706EA" w:rsidP="009706EA">
      <w:pPr>
        <w:spacing w:after="0" w:line="240" w:lineRule="auto"/>
        <w:ind w:left="-142"/>
        <w:jc w:val="both"/>
        <w:rPr>
          <w:rFonts w:cs="Calibri"/>
          <w:color w:val="000000"/>
          <w:sz w:val="20"/>
          <w:szCs w:val="20"/>
        </w:rPr>
      </w:pPr>
    </w:p>
    <w:p w14:paraId="72AC6C73" w14:textId="74E4FF79" w:rsidR="003824EC" w:rsidRPr="003824EC" w:rsidRDefault="003824EC" w:rsidP="000A2986">
      <w:pPr>
        <w:pStyle w:val="Default"/>
        <w:ind w:left="-284"/>
        <w:jc w:val="both"/>
        <w:rPr>
          <w:bCs/>
          <w:color w:val="auto"/>
          <w:sz w:val="20"/>
          <w:szCs w:val="20"/>
          <w:u w:val="single"/>
        </w:rPr>
      </w:pPr>
      <w:r>
        <w:rPr>
          <w:bCs/>
          <w:color w:val="auto"/>
          <w:sz w:val="20"/>
          <w:szCs w:val="20"/>
        </w:rPr>
        <w:t xml:space="preserve">gaa</w:t>
      </w:r>
    </w:p>
    <w:p w14:paraId="43A3C35B" w14:textId="72403C93" w:rsidR="000A2986" w:rsidRPr="000A2986" w:rsidRDefault="000A2986" w:rsidP="000A2986">
      <w:pPr>
        <w:pStyle w:val="Default"/>
        <w:ind w:left="-284"/>
        <w:jc w:val="both"/>
        <w:rPr>
          <w:bCs/>
          <w:color w:val="auto"/>
          <w:sz w:val="20"/>
          <w:szCs w:val="20"/>
        </w:rPr>
      </w:pPr>
      <w:r w:rsidRPr="000A2986">
        <w:rPr>
          <w:bCs/>
          <w:color w:val="auto"/>
          <w:sz w:val="20"/>
          <w:szCs w:val="20"/>
        </w:rPr>
        <w:t xml:space="preserve">  </w:t>
      </w:r>
    </w:p>
    <w:p w14:paraId="18EBE003" w14:textId="0E093462" w:rsidR="000A2986" w:rsidRDefault="000A2986" w:rsidP="005C20B5">
      <w:pPr>
        <w:pStyle w:val="Default"/>
        <w:ind w:left="-284"/>
        <w:jc w:val="both"/>
        <w:rPr>
          <w:bCs/>
          <w:color w:val="auto"/>
          <w:sz w:val="20"/>
          <w:szCs w:val="20"/>
        </w:rPr>
      </w:pPr>
      <w:r w:rsidRPr="000A2986">
        <w:rPr>
          <w:bCs/>
          <w:color w:val="auto"/>
          <w:sz w:val="20"/>
          <w:szCs w:val="20"/>
        </w:rPr>
        <w:t xml:space="preserve">    </w:t>
      </w:r>
      <w:r w:rsidR="005C20B5">
        <w:rPr>
          <w:bCs/>
          <w:color w:val="auto"/>
          <w:sz w:val="20"/>
          <w:szCs w:val="20"/>
        </w:rPr>
        <w:t/>
      </w:r>
    </w:p>
    <w:p w14:paraId="53501C22" w14:textId="77777777" w:rsidR="005C20B5" w:rsidRPr="000A2986" w:rsidRDefault="005C20B5" w:rsidP="005C20B5">
      <w:pPr>
        <w:pStyle w:val="Default"/>
        <w:ind w:left="-284"/>
        <w:jc w:val="both"/>
        <w:rPr>
          <w:bCs/>
          <w:color w:val="auto"/>
          <w:sz w:val="20"/>
          <w:szCs w:val="20"/>
        </w:rPr>
      </w:pPr>
      <w:r>
        <w:rPr>
          <w:bCs/>
          <w:color w:val="auto"/>
          <w:sz w:val="20"/>
          <w:szCs w:val="20"/>
        </w:rPr>
        <w:tab/>
      </w:r>
      <w:r w:rsidRPr="000A2986">
        <w:rPr>
          <w:bCs/>
          <w:color w:val="auto"/>
          <w:sz w:val="20"/>
          <w:szCs w:val="20"/>
        </w:rPr>
        <w:t xml:space="preserve">Zona 1 – zona 1</w:t>
      </w:r>
    </w:p>
    <w:p w14:paraId="435424B6"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w:t>
      </w:r>
    </w:p>
    <w:p w14:paraId="0E11243A"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CP : 1 Uds. de Andamio de Fachada de 3.072 m de longitud x 1.09 m de ancho x 10 m de altura + 1.00 m de baranda de seguridad.</w:t>
      </w:r>
    </w:p>
    <w:p w14:paraId="42A76AD6"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w:t>
      </w:r>
    </w:p>
    <w:p w14:paraId="66A3E43B" w14:textId="77777777" w:rsidR="00D33207" w:rsidRDefault="00D33207" w:rsidP="00D33207">
      <w:pPr>
        <w:pStyle w:val="Default"/>
        <w:ind w:left="-284"/>
        <w:jc w:val="both"/>
        <w:rPr>
          <w:bCs/>
          <w:color w:val="auto"/>
          <w:sz w:val="20"/>
          <w:szCs w:val="20"/>
        </w:rPr>
      </w:pPr>
      <w:r>
        <w:rPr>
          <w:bCs/>
          <w:color w:val="auto"/>
          <w:sz w:val="20"/>
          <w:szCs w:val="20"/>
        </w:rPr>
        <w:t/>
      </w:r>
    </w:p>
    <w:p w14:paraId="6837001F" w14:textId="210C9701" w:rsidR="00457545" w:rsidRPr="000A2986" w:rsidRDefault="00457545" w:rsidP="00D33207">
      <w:pPr>
        <w:pStyle w:val="Default"/>
        <w:ind w:left="-284"/>
        <w:jc w:val="both"/>
        <w:rPr>
          <w:bCs/>
          <w:color w:val="auto"/>
          <w:sz w:val="20"/>
          <w:szCs w:val="20"/>
        </w:rPr>
      </w:pPr>
      <w:r w:rsidRPr="000A2986">
        <w:rPr>
          <w:bCs/>
          <w:color w:val="auto"/>
          <w:sz w:val="20"/>
          <w:szCs w:val="20"/>
        </w:rPr>
        <w:t/>
      </w:r>
    </w:p>
    <w:p w14:paraId="2BFDA523" w14:textId="6991283F" w:rsidR="000A2986" w:rsidRPr="000A2986" w:rsidRDefault="005C20B5" w:rsidP="00457545">
      <w:pPr>
        <w:pStyle w:val="Default"/>
        <w:ind w:left="-284"/>
        <w:jc w:val="both"/>
        <w:rPr>
          <w:bCs/>
          <w:color w:val="auto"/>
          <w:sz w:val="20"/>
          <w:szCs w:val="20"/>
        </w:rPr>
      </w:pPr>
      <w:r w:rsidRPr="000A2986">
        <w:rPr>
          <w:bCs/>
          <w:color w:val="auto"/>
          <w:sz w:val="20"/>
          <w:szCs w:val="20"/>
        </w:rPr>
        <w:t xml:space="preserve">    Precio de alquiler: S/</w:t>
      </w:r>
      <w:r w:rsidR="00457545">
        <w:rPr>
          <w:bCs/>
          <w:color w:val="auto"/>
          <w:sz w:val="20"/>
          <w:szCs w:val="20"/>
        </w:rPr>
        <w:t/>
      </w:r>
      <w:proofErr w:type="gramStart"/>
      <w:r w:rsidR="00457545">
        <w:rPr>
          <w:bCs/>
          <w:color w:val="auto"/>
          <w:sz w:val="20"/>
          <w:szCs w:val="20"/>
        </w:rPr>
        <w:t/>
      </w:r>
      <w:r w:rsidRPr="000A2986">
        <w:rPr>
          <w:bCs/>
          <w:color w:val="auto"/>
          <w:sz w:val="20"/>
          <w:szCs w:val="20"/>
        </w:rPr>
        <w:t xml:space="preserve">1865.59</w:t>
      </w:r>
      <w:proofErr w:type="gramEnd"/>
      <w:r w:rsidRPr="000A2986">
        <w:rPr>
          <w:bCs/>
          <w:color w:val="auto"/>
          <w:sz w:val="20"/>
          <w:szCs w:val="20"/>
        </w:rPr>
        <w:t/>
      </w:r>
      <w:r w:rsidR="00457545">
        <w:rPr>
          <w:bCs/>
          <w:color w:val="auto"/>
          <w:sz w:val="20"/>
          <w:szCs w:val="20"/>
        </w:rPr>
        <w:t/>
      </w:r>
      <w:r w:rsidR="00DF6126">
        <w:rPr>
          <w:bCs/>
          <w:color w:val="auto"/>
          <w:sz w:val="20"/>
          <w:szCs w:val="20"/>
        </w:rPr>
        <w:t/>
      </w:r>
      <w:r w:rsidR="00457545">
        <w:rPr>
          <w:bCs/>
          <w:color w:val="auto"/>
          <w:sz w:val="20"/>
          <w:szCs w:val="20"/>
        </w:rPr>
        <w:t/>
      </w:r>
      <w:r w:rsidRPr="000A2986">
        <w:rPr>
          <w:bCs/>
          <w:color w:val="auto"/>
          <w:sz w:val="20"/>
          <w:szCs w:val="20"/>
        </w:rPr>
        <w:t xml:space="preserve"> + IGV por </w:t>
      </w:r>
      <w:r w:rsidR="00457545">
        <w:rPr>
          <w:bCs/>
          <w:color w:val="auto"/>
          <w:sz w:val="20"/>
          <w:szCs w:val="20"/>
        </w:rPr>
        <w:t/>
      </w:r>
      <w:r w:rsidRPr="000A2986">
        <w:rPr>
          <w:bCs/>
          <w:color w:val="auto"/>
          <w:sz w:val="20"/>
          <w:szCs w:val="20"/>
        </w:rPr>
        <w:t xml:space="preserve">30</w:t>
      </w:r>
      <w:r w:rsidR="00457545">
        <w:rPr>
          <w:bCs/>
          <w:color w:val="auto"/>
          <w:sz w:val="20"/>
          <w:szCs w:val="20"/>
        </w:rPr>
        <w:t/>
      </w:r>
      <w:r w:rsidRPr="000A2986">
        <w:rPr>
          <w:bCs/>
          <w:color w:val="auto"/>
          <w:sz w:val="20"/>
          <w:szCs w:val="20"/>
        </w:rPr>
        <w:t xml:space="preserve"> días calendario.</w:t>
      </w:r>
    </w:p>
    <w:p w14:paraId="3A64F729" w14:textId="77777777" w:rsidR="000A2986" w:rsidRDefault="000A2986" w:rsidP="000A2986">
      <w:pPr>
        <w:pStyle w:val="Default"/>
        <w:ind w:left="-284"/>
        <w:jc w:val="both"/>
        <w:rPr>
          <w:bCs/>
          <w:color w:val="auto"/>
          <w:sz w:val="20"/>
          <w:szCs w:val="20"/>
        </w:rPr>
      </w:pPr>
    </w:p>
    <w:p w14:paraId="7136DB95" w14:textId="77777777" w:rsidR="009C4077" w:rsidRPr="00EF066C" w:rsidRDefault="009C4077" w:rsidP="009C4077">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zona 1</w:t>
      </w:r>
    </w:p>
    <w:p w14:paraId="7D7E6D2D" w14:textId="5A8BF0D1" w:rsidR="009C4077" w:rsidRDefault="009C4077" w:rsidP="009C4077">
      <w:pPr>
        <w:pStyle w:val="Default"/>
        <w:ind w:left="142"/>
        <w:jc w:val="both"/>
        <w:rPr>
          <w:bCs/>
          <w:color w:val="auto"/>
          <w:sz w:val="20"/>
          <w:szCs w:val="20"/>
        </w:rPr>
      </w:pPr>
      <w:proofErr w:type="gramStart"/>
      <w:r>
        <w:rPr>
          <w:b/>
          <w:bCs/>
          <w:sz w:val="20"/>
          <w:szCs w:val="20"/>
        </w:rPr>
        <w:t xml:space="preserve">CP</w:t>
      </w:r>
      <w:r w:rsidR="00241B74">
        <w:rPr>
          <w:b/>
          <w:bCs/>
          <w:sz w:val="20"/>
          <w:szCs w:val="20"/>
        </w:rPr>
        <w:t/>
      </w:r>
      <w:r>
        <w:rPr>
          <w:b/>
          <w:bCs/>
          <w:sz w:val="20"/>
          <w:szCs w:val="20"/>
        </w:rPr>
        <w:t xml:space="preserve">: </w:t>
      </w:r>
      <w:r w:rsidRPr="00EF066C">
        <w:rPr>
          <w:sz w:val="20"/>
          <w:szCs w:val="20"/>
        </w:rPr>
        <w:t xml:space="preserve">1</w:t>
      </w:r>
      <w:r>
        <w:rPr>
          <w:bCs/>
          <w:color w:val="auto"/>
          <w:sz w:val="20"/>
          <w:szCs w:val="20"/>
        </w:rPr>
        <w:t xml:space="preserve"> Uds. de </w:t>
      </w:r>
      <w:r w:rsidRPr="00562049">
        <w:rPr>
          <w:bCs/>
          <w:color w:val="auto"/>
          <w:sz w:val="20"/>
          <w:szCs w:val="20"/>
        </w:rPr>
        <w:t xml:space="preserve">Andamio de Fachada de</w:t>
      </w:r>
      <w:r>
        <w:rPr>
          <w:bCs/>
          <w:color w:val="auto"/>
          <w:sz w:val="20"/>
          <w:szCs w:val="20"/>
        </w:rPr>
        <w:t xml:space="preserve"> 3.072</w:t>
      </w:r>
      <w:r w:rsidRPr="00562049">
        <w:rPr>
          <w:bCs/>
          <w:color w:val="auto"/>
          <w:sz w:val="20"/>
          <w:szCs w:val="20"/>
        </w:rPr>
        <w:t xml:space="preserve"> m. de longitud x </w:t>
      </w:r>
      <w:r>
        <w:rPr>
          <w:bCs/>
          <w:color w:val="auto"/>
          <w:sz w:val="20"/>
          <w:szCs w:val="20"/>
        </w:rPr>
        <w:t xml:space="preserve">1.09</w:t>
      </w:r>
      <w:r w:rsidRPr="00562049">
        <w:rPr>
          <w:bCs/>
          <w:color w:val="auto"/>
          <w:sz w:val="20"/>
          <w:szCs w:val="20"/>
        </w:rPr>
        <w:t xml:space="preserve"> m. de ancho x </w:t>
      </w:r>
      <w:r>
        <w:rPr>
          <w:bCs/>
          <w:color w:val="auto"/>
          <w:sz w:val="20"/>
          <w:szCs w:val="20"/>
        </w:rPr>
        <w:t xml:space="preserve">10</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17CB3724" w14:textId="77777777" w:rsidR="009C4077" w:rsidRDefault="009C4077" w:rsidP="009C4077">
      <w:pPr>
        <w:pStyle w:val="Default"/>
        <w:ind w:left="142"/>
        <w:jc w:val="both"/>
        <w:rPr>
          <w:b/>
          <w:bCs/>
          <w:sz w:val="20"/>
          <w:szCs w:val="20"/>
        </w:rPr>
      </w:pPr>
      <w:r>
        <w:rPr>
          <w:bCs/>
          <w:color w:val="auto"/>
          <w:sz w:val="20"/>
          <w:szCs w:val="20"/>
        </w:rPr>
        <w:t xml:space="preserve">Precio de alquiler: </w:t>
      </w:r>
      <w:r w:rsidRPr="00B45593">
        <w:rPr>
          <w:b/>
          <w:color w:val="auto"/>
          <w:sz w:val="20"/>
          <w:szCs w:val="20"/>
        </w:rPr>
        <w:t xml:space="preserve">S/</w:t>
      </w:r>
      <w:r>
        <w:rPr>
          <w:b/>
          <w:color w:val="auto"/>
          <w:sz w:val="20"/>
          <w:szCs w:val="20"/>
        </w:rPr>
        <w:t/>
      </w:r>
      <w:proofErr w:type="gramStart"/>
      <w:r>
        <w:rPr>
          <w:b/>
          <w:color w:val="auto"/>
          <w:sz w:val="20"/>
          <w:szCs w:val="20"/>
        </w:rPr>
        <w:t/>
      </w:r>
      <w:proofErr w:type="gramEnd"/>
      <w:r>
        <w:rPr>
          <w:b/>
          <w:color w:val="auto"/>
          <w:sz w:val="20"/>
          <w:szCs w:val="20"/>
        </w:rPr>
        <w:t xml:space="preserve"> </w:t>
      </w:r>
      <w:r w:rsidRPr="00B45593">
        <w:rPr>
          <w:b/>
          <w:color w:val="auto"/>
          <w:sz w:val="20"/>
          <w:szCs w:val="20"/>
        </w:rPr>
        <w:t xml:space="preserve">+ IGV</w:t>
      </w:r>
      <w:r>
        <w:rPr>
          <w:b/>
          <w:color w:val="auto"/>
          <w:sz w:val="20"/>
          <w:szCs w:val="20"/>
        </w:rPr>
        <w:t xml:space="preserve">. </w:t>
      </w:r>
      <w:bookmarkStart w:id="1" w:name="_Hlk148947376"/>
      <w:r w:rsidRPr="00205AA7">
        <w:rPr>
          <w:b/>
          <w:bCs/>
          <w:sz w:val="20"/>
          <w:szCs w:val="20"/>
        </w:rPr>
        <w:t xml:space="preserve">por </w:t>
      </w:r>
      <w:r>
        <w:rPr>
          <w:b/>
          <w:bCs/>
          <w:sz w:val="20"/>
          <w:szCs w:val="20"/>
        </w:rPr>
        <w:t xml:space="preserve">30</w:t>
      </w:r>
      <w:proofErr w:type="gramStart"/>
      <w:r>
        <w:rPr>
          <w:b/>
          <w:bCs/>
          <w:sz w:val="20"/>
          <w:szCs w:val="20"/>
        </w:rPr>
        <w:t/>
      </w:r>
      <w:proofErr w:type="gramEnd"/>
      <w:r>
        <w:rPr>
          <w:b/>
          <w:bCs/>
          <w:sz w:val="20"/>
          <w:szCs w:val="20"/>
        </w:rPr>
        <w:t/>
      </w:r>
      <w:r w:rsidRPr="00205AA7">
        <w:rPr>
          <w:b/>
          <w:bCs/>
          <w:sz w:val="20"/>
          <w:szCs w:val="20"/>
        </w:rPr>
        <w:t xml:space="preserve"> días calendario.</w:t>
      </w:r>
      <w:bookmarkEnd w:id="1"/>
    </w:p>
    <w:p w14:paraId="6BEE67DD" w14:textId="77777777" w:rsidR="009C4077" w:rsidRPr="000A2986" w:rsidRDefault="009C4077"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tiempo mínimo de alquiler es 30 días naturales y no existe la posibilidad de ningún tipo de descuento por no haber utilizado el material durante el periodo de alquiler.  A partir de los 30 días de alquiler, se </w:t>
      </w:r>
      <w:r w:rsidRPr="00562049">
        <w:rPr>
          <w:bCs/>
          <w:color w:val="auto"/>
          <w:sz w:val="20"/>
          <w:szCs w:val="20"/>
        </w:rPr>
        <w:lastRenderedPageBreak/>
        <w:t>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lastRenderedPageBreak/>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Notaria Paino</w:t>
      </w:r>
      <w:proofErr w:type="gramEnd"/>
      <w:r w:rsidRPr="0076156C">
        <w:rPr>
          <w:color w:val="auto"/>
          <w:sz w:val="20"/>
          <w:szCs w:val="20"/>
        </w:rPr>
        <w:t xml:space="preserv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w:t>
      </w:r>
      <w:r w:rsidRPr="00562049">
        <w:rPr>
          <w:color w:val="auto"/>
          <w:sz w:val="20"/>
          <w:szCs w:val="20"/>
        </w:rPr>
        <w:lastRenderedPageBreak/>
        <w:t>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lastRenderedPageBreak/>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w:t>
      </w:r>
      <w:r w:rsidRPr="00231081">
        <w:rPr>
          <w:rFonts w:cs="Calibri"/>
          <w:sz w:val="20"/>
          <w:szCs w:val="20"/>
        </w:rPr>
        <w:lastRenderedPageBreak/>
        <w:t>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proofErr w:type="gramStart"/>
      <w:r w:rsidR="008801F1">
        <w:rPr>
          <w:rFonts w:cs="Calibri"/>
          <w:sz w:val="20"/>
          <w:szCs w:val="20"/>
        </w:rPr>
        <w:t/>
      </w:r>
      <w:r w:rsidR="004A05C7">
        <w:rPr>
          <w:rFonts w:cs="Calibri"/>
          <w:sz w:val="20"/>
          <w:szCs w:val="20"/>
        </w:rPr>
        <w:t xml:space="preserve">juan@gmail.com</w:t>
      </w:r>
      <w:proofErr w:type="gramEnd"/>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lastRenderedPageBreak/>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lastRenderedPageBreak/>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w:t>
      </w:r>
      <w:proofErr w:type="gramStart"/>
      <w:r w:rsidRPr="00DB4795">
        <w:rPr>
          <w:rFonts w:cs="Calibri"/>
          <w:sz w:val="20"/>
          <w:szCs w:val="20"/>
        </w:rPr>
        <w:t xml:space="preserve">Jose Diaz</w:t>
      </w:r>
      <w:proofErr w:type="gramEnd"/>
      <w:r w:rsidRPr="00DB4795">
        <w:rPr>
          <w:rFonts w:cs="Calibri"/>
          <w:sz w:val="20"/>
          <w:szCs w:val="20"/>
        </w:rPr>
        <w:t/>
      </w:r>
      <w:r>
        <w:rPr>
          <w:rFonts w:cs="Calibri"/>
          <w:sz w:val="20"/>
          <w:szCs w:val="20"/>
        </w:rPr>
        <w:t xml:space="preserve"> </w:t>
      </w:r>
      <w:r w:rsidRPr="00DB4795">
        <w:rPr>
          <w:rFonts w:cs="Calibri"/>
          <w:sz w:val="20"/>
          <w:szCs w:val="20"/>
        </w:rPr>
        <w:t xml:space="preserve">con DNI 75410121, domiciliado en Av los pinos 123,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7D33E3B3"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E343A" w14:textId="77777777" w:rsidR="00C84D72" w:rsidRDefault="00C84D72" w:rsidP="00C02D2E">
      <w:pPr>
        <w:spacing w:after="0" w:line="240" w:lineRule="auto"/>
      </w:pPr>
      <w:r>
        <w:separator/>
      </w:r>
    </w:p>
  </w:endnote>
  <w:endnote w:type="continuationSeparator" w:id="0">
    <w:p w14:paraId="7F6B6DEA" w14:textId="77777777" w:rsidR="00C84D72" w:rsidRDefault="00C84D72"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Paino</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Ingeniero</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Jose Diaz</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Jose Diaz</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Av los pinos 123</w:t>
          </w:r>
          <w:proofErr w:type="gramStart"/>
          <w:r>
            <w:rPr>
              <w:rFonts w:cs="Calibri"/>
              <w:sz w:val="15"/>
              <w:szCs w:val="15"/>
            </w:rPr>
            <w:t/>
          </w:r>
          <w:proofErr w:type="gram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80F68" w14:textId="77777777" w:rsidR="00C84D72" w:rsidRDefault="00C84D72" w:rsidP="00C02D2E">
      <w:pPr>
        <w:spacing w:after="0" w:line="240" w:lineRule="auto"/>
      </w:pPr>
      <w:r>
        <w:separator/>
      </w:r>
    </w:p>
  </w:footnote>
  <w:footnote w:type="continuationSeparator" w:id="0">
    <w:p w14:paraId="50C6F45E" w14:textId="77777777" w:rsidR="00C84D72" w:rsidRDefault="00C84D72"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proofErr w:type="gramStart"/>
          <w:r>
            <w:rPr>
              <w:rFonts w:cs="Calibri"/>
              <w:b/>
              <w:bCs/>
              <w:sz w:val="16"/>
              <w:szCs w:val="16"/>
              <w:lang w:eastAsia="en-US"/>
            </w:rPr>
            <w:t xml:space="preserve">EI-CC-COM-LR1-0001_1</w:t>
          </w:r>
          <w:proofErr w:type="gramEnd"/>
          <w:r>
            <w:rPr>
              <w:rFonts w:cs="Calibri"/>
              <w:b/>
              <w:bCs/>
              <w:sz w:val="16"/>
              <w:szCs w:val="16"/>
              <w:lang w:eastAsia="en-US"/>
            </w:rPr>
            <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proofErr w:type="gramStart"/>
          <w:r>
            <w:rPr>
              <w:sz w:val="16"/>
              <w:szCs w:val="16"/>
              <w:lang w:eastAsia="en-US"/>
            </w:rPr>
            <w:t xml:space="preserve">Av. Angamos Este, Surquillo, Perú</w:t>
          </w:r>
          <w:proofErr w:type="gramEnd"/>
          <w:r>
            <w:rPr>
              <w:sz w:val="16"/>
              <w:szCs w:val="16"/>
              <w:lang w:eastAsia="en-US"/>
            </w:rPr>
            <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w:r>
          <w:proofErr w:type="gramStart"/>
          <w:r>
            <w:rPr>
              <w:sz w:val="16"/>
              <w:szCs w:val="16"/>
              <w:lang w:eastAsia="en-US"/>
            </w:rPr>
            <w:t xml:space="preserve">Torres Paino</w:t>
          </w:r>
          <w:proofErr w:type="gramEnd"/>
          <w:r>
            <w:rPr>
              <w:sz w:val="16"/>
              <w:szCs w:val="16"/>
              <w:lang w:eastAsia="en-US"/>
            </w:rPr>
            <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w:r>
          <w:proofErr w:type="gramStart"/>
          <w:r>
            <w:rPr>
              <w:rFonts w:cs="Calibri"/>
              <w:sz w:val="16"/>
              <w:szCs w:val="16"/>
              <w:lang w:eastAsia="en-US"/>
            </w:rPr>
            <w:t xml:space="preserve">28</w:t>
          </w:r>
          <w:proofErr w:type="gramEnd"/>
          <w:r>
            <w:rPr>
              <w:rFonts w:cs="Calibri"/>
              <w:sz w:val="16"/>
              <w:szCs w:val="16"/>
              <w:lang w:eastAsia="en-US"/>
            </w:rPr>
            <w:t xml:space="preserve">/Octubre/2025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roofErr w:type="gramStart"/>
          <w:r>
            <w:rPr>
              <w:b/>
              <w:bCs/>
              <w:sz w:val="16"/>
              <w:szCs w:val="16"/>
              <w:lang w:eastAsia="en-US"/>
            </w:rPr>
            <w:t/>
          </w:r>
          <w:proofErr w:type="gramEnd"/>
          <w:r>
            <w:rPr>
              <w:b/>
              <w:bCs/>
              <w:sz w:val="16"/>
              <w:szCs w:val="16"/>
              <w:lang w:eastAsia="en-US"/>
            </w:rPr>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w:r>
          <w:proofErr w:type="gramStart"/>
          <w:r>
            <w:rPr>
              <w:b/>
              <w:bCs/>
              <w:sz w:val="16"/>
              <w:szCs w:val="16"/>
              <w:lang w:eastAsia="en-US"/>
            </w:rPr>
            <w:t xml:space="preserve">Lucas</w:t>
          </w:r>
          <w:proofErr w:type="gramEnd"/>
          <w:r>
            <w:rPr>
              <w:b/>
              <w:bCs/>
              <w:sz w:val="16"/>
              <w:szCs w:val="16"/>
              <w:lang w:eastAsia="en-US"/>
            </w:rPr>
            <w:t xml:space="preserve">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roofErr w:type="gramStart"/>
          <w:r>
            <w:rPr>
              <w:b/>
              <w:bCs/>
              <w:sz w:val="16"/>
              <w:szCs w:val="16"/>
              <w:lang w:eastAsia="en-US"/>
            </w:rPr>
            <w:t/>
          </w:r>
          <w:proofErr w:type="gramEnd"/>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proofErr w:type="gramStart"/>
          <w:r>
            <w:rPr>
              <w:b/>
              <w:sz w:val="16"/>
              <w:szCs w:val="16"/>
              <w:lang w:eastAsia="en-US"/>
            </w:rPr>
            <w:t xml:space="preserve">Notaria Paino</w:t>
          </w:r>
          <w:proofErr w:type="gramEnd"/>
          <w:r>
            <w:rPr>
              <w:b/>
              <w:sz w:val="16"/>
              <w:szCs w:val="16"/>
              <w:lang w:eastAsia="en-US"/>
            </w:rPr>
            <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proofErr w:type="gramStart"/>
          <w:r>
            <w:rPr>
              <w:b/>
              <w:sz w:val="16"/>
              <w:szCs w:val="16"/>
              <w:lang w:eastAsia="en-US"/>
            </w:rPr>
            <w:t xml:space="preserve">12121212121</w:t>
          </w:r>
          <w:proofErr w:type="gramEnd"/>
          <w:r>
            <w:rPr>
              <w:b/>
              <w:sz w:val="16"/>
              <w:szCs w:val="16"/>
              <w:lang w:eastAsia="en-US"/>
            </w:rPr>
            <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proofErr w:type="gramStart"/>
          <w:r>
            <w:rPr>
              <w:b/>
              <w:sz w:val="16"/>
              <w:szCs w:val="16"/>
              <w:lang w:eastAsia="en-US"/>
            </w:rPr>
            <w:t xml:space="preserve">Juan Pepe Hernandez</w:t>
          </w:r>
          <w:proofErr w:type="gramEnd"/>
          <w:r>
            <w:rPr>
              <w:b/>
              <w:sz w:val="16"/>
              <w:szCs w:val="16"/>
              <w:lang w:eastAsia="en-US"/>
            </w:rPr>
            <w:t xml:space="preserve">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proofErr w:type="gramStart"/>
          <w:r>
            <w:rPr>
              <w:b/>
              <w:sz w:val="16"/>
              <w:szCs w:val="16"/>
              <w:lang w:eastAsia="en-US"/>
            </w:rPr>
            <w:t xml:space="preserve">Av angamos 123</w:t>
          </w:r>
          <w:proofErr w:type="gramEnd"/>
          <w:r>
            <w:rPr>
              <w:b/>
              <w:sz w:val="16"/>
              <w:szCs w:val="16"/>
              <w:lang w:eastAsia="en-US"/>
            </w:rPr>
            <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w:t>
          </w:r>
          <w:proofErr w:type="gramStart"/>
          <w:r>
            <w:rPr>
              <w:rFonts w:cs="Calibri"/>
              <w:b/>
              <w:sz w:val="16"/>
              <w:szCs w:val="16"/>
            </w:rPr>
            <w:t xml:space="preserve">juan@gmail.com</w:t>
          </w:r>
          <w:proofErr w:type="gramEnd"/>
          <w:r>
            <w:rPr>
              <w:rFonts w:cs="Calibri"/>
              <w:b/>
              <w:sz w:val="16"/>
              <w:szCs w:val="16"/>
            </w:rPr>
            <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3668"/>
    <w:rsid w:val="000944F4"/>
    <w:rsid w:val="00094783"/>
    <w:rsid w:val="000A2986"/>
    <w:rsid w:val="000A3247"/>
    <w:rsid w:val="000A79CA"/>
    <w:rsid w:val="000B64DA"/>
    <w:rsid w:val="000B6BB4"/>
    <w:rsid w:val="000D0F87"/>
    <w:rsid w:val="000D2CC4"/>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E28"/>
    <w:rsid w:val="005B5975"/>
    <w:rsid w:val="005B65DD"/>
    <w:rsid w:val="005B664E"/>
    <w:rsid w:val="005B6B95"/>
    <w:rsid w:val="005B6EE3"/>
    <w:rsid w:val="005C04C8"/>
    <w:rsid w:val="005C20B5"/>
    <w:rsid w:val="005C53C8"/>
    <w:rsid w:val="005D1B73"/>
    <w:rsid w:val="005D2ED9"/>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7026A0"/>
    <w:rsid w:val="00707349"/>
    <w:rsid w:val="0071245A"/>
    <w:rsid w:val="00713355"/>
    <w:rsid w:val="007140C7"/>
    <w:rsid w:val="00722AF4"/>
    <w:rsid w:val="00723362"/>
    <w:rsid w:val="00726BFF"/>
    <w:rsid w:val="00730300"/>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801F1"/>
    <w:rsid w:val="008900C0"/>
    <w:rsid w:val="008B08CC"/>
    <w:rsid w:val="008B46FC"/>
    <w:rsid w:val="008C33ED"/>
    <w:rsid w:val="008C4569"/>
    <w:rsid w:val="008C5AD9"/>
    <w:rsid w:val="008C673E"/>
    <w:rsid w:val="008C7A12"/>
    <w:rsid w:val="008D0215"/>
    <w:rsid w:val="008D3DB6"/>
    <w:rsid w:val="008D5155"/>
    <w:rsid w:val="0090244A"/>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238D3"/>
    <w:rsid w:val="00A25705"/>
    <w:rsid w:val="00A26949"/>
    <w:rsid w:val="00A30F6D"/>
    <w:rsid w:val="00A347CF"/>
    <w:rsid w:val="00A36548"/>
    <w:rsid w:val="00A43D9A"/>
    <w:rsid w:val="00A450E0"/>
    <w:rsid w:val="00A46C38"/>
    <w:rsid w:val="00A521C8"/>
    <w:rsid w:val="00A526CE"/>
    <w:rsid w:val="00A526DD"/>
    <w:rsid w:val="00A56A39"/>
    <w:rsid w:val="00A61E5F"/>
    <w:rsid w:val="00A76299"/>
    <w:rsid w:val="00A76647"/>
    <w:rsid w:val="00A800DD"/>
    <w:rsid w:val="00A80662"/>
    <w:rsid w:val="00A80AB0"/>
    <w:rsid w:val="00A81FB4"/>
    <w:rsid w:val="00A95DD8"/>
    <w:rsid w:val="00AA0D44"/>
    <w:rsid w:val="00AA2E08"/>
    <w:rsid w:val="00AA625E"/>
    <w:rsid w:val="00AB018E"/>
    <w:rsid w:val="00AB41A6"/>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25B"/>
    <w:rsid w:val="00C3253F"/>
    <w:rsid w:val="00C33492"/>
    <w:rsid w:val="00C35AC8"/>
    <w:rsid w:val="00C40DDE"/>
    <w:rsid w:val="00C40FF7"/>
    <w:rsid w:val="00C506A4"/>
    <w:rsid w:val="00C52564"/>
    <w:rsid w:val="00C60900"/>
    <w:rsid w:val="00C75EB8"/>
    <w:rsid w:val="00C75FB1"/>
    <w:rsid w:val="00C765AD"/>
    <w:rsid w:val="00C76B0C"/>
    <w:rsid w:val="00C848C0"/>
    <w:rsid w:val="00C84D72"/>
    <w:rsid w:val="00C8696F"/>
    <w:rsid w:val="00C87382"/>
    <w:rsid w:val="00C97163"/>
    <w:rsid w:val="00CA4F8B"/>
    <w:rsid w:val="00CA5681"/>
    <w:rsid w:val="00CB42DB"/>
    <w:rsid w:val="00CB57C1"/>
    <w:rsid w:val="00CB5D04"/>
    <w:rsid w:val="00CC21C1"/>
    <w:rsid w:val="00CD0104"/>
    <w:rsid w:val="00CD1770"/>
    <w:rsid w:val="00CD2A4A"/>
    <w:rsid w:val="00CD31A9"/>
    <w:rsid w:val="00CD5179"/>
    <w:rsid w:val="00CD6A0E"/>
    <w:rsid w:val="00CE4561"/>
    <w:rsid w:val="00CF6A93"/>
    <w:rsid w:val="00CF6E83"/>
    <w:rsid w:val="00D022B8"/>
    <w:rsid w:val="00D03704"/>
    <w:rsid w:val="00D03DE6"/>
    <w:rsid w:val="00D2464D"/>
    <w:rsid w:val="00D30F4D"/>
    <w:rsid w:val="00D33207"/>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431</TotalTime>
  <Pages>14</Pages>
  <Words>4649</Words>
  <Characters>25575</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31</cp:revision>
  <cp:lastPrinted>2024-09-23T19:13:00Z</cp:lastPrinted>
  <dcterms:created xsi:type="dcterms:W3CDTF">2025-10-24T20:23:00Z</dcterms:created>
  <dcterms:modified xsi:type="dcterms:W3CDTF">2025-10-28T22:49:00Z</dcterms:modified>
</cp:coreProperties>
</file>