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29</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r w:rsidR="00AA0D44">
        <w:rPr>
          <w:color w:val="auto"/>
          <w:szCs w:val="20"/>
        </w:rPr>
        <w:t/>
      </w:r>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762BDDB4" w14:textId="77777777" w:rsidR="00C173D6" w:rsidRDefault="00C173D6" w:rsidP="007365F2">
      <w:pPr>
        <w:pStyle w:val="Default"/>
        <w:jc w:val="both"/>
        <w:rPr>
          <w:b/>
          <w:bCs/>
          <w:sz w:val="20"/>
          <w:szCs w:val="20"/>
        </w:rPr>
      </w:pPr>
    </w:p>
    <w:p w14:paraId="721F36A8" w14:textId="77777777" w:rsidR="00C173D6" w:rsidRDefault="00C173D6" w:rsidP="0078471A">
      <w:pPr>
        <w:pStyle w:val="Default"/>
        <w:ind w:left="142"/>
        <w:jc w:val="both"/>
        <w:rPr>
          <w:b/>
          <w:bCs/>
          <w:sz w:val="20"/>
          <w:szCs w:val="20"/>
        </w:rPr>
      </w:pPr>
    </w:p>
    <w:p w14:paraId="637BC5D0" w14:textId="77777777" w:rsidR="0078471A" w:rsidRDefault="0078471A" w:rsidP="009C4077">
      <w:pPr>
        <w:pStyle w:val="Default"/>
        <w:ind w:left="142"/>
        <w:jc w:val="both"/>
        <w:rPr>
          <w:b/>
          <w:bCs/>
          <w:sz w:val="20"/>
          <w:szCs w:val="20"/>
        </w:rPr>
      </w:pPr>
    </w:p>
    <w:p w14:paraId="6BEE67DD" w14:textId="77777777" w:rsidR="009C4077" w:rsidRPr="000A2986" w:rsidRDefault="009C4077"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lastRenderedPageBreak/>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Notaria Paino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w:t>
      </w:r>
      <w:r w:rsidRPr="0076156C">
        <w:rPr>
          <w:color w:val="auto"/>
          <w:sz w:val="20"/>
          <w:szCs w:val="20"/>
        </w:rPr>
        <w:lastRenderedPageBreak/>
        <w:t xml:space="preserve">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lastRenderedPageBreak/>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 xml:space="preserve">que, una vez suministrado </w:t>
      </w:r>
      <w:r w:rsidRPr="004B2DFD">
        <w:rPr>
          <w:rFonts w:cs="Calibri"/>
          <w:sz w:val="20"/>
          <w:szCs w:val="20"/>
        </w:rPr>
        <w:lastRenderedPageBreak/>
        <w:t>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juan@gmail.com</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lastRenderedPageBreak/>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lastRenderedPageBreak/>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aJose Diaz</w:t>
      </w:r>
      <w:r>
        <w:rPr>
          <w:rFonts w:cs="Calibri"/>
          <w:sz w:val="20"/>
          <w:szCs w:val="20"/>
        </w:rPr>
        <w:t xml:space="preserve"> </w:t>
      </w:r>
      <w:r w:rsidRPr="00DB4795">
        <w:rPr>
          <w:rFonts w:cs="Calibri"/>
          <w:sz w:val="20"/>
          <w:szCs w:val="20"/>
        </w:rPr>
        <w:t xml:space="preserve">con DNI 75410121, domiciliado en Av los pinos 123,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E521A" w14:textId="77777777" w:rsidR="00D60DC7" w:rsidRDefault="00D60DC7" w:rsidP="00C02D2E">
      <w:pPr>
        <w:spacing w:after="0" w:line="240" w:lineRule="auto"/>
      </w:pPr>
      <w:r>
        <w:separator/>
      </w:r>
    </w:p>
  </w:endnote>
  <w:endnote w:type="continuationSeparator" w:id="0">
    <w:p w14:paraId="0E7E1662" w14:textId="77777777" w:rsidR="00D60DC7" w:rsidRDefault="00D60DC7"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FE1D6" w14:textId="77777777" w:rsidR="00D60DC7" w:rsidRDefault="00D60DC7" w:rsidP="00C02D2E">
      <w:pPr>
        <w:spacing w:after="0" w:line="240" w:lineRule="auto"/>
      </w:pPr>
      <w:r>
        <w:separator/>
      </w:r>
    </w:p>
  </w:footnote>
  <w:footnote w:type="continuationSeparator" w:id="0">
    <w:p w14:paraId="22D5AA20" w14:textId="77777777" w:rsidR="00D60DC7" w:rsidRDefault="00D60DC7"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EI-CC-COM-LR1-0002_1</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Av. Angamos Este, Surquillo,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Torres Paino</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29/Octubre/2025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Notaria Paino</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12121212121</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Juan Pepe Hernandez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Av angamos 123</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juan@gmail.com</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70A6"/>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4932"/>
    <w:rsid w:val="00D60DC7"/>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618</TotalTime>
  <Pages>16</Pages>
  <Words>5111</Words>
  <Characters>28112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60</cp:revision>
  <cp:lastPrinted>2024-09-23T19:13:00Z</cp:lastPrinted>
  <dcterms:created xsi:type="dcterms:W3CDTF">2025-10-24T20:23:00Z</dcterms:created>
  <dcterms:modified xsi:type="dcterms:W3CDTF">2025-10-29T19:05:00Z</dcterms:modified>
</cp:coreProperties>
</file>