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bCs/>
          <w:color w:val="1F3864"/>
          <w:sz w:val="56"/>
          <w:szCs w:val="56"/>
        </w:rPr>
        <w:t xml:space="preserve">BIOADAPTABILIDAD</w:t>
      </w:r>
    </w:p>
    <w:p>
      <w:pPr>
        <w:spacing w:after="400"/>
      </w:pPr>
      <w:r>
        <w:rPr>
          <w:rFonts w:ascii="Calibri" w:cs="Calibri" w:eastAsia="Calibri" w:hAnsi="Calibri"/>
          <w:i/>
          <w:iCs/>
          <w:color w:val="444444"/>
          <w:sz w:val="26"/>
          <w:szCs w:val="26"/>
        </w:rPr>
        <w:t xml:space="preserve">Cómo las personas, los equipos y las organizaciones aprenden a enfrentar un futuro cambiante</w:t>
      </w:r>
    </w:p>
    <w:p>
      <w:pPr>
        <w:spacing w:after="160"/>
        <w:jc w:val="left"/>
      </w:pPr>
      <w:r>
        <w:rPr>
          <w:rFonts w:ascii="Calibri" w:cs="Calibri" w:eastAsia="Calibri" w:hAnsi="Calibri"/>
          <w:b w:val="false"/>
          <w:bCs w:val="false"/>
          <w:i/>
          <w:iCs/>
          <w:sz w:val="22"/>
          <w:szCs w:val="22"/>
        </w:rPr>
        <w:t xml:space="preserve">Documento narrativo — guion de keynote, arquitectura dramática y fundamento de investigación.</w:t>
      </w:r>
    </w:p>
    <w:p>
      <w:pPr>
        <w:spacing w:after="160"/>
        <w:jc w:val="left"/>
      </w:pPr>
      <w:r>
        <w:rPr>
          <w:rFonts w:ascii="Calibri" w:cs="Calibri" w:eastAsia="Calibri" w:hAnsi="Calibri"/>
          <w:b w:val="false"/>
          <w:bCs w:val="false"/>
          <w:i w:val="false"/>
          <w:iCs w:val="false"/>
          <w:sz w:val="22"/>
          <w:szCs w:val="22"/>
        </w:rPr>
        <w:t xml:space="preserve">Duración objetivo: 25-30 minutos. Idioma de entrega en escena: inglés (contenido internacional). Este documento está redactado en español; las frases de escena, títulos de acto y preguntas se mantienen en el inglés en que serán pronunciadas.</w:t>
      </w:r>
    </w:p>
    <w:p>
      <w:pPr>
        <w:pStyle w:val="Heading1"/>
        <w:spacing w:after="200" w:before="400"/>
      </w:pPr>
      <w:r>
        <w:t xml:space="preserve">1. Tesis</w:t>
      </w:r>
    </w:p>
    <w:p>
      <w:pPr>
        <w:spacing w:after="160"/>
        <w:jc w:val="left"/>
      </w:pPr>
      <w:r>
        <w:rPr>
          <w:rFonts w:ascii="Calibri" w:cs="Calibri" w:eastAsia="Calibri" w:hAnsi="Calibri"/>
          <w:b w:val="false"/>
          <w:bCs w:val="false"/>
          <w:i w:val="false"/>
          <w:iCs w:val="false"/>
          <w:sz w:val="22"/>
          <w:szCs w:val="22"/>
        </w:rPr>
        <w:t xml:space="preserve">El prompt original plantea varias hipótesis de tesis. Se investigaron y se sometieron a la misma prueba que el resto del contenido: ¿cambia la forma de pensar?, ¿es defendible?, ¿sostiene 30 minutos de narrativa? Ninguna hipótesis de partida sobrevivió intacta; la versión final es más precisa que cualquiera de ellas porque separa dos verbos que el material original mezclaba — "predecir" y "encontrarse con" ("meet").</w:t>
      </w:r>
    </w:p>
    <w:p>
      <w:pPr>
        <w:pStyle w:val="Heading2"/>
        <w:spacing w:after="150" w:before="300"/>
      </w:pPr>
      <w:r>
        <w:t xml:space="preserve">Tesis final (línea de apertura conceptual)</w:t>
      </w:r>
    </w:p>
    <w:p>
      <w:pPr>
        <w:pBdr>
          <w:left w:val="single" w:color="1F3864" w:sz="12" w:space="8"/>
        </w:pBdr>
        <w:spacing w:after="200" w:before="120"/>
        <w:ind w:left="560"/>
      </w:pPr>
      <w:r>
        <w:rPr>
          <w:rFonts w:ascii="Georgia" w:cs="Georgia" w:eastAsia="Georgia" w:hAnsi="Georgia"/>
          <w:i/>
          <w:iCs/>
          <w:sz w:val="26"/>
          <w:szCs w:val="26"/>
        </w:rPr>
        <w:t xml:space="preserve">"The future cannot be predicted. It can only be met — and how well we meet it depends on a capacity we can deliberately build: in ourselves, in our teams, and in our organizations."</w:t>
      </w:r>
    </w:p>
    <w:p>
      <w:pPr>
        <w:pStyle w:val="Heading2"/>
        <w:spacing w:after="150" w:before="300"/>
      </w:pPr>
      <w:r>
        <w:t xml:space="preserve">Forma corta (línea de cierre)</w:t>
      </w:r>
    </w:p>
    <w:p>
      <w:pPr>
        <w:pBdr>
          <w:left w:val="single" w:color="1F3864" w:sz="12" w:space="8"/>
        </w:pBdr>
        <w:spacing w:after="200" w:before="120"/>
        <w:ind w:left="560"/>
      </w:pPr>
      <w:r>
        <w:rPr>
          <w:rFonts w:ascii="Georgia" w:cs="Georgia" w:eastAsia="Georgia" w:hAnsi="Georgia"/>
          <w:i/>
          <w:iCs/>
          <w:sz w:val="26"/>
          <w:szCs w:val="26"/>
        </w:rPr>
        <w:t xml:space="preserve">"We could not choose the ice. We can still choose who we become on it."</w:t>
      </w:r>
    </w:p>
    <w:p>
      <w:pPr>
        <w:spacing w:after="160"/>
        <w:jc w:val="left"/>
      </w:pPr>
      <w:r>
        <w:rPr>
          <w:rFonts w:ascii="Calibri" w:cs="Calibri" w:eastAsia="Calibri" w:hAnsi="Calibri"/>
          <w:b w:val="false"/>
          <w:bCs w:val="false"/>
          <w:i w:val="false"/>
          <w:iCs w:val="false"/>
          <w:sz w:val="22"/>
          <w:szCs w:val="22"/>
        </w:rPr>
        <w:t xml:space="preserve">Por qué esta formulación y no las hipótesis originales: "We cannot control the future, we can cultivate our capacity to adapt" es correcta pero abstracta — no da un verbo escénico. "The future is uncertain, adaptability doesn't have to be" es una antítesis elegante pero suena a eslogan. La formulación elegida introduce un tercer término — "meet" — que permite dramatizar: no se trata de predecir ni de resistir, se trata de encontrarse con algo. Ese verbo sostiene toda la arquitectura de actos (el futuro como algo que se encuentra, no que se calcula) y permite la imagen de cierre (el hielo, la brecha de agua abierta).</w:t>
      </w:r>
    </w:p>
    <w:p>
      <w:pPr>
        <w:pStyle w:val="Heading1"/>
        <w:spacing w:after="200" w:before="400"/>
      </w:pPr>
      <w:r>
        <w:t xml:space="preserve">2. La historia hilo conductor</w:t>
      </w:r>
    </w:p>
    <w:p>
      <w:pPr>
        <w:spacing w:after="160"/>
        <w:jc w:val="left"/>
      </w:pPr>
      <w:r>
        <w:rPr>
          <w:rFonts w:ascii="Calibri" w:cs="Calibri" w:eastAsia="Calibri" w:hAnsi="Calibri"/>
          <w:b w:val="false"/>
          <w:bCs w:val="false"/>
          <w:i w:val="false"/>
          <w:iCs w:val="false"/>
          <w:sz w:val="22"/>
          <w:szCs w:val="22"/>
        </w:rPr>
        <w:t xml:space="preserve">Expedición Transantártica Imperial de Ernest Shackleton, 1914-1917. El buque Endurance queda atrapado por el hielo del mar de Weddell en enero de 1915 y es lentamente triturado por la presión del pack de hielo entre octubre y noviembre de 1915, ante los ojos de la tripulación, que observa desde tiendas instaladas sobre el propio hielo. El objetivo original — la primera travesía terrestre de la Antártida — deja de ser posible. Shackleton redefine el objetivo: traer a los 28 hombres de vuelta con vida. Meses de campamentos a la deriva sobre el hielo (Ocean Camp, Patience Camp), un viaje en bote abierto hasta la isla Elefante, y luego un viaje de 800 millas náuticas en el bote James Caird hasta Georgia del Sur, seguido de una travesía a pie —sin mapas— de una cordillera de unos 3.000 metros para alcanzar una estación ballenera. Resultado: ningún fragmento del plan original sobrevivió. Los 28 hombres, sí.</w:t>
      </w:r>
    </w:p>
    <w:p>
      <w:pPr>
        <w:spacing w:after="160"/>
        <w:jc w:val="left"/>
      </w:pPr>
      <w:r>
        <w:rPr>
          <w:rFonts w:ascii="Calibri" w:cs="Calibri" w:eastAsia="Calibri" w:hAnsi="Calibri"/>
          <w:b w:val="false"/>
          <w:bCs w:val="false"/>
          <w:i w:val="false"/>
          <w:iCs w:val="false"/>
          <w:sz w:val="22"/>
          <w:szCs w:val="22"/>
        </w:rPr>
        <w:t xml:space="preserve">Función narrativa: abre la keynote (S1-S3) sin mencionar bioadaptabilidad, sostiene el Acto IX y cierra la keynote (S28-S30). Es simultáneamente historia de persona (Shackleton reescribiendo su propia identidad de objetivo), de equipo (la tripulación coordinándose durante meses de incertidumbre total) y de organización (una expedición completa cambiando de modelo operativo sin perder a su gente) — por eso puede sostener los tres planos sin que la audiencia sienta que se le cambia de historia.</w:t>
      </w:r>
    </w:p>
    <w:p>
      <w:pPr>
        <w:spacing w:after="160"/>
        <w:jc w:val="left"/>
      </w:pPr>
      <w:r>
        <w:rPr>
          <w:rFonts w:ascii="Calibri" w:cs="Calibri" w:eastAsia="Calibri" w:hAnsi="Calibri"/>
          <w:b w:val="false"/>
          <w:bCs w:val="false"/>
          <w:i w:val="false"/>
          <w:iCs w:val="false"/>
          <w:sz w:val="22"/>
          <w:szCs w:val="22"/>
        </w:rPr>
        <w:t xml:space="preserve">Fuente: relato histórico de Alfred Lansing; History.com, "The Stunning Survival Story of Ernest Shackleton and His Endurance Crew"; Endurance22.org. Fotografías de época: Frank Hurley, 1915, de dominio público (publicadas antes de 1928), disponibles en Wikimedia Commons — ver Bioadaptability_Image_Sources.xlsx.</w:t>
      </w:r>
    </w:p>
    <w:p>
      <w:pPr>
        <w:pStyle w:val="Heading1"/>
        <w:spacing w:after="200" w:before="400"/>
      </w:pPr>
      <w:r>
        <w:t xml:space="preserve">3. Estructura dramática — 9 actos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200"/>
        <w:gridCol w:w="1800"/>
      </w:tblGrid>
      <w:tr>
        <w:trPr>
          <w:tblHeader/>
        </w:trPr>
        <w:tc>
          <w:tcPr>
            <w:tcW w:type="dxa" w:w="2500"/>
            <w:shd w:fill="1F3864" w:val="clear"/>
          </w:tcPr>
          <w:p>
            <w:r>
              <w:rPr>
                <w:rFonts w:ascii="Calibri" w:cs="Calibri" w:eastAsia="Calibri" w:hAnsi="Calibri"/>
                <w:b/>
                <w:bCs/>
                <w:color w:val="FFFFFF"/>
                <w:sz w:val="20"/>
                <w:szCs w:val="20"/>
              </w:rPr>
              <w:t xml:space="preserve">Acto</w:t>
            </w:r>
          </w:p>
        </w:tc>
        <w:tc>
          <w:tcPr>
            <w:tcW w:type="dxa" w:w="2500"/>
            <w:shd w:fill="1F3864" w:val="clear"/>
          </w:tcPr>
          <w:p>
            <w:r>
              <w:rPr>
                <w:rFonts w:ascii="Calibri" w:cs="Calibri" w:eastAsia="Calibri" w:hAnsi="Calibri"/>
                <w:b/>
                <w:bCs/>
                <w:color w:val="FFFFFF"/>
                <w:sz w:val="20"/>
                <w:szCs w:val="20"/>
              </w:rPr>
              <w:t xml:space="preserve">Beat / idea central</w:t>
            </w:r>
          </w:p>
        </w:tc>
        <w:tc>
          <w:tcPr>
            <w:tcW w:type="dxa" w:w="2500"/>
            <w:shd w:fill="1F3864" w:val="clear"/>
          </w:tcPr>
          <w:p>
            <w:r>
              <w:rPr>
                <w:rFonts w:ascii="Calibri" w:cs="Calibri" w:eastAsia="Calibri" w:hAnsi="Calibri"/>
                <w:b/>
                <w:bCs/>
                <w:color w:val="FFFFFF"/>
                <w:sz w:val="20"/>
                <w:szCs w:val="20"/>
              </w:rPr>
              <w:t xml:space="preserve">Historia o evidencia</w:t>
            </w:r>
          </w:p>
        </w:tc>
        <w:tc>
          <w:tcPr>
            <w:tcW w:type="dxa" w:w="2500"/>
            <w:shd w:fill="1F3864" w:val="clear"/>
          </w:tcPr>
          <w:p>
            <w:r>
              <w:rPr>
                <w:rFonts w:ascii="Calibri" w:cs="Calibri" w:eastAsia="Calibri" w:hAnsi="Calibri"/>
                <w:b/>
                <w:bCs/>
                <w:color w:val="FFFFFF"/>
                <w:sz w:val="20"/>
                <w:szCs w:val="20"/>
              </w:rPr>
              <w:t xml:space="preserve">Transición de salida</w:t>
            </w:r>
          </w:p>
        </w:tc>
      </w:tr>
      <w:tr>
        <w:tc>
          <w:tcPr>
            <w:tcW w:type="dxa" w:w="2500"/>
          </w:tcPr>
          <w:p>
            <w:r>
              <w:rPr>
                <w:rFonts w:ascii="Calibri" w:cs="Calibri" w:eastAsia="Calibri" w:hAnsi="Calibri"/>
                <w:sz w:val="20"/>
                <w:szCs w:val="20"/>
              </w:rPr>
              <w:t xml:space="preserve">Acto I — The Future Is Not Coming</w:t>
            </w:r>
          </w:p>
        </w:tc>
        <w:tc>
          <w:tcPr>
            <w:tcW w:type="dxa" w:w="2500"/>
          </w:tcPr>
          <w:p>
            <w:r>
              <w:rPr>
                <w:rFonts w:ascii="Calibri" w:cs="Calibri" w:eastAsia="Calibri" w:hAnsi="Calibri"/>
                <w:sz w:val="20"/>
                <w:szCs w:val="20"/>
              </w:rPr>
              <w:t xml:space="preserve">Apertura humana: no sabemos qué viene. El Endurance queda atrapado; luego el giro hacia la sala: nos hemos vuelto extraordinariamente buenos prediciendo, planificando, controlando.</w:t>
            </w:r>
          </w:p>
        </w:tc>
        <w:tc>
          <w:tcPr>
            <w:tcW w:type="dxa" w:w="2500"/>
          </w:tcPr>
          <w:p>
            <w:r>
              <w:rPr>
                <w:rFonts w:ascii="Calibri" w:cs="Calibri" w:eastAsia="Calibri" w:hAnsi="Calibri"/>
                <w:sz w:val="20"/>
                <w:szCs w:val="20"/>
              </w:rPr>
              <w:t xml:space="preserve">Hilo conductor (S1-S3) + campos de riego en círculo como imagen de "orden perfecto" (S4-S5)</w:t>
            </w:r>
          </w:p>
        </w:tc>
        <w:tc>
          <w:tcPr>
            <w:tcW w:type="dxa" w:w="2500"/>
          </w:tcPr>
          <w:p>
            <w:r>
              <w:rPr>
                <w:rFonts w:ascii="Calibri" w:cs="Calibri" w:eastAsia="Calibri" w:hAnsi="Calibri"/>
                <w:sz w:val="20"/>
                <w:szCs w:val="20"/>
              </w:rPr>
              <w:t xml:space="preserve">"But what happens when the environment changes faster than our plans?"</w:t>
            </w:r>
          </w:p>
        </w:tc>
      </w:tr>
      <w:tr>
        <w:tc>
          <w:tcPr>
            <w:tcW w:type="dxa" w:w="2500"/>
          </w:tcPr>
          <w:p>
            <w:r>
              <w:rPr>
                <w:rFonts w:ascii="Calibri" w:cs="Calibri" w:eastAsia="Calibri" w:hAnsi="Calibri"/>
                <w:sz w:val="20"/>
                <w:szCs w:val="20"/>
              </w:rPr>
              <w:t xml:space="preserve">Acto II — The Illusion of Control</w:t>
            </w:r>
          </w:p>
        </w:tc>
        <w:tc>
          <w:tcPr>
            <w:tcW w:type="dxa" w:w="2500"/>
          </w:tcPr>
          <w:p>
            <w:r>
              <w:rPr>
                <w:rFonts w:ascii="Calibri" w:cs="Calibri" w:eastAsia="Calibri" w:hAnsi="Calibri"/>
                <w:sz w:val="20"/>
                <w:szCs w:val="20"/>
              </w:rPr>
              <w:t xml:space="preserve">Las organizaciones responden a la incertidumbre con más planificación, más proceso, más predicción — y eso no necesariamente produce más adaptabilidad.</w:t>
            </w:r>
          </w:p>
        </w:tc>
        <w:tc>
          <w:tcPr>
            <w:tcW w:type="dxa" w:w="2500"/>
          </w:tcPr>
          <w:p>
            <w:r>
              <w:rPr>
                <w:rFonts w:ascii="Calibri" w:cs="Calibri" w:eastAsia="Calibri" w:hAnsi="Calibri"/>
                <w:sz w:val="20"/>
                <w:szCs w:val="20"/>
              </w:rPr>
              <w:t xml:space="preserve">Paradoja 1 (S6-S7)</w:t>
            </w:r>
          </w:p>
        </w:tc>
        <w:tc>
          <w:tcPr>
            <w:tcW w:type="dxa" w:w="2500"/>
          </w:tcPr>
          <w:p>
            <w:r>
              <w:rPr>
                <w:rFonts w:ascii="Calibri" w:cs="Calibri" w:eastAsia="Calibri" w:hAnsi="Calibri"/>
                <w:sz w:val="20"/>
                <w:szCs w:val="20"/>
              </w:rPr>
              <w:t xml:space="preserve">"What if we looked at systems that have been adapting for millions of years?"</w:t>
            </w:r>
          </w:p>
        </w:tc>
      </w:tr>
      <w:tr>
        <w:tc>
          <w:tcPr>
            <w:tcW w:type="dxa" w:w="2500"/>
          </w:tcPr>
          <w:p>
            <w:r>
              <w:rPr>
                <w:rFonts w:ascii="Calibri" w:cs="Calibri" w:eastAsia="Calibri" w:hAnsi="Calibri"/>
                <w:sz w:val="20"/>
                <w:szCs w:val="20"/>
              </w:rPr>
              <w:t xml:space="preserve">Acto III — Look at Life</w:t>
            </w:r>
          </w:p>
        </w:tc>
        <w:tc>
          <w:tcPr>
            <w:tcW w:type="dxa" w:w="2500"/>
          </w:tcPr>
          <w:p>
            <w:r>
              <w:rPr>
                <w:rFonts w:ascii="Calibri" w:cs="Calibri" w:eastAsia="Calibri" w:hAnsi="Calibri"/>
                <w:sz w:val="20"/>
                <w:szCs w:val="20"/>
              </w:rPr>
              <w:t xml:space="preserve">La bioadaptabilidad entra por la puerta de los sistemas vivos, no como clase de biología sino como testigos: cada sistema revela un principio.</w:t>
            </w:r>
          </w:p>
        </w:tc>
        <w:tc>
          <w:tcPr>
            <w:tcW w:type="dxa" w:w="2500"/>
          </w:tcPr>
          <w:p>
            <w:r>
              <w:rPr>
                <w:rFonts w:ascii="Calibri" w:cs="Calibri" w:eastAsia="Calibri" w:hAnsi="Calibri"/>
                <w:sz w:val="20"/>
                <w:szCs w:val="20"/>
              </w:rPr>
              <w:t xml:space="preserve">Estorninos (S9, WOW#2), micelio/árboles madre (S10), moho mucilaginoso y hormigas (S11, WOW#3), inmunidad entrenada (S12, WOW#5)</w:t>
            </w:r>
          </w:p>
        </w:tc>
        <w:tc>
          <w:tcPr>
            <w:tcW w:type="dxa" w:w="2500"/>
          </w:tcPr>
          <w:p>
            <w:r>
              <w:rPr>
                <w:rFonts w:ascii="Calibri" w:cs="Calibri" w:eastAsia="Calibri" w:hAnsi="Calibri"/>
                <w:sz w:val="20"/>
                <w:szCs w:val="20"/>
              </w:rPr>
              <w:t xml:space="preserve">"None of these systems have a plan. All of them have a capacity." (S13, puente)</w:t>
            </w:r>
          </w:p>
        </w:tc>
      </w:tr>
      <w:tr>
        <w:tc>
          <w:tcPr>
            <w:tcW w:type="dxa" w:w="2500"/>
          </w:tcPr>
          <w:p>
            <w:r>
              <w:rPr>
                <w:rFonts w:ascii="Calibri" w:cs="Calibri" w:eastAsia="Calibri" w:hAnsi="Calibri"/>
                <w:sz w:val="20"/>
                <w:szCs w:val="20"/>
              </w:rPr>
              <w:t xml:space="preserve">Acto IV — The First Level: Self</w:t>
            </w:r>
          </w:p>
        </w:tc>
        <w:tc>
          <w:tcPr>
            <w:tcW w:type="dxa" w:w="2500"/>
          </w:tcPr>
          <w:p>
            <w:r>
              <w:rPr>
                <w:rFonts w:ascii="Calibri" w:cs="Calibri" w:eastAsia="Calibri" w:hAnsi="Calibri"/>
                <w:sz w:val="20"/>
                <w:szCs w:val="20"/>
              </w:rPr>
              <w:t xml:space="preserve">Antes de que una organización pueda adaptarse, una persona tiene que poder hacerlo. Identidad, desaprendizaje, tolerancia a la ambigüedad.</w:t>
            </w:r>
          </w:p>
        </w:tc>
        <w:tc>
          <w:tcPr>
            <w:tcW w:type="dxa" w:w="2500"/>
          </w:tcPr>
          <w:p>
            <w:r>
              <w:rPr>
                <w:rFonts w:ascii="Calibri" w:cs="Calibri" w:eastAsia="Calibri" w:hAnsi="Calibri"/>
                <w:sz w:val="20"/>
                <w:szCs w:val="20"/>
              </w:rPr>
              <w:t xml:space="preserve">Historia de Ali Mahlodji (S14-S16)</w:t>
            </w:r>
          </w:p>
        </w:tc>
        <w:tc>
          <w:tcPr>
            <w:tcW w:type="dxa" w:w="2500"/>
          </w:tcPr>
          <w:p>
            <w:r>
              <w:rPr>
                <w:rFonts w:ascii="Calibri" w:cs="Calibri" w:eastAsia="Calibri" w:hAnsi="Calibri"/>
                <w:sz w:val="20"/>
                <w:szCs w:val="20"/>
              </w:rPr>
              <w:t xml:space="preserve">"But humans don't adapt alone."</w:t>
            </w:r>
          </w:p>
        </w:tc>
      </w:tr>
      <w:tr>
        <w:tc>
          <w:tcPr>
            <w:tcW w:type="dxa" w:w="2500"/>
          </w:tcPr>
          <w:p>
            <w:r>
              <w:rPr>
                <w:rFonts w:ascii="Calibri" w:cs="Calibri" w:eastAsia="Calibri" w:hAnsi="Calibri"/>
                <w:sz w:val="20"/>
                <w:szCs w:val="20"/>
              </w:rPr>
              <w:t xml:space="preserve">Acto V — The Second Level: Together</w:t>
            </w:r>
          </w:p>
        </w:tc>
        <w:tc>
          <w:tcPr>
            <w:tcW w:type="dxa" w:w="2500"/>
          </w:tcPr>
          <w:p>
            <w:r>
              <w:rPr>
                <w:rFonts w:ascii="Calibri" w:cs="Calibri" w:eastAsia="Calibri" w:hAnsi="Calibri"/>
                <w:sz w:val="20"/>
                <w:szCs w:val="20"/>
              </w:rPr>
              <w:t xml:space="preserve">¿Puede un equipo adaptarse mejor que cualquiera de sus individuos? ¿Y por qué un grupo de personas muy inteligentes puede volverse un sistema poco inteligente?</w:t>
            </w:r>
          </w:p>
        </w:tc>
        <w:tc>
          <w:tcPr>
            <w:tcW w:type="dxa" w:w="2500"/>
          </w:tcPr>
          <w:p>
            <w:r>
              <w:rPr>
                <w:rFonts w:ascii="Calibri" w:cs="Calibri" w:eastAsia="Calibri" w:hAnsi="Calibri"/>
                <w:sz w:val="20"/>
                <w:szCs w:val="20"/>
              </w:rPr>
              <w:t xml:space="preserve">Factor de inteligencia colectiva de Woolley (S17-S18, WOW#1), groupthink (S19, Paradoja 3), mineros de Chile 2010 (S20)</w:t>
            </w:r>
          </w:p>
        </w:tc>
        <w:tc>
          <w:tcPr>
            <w:tcW w:type="dxa" w:w="2500"/>
          </w:tcPr>
          <w:p>
            <w:r>
              <w:rPr>
                <w:rFonts w:ascii="Calibri" w:cs="Calibri" w:eastAsia="Calibri" w:hAnsi="Calibri"/>
                <w:sz w:val="20"/>
                <w:szCs w:val="20"/>
              </w:rPr>
              <w:t xml:space="preserve">"A team can adapt. And the system can still say no."</w:t>
            </w:r>
          </w:p>
        </w:tc>
      </w:tr>
      <w:tr>
        <w:tc>
          <w:tcPr>
            <w:tcW w:type="dxa" w:w="2500"/>
          </w:tcPr>
          <w:p>
            <w:r>
              <w:rPr>
                <w:rFonts w:ascii="Calibri" w:cs="Calibri" w:eastAsia="Calibri" w:hAnsi="Calibri"/>
                <w:sz w:val="20"/>
                <w:szCs w:val="20"/>
              </w:rPr>
              <w:t xml:space="preserve">Acto VI — The Third Level: The System</w:t>
            </w:r>
          </w:p>
        </w:tc>
        <w:tc>
          <w:tcPr>
            <w:tcW w:type="dxa" w:w="2500"/>
          </w:tcPr>
          <w:p>
            <w:r>
              <w:rPr>
                <w:rFonts w:ascii="Calibri" w:cs="Calibri" w:eastAsia="Calibri" w:hAnsi="Calibri"/>
                <w:sz w:val="20"/>
                <w:szCs w:val="20"/>
              </w:rPr>
              <w:t xml:space="preserve">La adaptabilidad deja de ser rasgo individual y se vuelve propiedad del sistema: jerarquía, información, incentivos, velocidad de decisión.</w:t>
            </w:r>
          </w:p>
        </w:tc>
        <w:tc>
          <w:tcPr>
            <w:tcW w:type="dxa" w:w="2500"/>
          </w:tcPr>
          <w:p>
            <w:r>
              <w:rPr>
                <w:rFonts w:ascii="Calibri" w:cs="Calibri" w:eastAsia="Calibri" w:hAnsi="Calibri"/>
                <w:sz w:val="20"/>
                <w:szCs w:val="20"/>
              </w:rPr>
              <w:t xml:space="preserve">Kodak (S21-S22, WOW#4), Netflix (S23)</w:t>
            </w:r>
          </w:p>
        </w:tc>
        <w:tc>
          <w:tcPr>
            <w:tcW w:type="dxa" w:w="2500"/>
          </w:tcPr>
          <w:p>
            <w:r>
              <w:rPr>
                <w:rFonts w:ascii="Calibri" w:cs="Calibri" w:eastAsia="Calibri" w:hAnsi="Calibri"/>
                <w:sz w:val="20"/>
                <w:szCs w:val="20"/>
              </w:rPr>
              <w:t xml:space="preserve">Puente hacia la distinción resiliencia / adaptabilidad</w:t>
            </w:r>
          </w:p>
        </w:tc>
      </w:tr>
      <w:tr>
        <w:tc>
          <w:tcPr>
            <w:tcW w:type="dxa" w:w="2500"/>
          </w:tcPr>
          <w:p>
            <w:r>
              <w:rPr>
                <w:rFonts w:ascii="Calibri" w:cs="Calibri" w:eastAsia="Calibri" w:hAnsi="Calibri"/>
                <w:sz w:val="20"/>
                <w:szCs w:val="20"/>
              </w:rPr>
              <w:t xml:space="preserve">Acto VII — From Resilience to Adaptability</w:t>
            </w:r>
          </w:p>
        </w:tc>
        <w:tc>
          <w:tcPr>
            <w:tcW w:type="dxa" w:w="2500"/>
          </w:tcPr>
          <w:p>
            <w:r>
              <w:rPr>
                <w:rFonts w:ascii="Calibri" w:cs="Calibri" w:eastAsia="Calibri" w:hAnsi="Calibri"/>
                <w:sz w:val="20"/>
                <w:szCs w:val="20"/>
              </w:rPr>
              <w:t xml:space="preserve">Una organización resiliente vuelve a su estado anterior. Una organización adaptable puede cambiar de estado.</w:t>
            </w:r>
          </w:p>
        </w:tc>
        <w:tc>
          <w:tcPr>
            <w:tcW w:type="dxa" w:w="2500"/>
          </w:tcPr>
          <w:p>
            <w:r>
              <w:rPr>
                <w:rFonts w:ascii="Calibri" w:cs="Calibri" w:eastAsia="Calibri" w:hAnsi="Calibri"/>
                <w:sz w:val="20"/>
                <w:szCs w:val="20"/>
              </w:rPr>
              <w:t xml:space="preserve">Río trenzado del Yarlung Zangbo, Tíbet, NASA (S24-S25, Paradoja 2)</w:t>
            </w:r>
          </w:p>
        </w:tc>
        <w:tc>
          <w:tcPr>
            <w:tcW w:type="dxa" w:w="2500"/>
          </w:tcPr>
          <w:p>
            <w:r>
              <w:rPr>
                <w:rFonts w:ascii="Calibri" w:cs="Calibri" w:eastAsia="Calibri" w:hAnsi="Calibri"/>
                <w:sz w:val="20"/>
                <w:szCs w:val="20"/>
              </w:rPr>
              <w:t xml:space="preserve">Del río a la síntesis</w:t>
            </w:r>
          </w:p>
        </w:tc>
      </w:tr>
      <w:tr>
        <w:tc>
          <w:tcPr>
            <w:tcW w:type="dxa" w:w="2500"/>
          </w:tcPr>
          <w:p>
            <w:r>
              <w:rPr>
                <w:rFonts w:ascii="Calibri" w:cs="Calibri" w:eastAsia="Calibri" w:hAnsi="Calibri"/>
                <w:sz w:val="20"/>
                <w:szCs w:val="20"/>
              </w:rPr>
              <w:t xml:space="preserve">Acto VIII — The Adaptive Organization</w:t>
            </w:r>
          </w:p>
        </w:tc>
        <w:tc>
          <w:tcPr>
            <w:tcW w:type="dxa" w:w="2500"/>
          </w:tcPr>
          <w:p>
            <w:r>
              <w:rPr>
                <w:rFonts w:ascii="Calibri" w:cs="Calibri" w:eastAsia="Calibri" w:hAnsi="Calibri"/>
                <w:sz w:val="20"/>
                <w:szCs w:val="20"/>
              </w:rPr>
              <w:t xml:space="preserve">Sense → Interpret → Experiment → Learn → Reconfigure → Adapt aparece como consecuencia natural de todo lo narrado — no como framework nuevo.</w:t>
            </w:r>
          </w:p>
        </w:tc>
        <w:tc>
          <w:tcPr>
            <w:tcW w:type="dxa" w:w="2500"/>
          </w:tcPr>
          <w:p>
            <w:r>
              <w:rPr>
                <w:rFonts w:ascii="Calibri" w:cs="Calibri" w:eastAsia="Calibri" w:hAnsi="Calibri"/>
                <w:sz w:val="20"/>
                <w:szCs w:val="20"/>
              </w:rPr>
              <w:t xml:space="preserve">Mismo río (S26-S27), mapeado explícitamente sobre las decisiones reales de Shackleton</w:t>
            </w:r>
          </w:p>
        </w:tc>
        <w:tc>
          <w:tcPr>
            <w:tcW w:type="dxa" w:w="2500"/>
          </w:tcPr>
          <w:p>
            <w:r>
              <w:rPr>
                <w:rFonts w:ascii="Calibri" w:cs="Calibri" w:eastAsia="Calibri" w:hAnsi="Calibri"/>
                <w:sz w:val="20"/>
                <w:szCs w:val="20"/>
              </w:rPr>
              <w:t xml:space="preserve">Regreso al hilo conductor</w:t>
            </w:r>
          </w:p>
        </w:tc>
      </w:tr>
      <w:tr>
        <w:tc>
          <w:tcPr>
            <w:tcW w:type="dxa" w:w="2500"/>
          </w:tcPr>
          <w:p>
            <w:r>
              <w:rPr>
                <w:rFonts w:ascii="Calibri" w:cs="Calibri" w:eastAsia="Calibri" w:hAnsi="Calibri"/>
                <w:sz w:val="20"/>
                <w:szCs w:val="20"/>
              </w:rPr>
              <w:t xml:space="preserve">Acto IX — The Future</w:t>
            </w:r>
          </w:p>
        </w:tc>
        <w:tc>
          <w:tcPr>
            <w:tcW w:type="dxa" w:w="2500"/>
          </w:tcPr>
          <w:p>
            <w:r>
              <w:rPr>
                <w:rFonts w:ascii="Calibri" w:cs="Calibri" w:eastAsia="Calibri" w:hAnsi="Calibri"/>
                <w:sz w:val="20"/>
                <w:szCs w:val="20"/>
              </w:rPr>
              <w:t xml:space="preserve">¿Podemos controlar lo que viene? No completamente. Pero podemos cambiar nuestra capacidad de percibir, aprender, colaborar, experimentar y cambiar.</w:t>
            </w:r>
          </w:p>
        </w:tc>
        <w:tc>
          <w:tcPr>
            <w:tcW w:type="dxa" w:w="2500"/>
          </w:tcPr>
          <w:p>
            <w:r>
              <w:rPr>
                <w:rFonts w:ascii="Calibri" w:cs="Calibri" w:eastAsia="Calibri" w:hAnsi="Calibri"/>
                <w:sz w:val="20"/>
                <w:szCs w:val="20"/>
              </w:rPr>
              <w:t xml:space="preserve">Cierre del hilo conductor: viaje del James Caird, cruce de Georgia del Sur, los 28 hombres con vida (S28-S30, momento goosebumps)</w:t>
            </w:r>
          </w:p>
        </w:tc>
        <w:tc>
          <w:tcPr>
            <w:tcW w:type="dxa" w:w="2500"/>
          </w:tcPr>
          <w:p>
            <w:r>
              <w:rPr>
                <w:rFonts w:ascii="Calibri" w:cs="Calibri" w:eastAsia="Calibri" w:hAnsi="Calibri"/>
                <w:sz w:val="20"/>
                <w:szCs w:val="20"/>
              </w:rPr>
              <w:t xml:space="preserve">Tesis final + silencio</w:t>
            </w:r>
          </w:p>
        </w:tc>
      </w:tr>
    </w:tbl>
    <w:p>
      <w:pPr>
        <w:pStyle w:val="Heading1"/>
        <w:spacing w:after="200" w:before="400"/>
      </w:pPr>
      <w:r>
        <w:t xml:space="preserve">4. Cinco momentos WOW</w:t>
      </w:r>
    </w:p>
    <w:p>
      <w:pPr>
        <w:spacing w:after="160"/>
        <w:jc w:val="left"/>
      </w:pPr>
      <w:r>
        <w:rPr>
          <w:rFonts w:ascii="Calibri" w:cs="Calibri" w:eastAsia="Calibri" w:hAnsi="Calibri"/>
          <w:b w:val="false"/>
          <w:bCs w:val="false"/>
          <w:i w:val="false"/>
          <w:iCs w:val="false"/>
          <w:sz w:val="22"/>
          <w:szCs w:val="22"/>
        </w:rPr>
        <w:t xml:space="preserve">Cada uno cumple la prueba "I had never thought about it that way": reencuadra un dato conocido en una idea nueva, no solo lo presenta.</w:t>
      </w:r>
    </w:p>
    <w:p>
      <w:pPr>
        <w:pStyle w:val="Heading2"/>
        <w:spacing w:after="150" w:before="300"/>
      </w:pPr>
      <w:r>
        <w:t xml:space="preserve">WOW 1 — La sala más inteligente no es la que tiene a las personas más inteligentes</w:t>
      </w:r>
    </w:p>
    <w:p>
      <w:pPr>
        <w:spacing w:after="160"/>
        <w:jc w:val="left"/>
      </w:pPr>
      <w:r>
        <w:rPr>
          <w:rFonts w:ascii="Calibri" w:cs="Calibri" w:eastAsia="Calibri" w:hAnsi="Calibri"/>
          <w:b w:val="false"/>
          <w:bCs w:val="false"/>
          <w:i w:val="false"/>
          <w:iCs w:val="false"/>
          <w:sz w:val="22"/>
          <w:szCs w:val="22"/>
        </w:rPr>
        <w:t xml:space="preserve">Woolley et al. (Science, 2010) midieron un factor de inteligencia colectiva "c" en 699 personas trabajando en grupos de 2 a 5. El factor no se correlaciona con el CI promedio ni máximo del grupo — se correlaciona con la sensibilidad social promedio y con la igualdad en el reparto de turnos de palabra.</w:t>
      </w:r>
    </w:p>
    <w:p>
      <w:pPr>
        <w:pBdr>
          <w:left w:val="single" w:color="1F3864" w:sz="12" w:space="8"/>
        </w:pBdr>
        <w:spacing w:after="200" w:before="120"/>
        <w:ind w:left="560"/>
      </w:pPr>
      <w:r>
        <w:rPr>
          <w:rFonts w:ascii="Georgia" w:cs="Georgia" w:eastAsia="Georgia" w:hAnsi="Georgia"/>
          <w:i/>
          <w:iCs/>
          <w:sz w:val="26"/>
          <w:szCs w:val="26"/>
        </w:rPr>
        <w:t xml:space="preserve">"The smartest room is not the room with the smartest people in it. It's the room where everyone gets to speak."</w:t>
      </w:r>
    </w:p>
    <w:p>
      <w:pPr>
        <w:pStyle w:val="Heading2"/>
        <w:spacing w:after="150" w:before="300"/>
      </w:pPr>
      <w:r>
        <w:t xml:space="preserve">WOW 2 — La información no necesita jerarquía para viajar rápido</w:t>
      </w:r>
    </w:p>
    <w:p>
      <w:pPr>
        <w:spacing w:after="160"/>
        <w:jc w:val="left"/>
      </w:pPr>
      <w:r>
        <w:rPr>
          <w:rFonts w:ascii="Calibri" w:cs="Calibri" w:eastAsia="Calibri" w:hAnsi="Calibri"/>
          <w:b w:val="false"/>
          <w:bCs w:val="false"/>
          <w:i w:val="false"/>
          <w:iCs w:val="false"/>
          <w:sz w:val="22"/>
          <w:szCs w:val="22"/>
        </w:rPr>
        <w:t xml:space="preserve">En las bandadas de estorninos, un cambio de dirección en un extremo de la bandada llega al otro extremo en menos de un segundo, sin que exista un líder que lo inicie (correlación de escala libre, Cavagna et al., PNAS 2010).</w:t>
      </w:r>
    </w:p>
    <w:p>
      <w:pPr>
        <w:pStyle w:val="Heading2"/>
        <w:spacing w:after="150" w:before="300"/>
      </w:pPr>
      <w:r>
        <w:t xml:space="preserve">WOW 3 — No hizo falta un cerebro para resolverlo</w:t>
      </w:r>
    </w:p>
    <w:p>
      <w:pPr>
        <w:spacing w:after="160"/>
        <w:jc w:val="left"/>
      </w:pPr>
      <w:r>
        <w:rPr>
          <w:rFonts w:ascii="Calibri" w:cs="Calibri" w:eastAsia="Calibri" w:hAnsi="Calibri"/>
          <w:b w:val="false"/>
          <w:bCs w:val="false"/>
          <w:i w:val="false"/>
          <w:iCs w:val="false"/>
          <w:sz w:val="22"/>
          <w:szCs w:val="22"/>
        </w:rPr>
        <w:t xml:space="preserve">El moho mucilaginoso Physarum polycephalum recreó una aproximación eficiente de la red ferroviaria de Tokio a partir de copos de avena colocados donde están las ciudades reales — sin plan central, por puro refuerzo local (estigmergia). Las hormigas resuelven el problema del camino más corto por el mismo mecanismo.</w:t>
      </w:r>
    </w:p>
    <w:p>
      <w:pPr>
        <w:pBdr>
          <w:left w:val="single" w:color="1F3864" w:sz="12" w:space="8"/>
        </w:pBdr>
        <w:spacing w:after="200" w:before="120"/>
        <w:ind w:left="560"/>
      </w:pPr>
      <w:r>
        <w:rPr>
          <w:rFonts w:ascii="Georgia" w:cs="Georgia" w:eastAsia="Georgia" w:hAnsi="Georgia"/>
          <w:i/>
          <w:iCs/>
          <w:sz w:val="26"/>
          <w:szCs w:val="26"/>
        </w:rPr>
        <w:t xml:space="preserve">"You don't need a strategy meeting to be intelligent. You need feedback loops everyone can read."</w:t>
      </w:r>
    </w:p>
    <w:p>
      <w:pPr>
        <w:pStyle w:val="Heading2"/>
        <w:spacing w:after="150" w:before="300"/>
      </w:pPr>
      <w:r>
        <w:t xml:space="preserve">WOW 4 — Kodak no falló en ver el futuro</w:t>
      </w:r>
    </w:p>
    <w:p>
      <w:pPr>
        <w:spacing w:after="160"/>
        <w:jc w:val="left"/>
      </w:pPr>
      <w:r>
        <w:rPr>
          <w:rFonts w:ascii="Calibri" w:cs="Calibri" w:eastAsia="Calibri" w:hAnsi="Calibri"/>
          <w:b w:val="false"/>
          <w:bCs w:val="false"/>
          <w:i w:val="false"/>
          <w:iCs w:val="false"/>
          <w:sz w:val="22"/>
          <w:szCs w:val="22"/>
        </w:rPr>
        <w:t xml:space="preserve">Un ingeniero de Kodak, Steven Sasson, construyó la primera cámara digital funcional en 1975, dentro de la propia Kodak. La reacción registrada de la gerencia: "cute — but don't tell anyone about it." Kodak se declaró en bancarrota en 2012.</w:t>
      </w:r>
    </w:p>
    <w:p>
      <w:pPr>
        <w:pBdr>
          <w:left w:val="single" w:color="1F3864" w:sz="12" w:space="8"/>
        </w:pBdr>
        <w:spacing w:after="200" w:before="120"/>
        <w:ind w:left="560"/>
      </w:pPr>
      <w:r>
        <w:rPr>
          <w:rFonts w:ascii="Georgia" w:cs="Georgia" w:eastAsia="Georgia" w:hAnsi="Georgia"/>
          <w:i/>
          <w:iCs/>
          <w:sz w:val="26"/>
          <w:szCs w:val="26"/>
        </w:rPr>
        <w:t xml:space="preserve">"Kodak didn't fail to see the future. It built a system that couldn't afford to."</w:t>
      </w:r>
    </w:p>
    <w:p>
      <w:pPr>
        <w:pStyle w:val="Heading2"/>
        <w:spacing w:after="150" w:before="300"/>
      </w:pPr>
      <w:r>
        <w:t xml:space="preserve">WOW 5 — El sistema rápido también aprende</w:t>
      </w:r>
    </w:p>
    <w:p>
      <w:pPr>
        <w:spacing w:after="160"/>
        <w:jc w:val="left"/>
      </w:pPr>
      <w:r>
        <w:rPr>
          <w:rFonts w:ascii="Calibri" w:cs="Calibri" w:eastAsia="Calibri" w:hAnsi="Calibri"/>
          <w:b w:val="false"/>
          <w:bCs w:val="false"/>
          <w:i w:val="false"/>
          <w:iCs w:val="false"/>
          <w:sz w:val="22"/>
          <w:szCs w:val="22"/>
        </w:rPr>
        <w:t xml:space="preserve">Se asumía que el sistema inmunológico innato era puramente reflejo, y el adaptativo el único capaz de aprender. La investigación sobre "inmunidad entrenada" mostró que el sistema innato también se modifica por exposiciones pasadas — no por recombinación genética, sino reorganizando la arquitectura misma de la cromatina.</w:t>
      </w:r>
    </w:p>
    <w:p>
      <w:pPr>
        <w:pStyle w:val="Heading1"/>
        <w:spacing w:after="200" w:before="400"/>
      </w:pPr>
      <w:r>
        <w:t xml:space="preserve">5. Tres paradojas</w:t>
      </w:r>
    </w:p>
    <w:p>
      <w:pPr>
        <w:spacing w:after="120"/>
      </w:pPr>
      <w:r>
        <w:rPr>
          <w:rFonts w:ascii="Calibri" w:cs="Calibri" w:eastAsia="Calibri" w:hAnsi="Calibri"/>
          <w:b/>
          <w:bCs/>
          <w:sz w:val="22"/>
          <w:szCs w:val="22"/>
        </w:rPr>
        <w:t xml:space="preserve">Paradoja 1 (control): </w:t>
      </w:r>
      <w:r>
        <w:rPr>
          <w:rFonts w:ascii="Calibri" w:cs="Calibri" w:eastAsia="Calibri" w:hAnsi="Calibri"/>
          <w:sz w:val="22"/>
          <w:szCs w:val="22"/>
        </w:rPr>
        <w:t xml:space="preserve">The more precisely a plan is drawn for one future, the less prepared it leaves you for the futures you didn't draw.</w:t>
      </w:r>
    </w:p>
    <w:p>
      <w:pPr>
        <w:spacing w:after="120"/>
      </w:pPr>
      <w:r>
        <w:rPr>
          <w:rFonts w:ascii="Calibri" w:cs="Calibri" w:eastAsia="Calibri" w:hAnsi="Calibri"/>
          <w:b/>
          <w:bCs/>
          <w:sz w:val="22"/>
          <w:szCs w:val="22"/>
        </w:rPr>
        <w:t xml:space="preserve">Paradoja 2 (resiliencia vs. adaptabilidad): </w:t>
      </w:r>
      <w:r>
        <w:rPr>
          <w:rFonts w:ascii="Calibri" w:cs="Calibri" w:eastAsia="Calibri" w:hAnsi="Calibri"/>
          <w:sz w:val="22"/>
          <w:szCs w:val="22"/>
        </w:rPr>
        <w:t xml:space="preserve">A resilient system survives by returning to what it was. An adaptable one survives by refusing to.</w:t>
      </w:r>
    </w:p>
    <w:p>
      <w:pPr>
        <w:spacing w:after="120"/>
      </w:pPr>
      <w:r>
        <w:rPr>
          <w:rFonts w:ascii="Calibri" w:cs="Calibri" w:eastAsia="Calibri" w:hAnsi="Calibri"/>
          <w:b/>
          <w:bCs/>
          <w:sz w:val="22"/>
          <w:szCs w:val="22"/>
        </w:rPr>
        <w:t xml:space="preserve">Paradoja 3 (inteligencia colectiva): </w:t>
      </w:r>
      <w:r>
        <w:rPr>
          <w:rFonts w:ascii="Calibri" w:cs="Calibri" w:eastAsia="Calibri" w:hAnsi="Calibri"/>
          <w:sz w:val="22"/>
          <w:szCs w:val="22"/>
        </w:rPr>
        <w:t xml:space="preserve">The smartest individuals in a room can build the least intelligent room. (Groupthink, Janis 1972, Bahía de Cochinos.)</w:t>
      </w:r>
    </w:p>
    <w:p>
      <w:pPr>
        <w:pStyle w:val="Heading1"/>
        <w:spacing w:after="200" w:before="400"/>
      </w:pPr>
      <w:r>
        <w:t xml:space="preserve">6. Historias</w:t>
      </w:r>
    </w:p>
    <w:p>
      <w:pPr>
        <w:pStyle w:val="Heading2"/>
        <w:spacing w:after="150" w:before="300"/>
      </w:pPr>
      <w:r>
        <w:t xml:space="preserve">Tres historias emocionales / de persona</w:t>
      </w:r>
    </w:p>
    <w:p>
      <w:pPr>
        <w:pStyle w:val="ListParagraph"/>
        <w:numPr>
          <w:ilvl w:val="0"/>
          <w:numId w:val="1"/>
        </w:numPr>
        <w:spacing w:after="100"/>
      </w:pPr>
      <w:r>
        <w:rPr>
          <w:rFonts w:ascii="Calibri" w:cs="Calibri" w:eastAsia="Calibri" w:hAnsi="Calibri"/>
          <w:sz w:val="22"/>
          <w:szCs w:val="22"/>
        </w:rPr>
        <w:t xml:space="preserve">Hilo conductor: Ernest Shackleton — de explorador con un objetivo fijo a líder que redefine el éxito en tiempo real.</w:t>
      </w:r>
    </w:p>
    <w:p>
      <w:pPr>
        <w:pStyle w:val="ListParagraph"/>
        <w:numPr>
          <w:ilvl w:val="0"/>
          <w:numId w:val="1"/>
        </w:numPr>
        <w:spacing w:after="100"/>
      </w:pPr>
      <w:r>
        <w:rPr>
          <w:rFonts w:ascii="Calibri" w:cs="Calibri" w:eastAsia="Calibri" w:hAnsi="Calibri"/>
          <w:sz w:val="22"/>
          <w:szCs w:val="22"/>
        </w:rPr>
        <w:t xml:space="preserve">Ali Mahlodji — abandonó la escuela, contexto familiar de refugiados, reconstruyó su identidad varias veces hasta fundar una empresa de orientación profesional (Acto IV).</w:t>
      </w:r>
    </w:p>
    <w:p>
      <w:pPr>
        <w:pStyle w:val="ListParagraph"/>
        <w:numPr>
          <w:ilvl w:val="0"/>
          <w:numId w:val="1"/>
        </w:numPr>
        <w:spacing w:after="100"/>
      </w:pPr>
      <w:r>
        <w:rPr>
          <w:rFonts w:ascii="Calibri" w:cs="Calibri" w:eastAsia="Calibri" w:hAnsi="Calibri"/>
          <w:sz w:val="22"/>
          <w:szCs w:val="22"/>
        </w:rPr>
        <w:t xml:space="preserve">Los 33 mineros de la mina San José, Chile, 2010 — 69 días atrapados a 700 metros bajo tierra; autoorganización de roles y racionamiento bajo tierra, coordinación distribuida con el equipo de rescate en superficie (Acto V).</w:t>
      </w:r>
    </w:p>
    <w:p>
      <w:pPr>
        <w:pStyle w:val="Heading2"/>
        <w:spacing w:after="150" w:before="300"/>
      </w:pPr>
      <w:r>
        <w:t xml:space="preserve">Tres historias de sistemas naturales</w:t>
      </w:r>
    </w:p>
    <w:p>
      <w:pPr>
        <w:pStyle w:val="ListParagraph"/>
        <w:numPr>
          <w:ilvl w:val="0"/>
          <w:numId w:val="1"/>
        </w:numPr>
        <w:spacing w:after="100"/>
      </w:pPr>
      <w:r>
        <w:rPr>
          <w:rFonts w:ascii="Calibri" w:cs="Calibri" w:eastAsia="Calibri" w:hAnsi="Calibri"/>
          <w:sz w:val="22"/>
          <w:szCs w:val="22"/>
        </w:rPr>
        <w:t xml:space="preserve">Bandadas de estorninos — correlación de escala libre, coordinación sin líder (Acto III).</w:t>
      </w:r>
    </w:p>
    <w:p>
      <w:pPr>
        <w:pStyle w:val="ListParagraph"/>
        <w:numPr>
          <w:ilvl w:val="0"/>
          <w:numId w:val="1"/>
        </w:numPr>
        <w:spacing w:after="100"/>
      </w:pPr>
      <w:r>
        <w:rPr>
          <w:rFonts w:ascii="Calibri" w:cs="Calibri" w:eastAsia="Calibri" w:hAnsi="Calibri"/>
          <w:sz w:val="22"/>
          <w:szCs w:val="22"/>
        </w:rPr>
        <w:t xml:space="preserve">Redes micorrízicas / "árboles madre" (investigación de Suzanne Simard, UBC) — interdependencia bajo tierra en un bosque (Acto III).</w:t>
      </w:r>
    </w:p>
    <w:p>
      <w:pPr>
        <w:pStyle w:val="ListParagraph"/>
        <w:numPr>
          <w:ilvl w:val="0"/>
          <w:numId w:val="1"/>
        </w:numPr>
        <w:spacing w:after="100"/>
      </w:pPr>
      <w:r>
        <w:rPr>
          <w:rFonts w:ascii="Calibri" w:cs="Calibri" w:eastAsia="Calibri" w:hAnsi="Calibri"/>
          <w:sz w:val="22"/>
          <w:szCs w:val="22"/>
        </w:rPr>
        <w:t xml:space="preserve">Physarum polycephalum recreando la red ferroviaria de Tokio, más estigmergia en hormigas — inteligencia sin cerebro central (Acto III).</w:t>
      </w:r>
    </w:p>
    <w:p>
      <w:pPr>
        <w:pStyle w:val="Heading1"/>
        <w:spacing w:after="200" w:before="400"/>
      </w:pPr>
      <w:r>
        <w:t xml:space="preserve">7. Cinco preguntas poderosas</w:t>
      </w:r>
    </w:p>
    <w:p>
      <w:pPr>
        <w:pStyle w:val="ListParagraph"/>
        <w:numPr>
          <w:ilvl w:val="0"/>
          <w:numId w:val="1"/>
        </w:numPr>
        <w:spacing w:after="100"/>
      </w:pPr>
      <w:r>
        <w:rPr>
          <w:rFonts w:ascii="Calibri" w:cs="Calibri" w:eastAsia="Calibri" w:hAnsi="Calibri"/>
          <w:sz w:val="22"/>
          <w:szCs w:val="22"/>
        </w:rPr>
        <w:t xml:space="preserve">What would you do differently tomorrow if you knew — for certain — that your five-year plan will not survive contact with reality?</w:t>
      </w:r>
    </w:p>
    <w:p>
      <w:pPr>
        <w:pStyle w:val="ListParagraph"/>
        <w:numPr>
          <w:ilvl w:val="0"/>
          <w:numId w:val="1"/>
        </w:numPr>
        <w:spacing w:after="100"/>
      </w:pPr>
      <w:r>
        <w:rPr>
          <w:rFonts w:ascii="Calibri" w:cs="Calibri" w:eastAsia="Calibri" w:hAnsi="Calibri"/>
          <w:sz w:val="22"/>
          <w:szCs w:val="22"/>
        </w:rPr>
        <w:t xml:space="preserve">In your organization, when something unexpected happens at the edge, how long before that information reaches someone who can act on it?</w:t>
      </w:r>
    </w:p>
    <w:p>
      <w:pPr>
        <w:pStyle w:val="ListParagraph"/>
        <w:numPr>
          <w:ilvl w:val="0"/>
          <w:numId w:val="1"/>
        </w:numPr>
        <w:spacing w:after="100"/>
      </w:pPr>
      <w:r>
        <w:rPr>
          <w:rFonts w:ascii="Calibri" w:cs="Calibri" w:eastAsia="Calibri" w:hAnsi="Calibri"/>
          <w:sz w:val="22"/>
          <w:szCs w:val="22"/>
        </w:rPr>
        <w:t xml:space="preserve">Is your team activating everyone's intelligence, or just protecting everyone's silence?</w:t>
      </w:r>
    </w:p>
    <w:p>
      <w:pPr>
        <w:pStyle w:val="ListParagraph"/>
        <w:numPr>
          <w:ilvl w:val="0"/>
          <w:numId w:val="1"/>
        </w:numPr>
        <w:spacing w:after="100"/>
      </w:pPr>
      <w:r>
        <w:rPr>
          <w:rFonts w:ascii="Calibri" w:cs="Calibri" w:eastAsia="Calibri" w:hAnsi="Calibri"/>
          <w:sz w:val="22"/>
          <w:szCs w:val="22"/>
        </w:rPr>
        <w:t xml:space="preserve">If your organization had to become something else to survive, would it know how — or would it only know how to survive as what it already is?</w:t>
      </w:r>
    </w:p>
    <w:p>
      <w:pPr>
        <w:pStyle w:val="ListParagraph"/>
        <w:numPr>
          <w:ilvl w:val="0"/>
          <w:numId w:val="1"/>
        </w:numPr>
        <w:spacing w:after="100"/>
      </w:pPr>
      <w:r>
        <w:rPr>
          <w:rFonts w:ascii="Calibri" w:cs="Calibri" w:eastAsia="Calibri" w:hAnsi="Calibri"/>
          <w:sz w:val="22"/>
          <w:szCs w:val="22"/>
        </w:rPr>
        <w:t xml:space="preserve">What is the difference, in your own life, between a year you got through and a year that changed you?</w:t>
      </w:r>
    </w:p>
    <w:p>
      <w:pPr>
        <w:pStyle w:val="Heading1"/>
        <w:spacing w:after="200" w:before="400"/>
      </w:pPr>
      <w:r>
        <w:t xml:space="preserve">8. Cinco frases memorables (sin atribución en escena)</w:t>
      </w:r>
    </w:p>
    <w:p>
      <w:pPr>
        <w:pStyle w:val="ListParagraph"/>
        <w:numPr>
          <w:ilvl w:val="0"/>
          <w:numId w:val="1"/>
        </w:numPr>
        <w:spacing w:after="100"/>
      </w:pPr>
      <w:r>
        <w:rPr>
          <w:rFonts w:ascii="Calibri" w:cs="Calibri" w:eastAsia="Calibri" w:hAnsi="Calibri"/>
          <w:sz w:val="22"/>
          <w:szCs w:val="22"/>
        </w:rPr>
        <w:t xml:space="preserve">Control is a plan for one future. Adaptability is a capacity for any future.</w:t>
      </w:r>
    </w:p>
    <w:p>
      <w:pPr>
        <w:pStyle w:val="ListParagraph"/>
        <w:numPr>
          <w:ilvl w:val="0"/>
          <w:numId w:val="1"/>
        </w:numPr>
        <w:spacing w:after="100"/>
      </w:pPr>
      <w:r>
        <w:rPr>
          <w:rFonts w:ascii="Calibri" w:cs="Calibri" w:eastAsia="Calibri" w:hAnsi="Calibri"/>
          <w:sz w:val="22"/>
          <w:szCs w:val="22"/>
        </w:rPr>
        <w:t xml:space="preserve">A system that cannot change its mind cannot change its outcome.</w:t>
      </w:r>
    </w:p>
    <w:p>
      <w:pPr>
        <w:pStyle w:val="ListParagraph"/>
        <w:numPr>
          <w:ilvl w:val="0"/>
          <w:numId w:val="1"/>
        </w:numPr>
        <w:spacing w:after="100"/>
      </w:pPr>
      <w:r>
        <w:rPr>
          <w:rFonts w:ascii="Calibri" w:cs="Calibri" w:eastAsia="Calibri" w:hAnsi="Calibri"/>
          <w:sz w:val="22"/>
          <w:szCs w:val="22"/>
        </w:rPr>
        <w:t xml:space="preserve">A forest is not a group of trees that succeeded alone. It is a network that agreed to fail together less often.</w:t>
      </w:r>
    </w:p>
    <w:p>
      <w:pPr>
        <w:pStyle w:val="ListParagraph"/>
        <w:numPr>
          <w:ilvl w:val="0"/>
          <w:numId w:val="1"/>
        </w:numPr>
        <w:spacing w:after="100"/>
      </w:pPr>
      <w:r>
        <w:rPr>
          <w:rFonts w:ascii="Calibri" w:cs="Calibri" w:eastAsia="Calibri" w:hAnsi="Calibri"/>
          <w:sz w:val="22"/>
          <w:szCs w:val="22"/>
        </w:rPr>
        <w:t xml:space="preserve">Resilience brings you back. Adaptability takes you somewhere you have not been.</w:t>
      </w:r>
    </w:p>
    <w:p>
      <w:pPr>
        <w:pStyle w:val="ListParagraph"/>
        <w:numPr>
          <w:ilvl w:val="0"/>
          <w:numId w:val="1"/>
        </w:numPr>
        <w:spacing w:after="100"/>
      </w:pPr>
      <w:r>
        <w:rPr>
          <w:rFonts w:ascii="Calibri" w:cs="Calibri" w:eastAsia="Calibri" w:hAnsi="Calibri"/>
          <w:sz w:val="22"/>
          <w:szCs w:val="22"/>
        </w:rPr>
        <w:t xml:space="preserve">The future does not ask to be predicted. It asks to be met.</w:t>
      </w:r>
    </w:p>
    <w:p>
      <w:pPr>
        <w:pStyle w:val="Heading1"/>
        <w:spacing w:after="200" w:before="400"/>
      </w:pPr>
      <w:r>
        <w:t xml:space="preserve">9. El momento goosebumps</w:t>
      </w:r>
    </w:p>
    <w:p>
      <w:pPr>
        <w:spacing w:after="160"/>
        <w:jc w:val="left"/>
      </w:pPr>
      <w:r>
        <w:rPr>
          <w:rFonts w:ascii="Calibri" w:cs="Calibri" w:eastAsia="Calibri" w:hAnsi="Calibri"/>
          <w:b w:val="false"/>
          <w:bCs w:val="false"/>
          <w:i w:val="false"/>
          <w:iCs w:val="false"/>
          <w:sz w:val="22"/>
          <w:szCs w:val="22"/>
        </w:rPr>
        <w:t xml:space="preserve">Ubicado en el Acto IX, Slides 28-29. No es una estadística ni una definición: es la revelación de que ningún fragmento del plan original de la expedición sobrevivió — ni la ruta, ni el cronograma, ni el objetivo — y sin embargo los 28 hombres sí. La paradoja resignifica retroactivamente todo lo dicho sobre sensar, interpretar, experimentar, aprender y reconfigurar: no fueron pasos de un framework corporativo, fueron, literalmente, cómo un grupo de personas se mantuvo con vida.</w:t>
      </w:r>
    </w:p>
    <w:p>
      <w:pPr>
        <w:pBdr>
          <w:left w:val="single" w:color="1F3864" w:sz="12" w:space="8"/>
        </w:pBdr>
        <w:spacing w:after="200" w:before="120"/>
        <w:ind w:left="560"/>
      </w:pPr>
      <w:r>
        <w:rPr>
          <w:rFonts w:ascii="Georgia" w:cs="Georgia" w:eastAsia="Georgia" w:hAnsi="Georgia"/>
          <w:i/>
          <w:iCs/>
          <w:sz w:val="26"/>
          <w:szCs w:val="26"/>
        </w:rPr>
        <w:t xml:space="preserve">"Not one page of the plan survived. Every single man came home."</w:t>
      </w:r>
    </w:p>
    <w:p>
      <w:pPr>
        <w:pStyle w:val="Heading1"/>
        <w:spacing w:after="200" w:before="400"/>
      </w:pPr>
      <w:r>
        <w:t xml:space="preserve">10. El cierre</w:t>
      </w:r>
    </w:p>
    <w:p>
      <w:pPr>
        <w:spacing w:after="160"/>
        <w:jc w:val="left"/>
      </w:pPr>
      <w:r>
        <w:rPr>
          <w:rFonts w:ascii="Calibri" w:cs="Calibri" w:eastAsia="Calibri" w:hAnsi="Calibri"/>
          <w:b w:val="false"/>
          <w:bCs w:val="false"/>
          <w:i w:val="false"/>
          <w:iCs w:val="false"/>
          <w:sz w:val="22"/>
          <w:szCs w:val="22"/>
        </w:rPr>
        <w:t xml:space="preserve">La imagen final es la misma agua abierta entre los hielos por la que pudo pasar un bote pequeño — el hueco, no el obstáculo. El cierre conecta explícitamente los tres planos y el futuro:</w:t>
      </w:r>
    </w:p>
    <w:p>
      <w:pPr>
        <w:spacing w:after="160"/>
        <w:jc w:val="left"/>
      </w:pPr>
      <w:r>
        <w:rPr>
          <w:rFonts w:ascii="Calibri" w:cs="Calibri" w:eastAsia="Calibri" w:hAnsi="Calibri"/>
          <w:b w:val="false"/>
          <w:bCs w:val="false"/>
          <w:i w:val="false"/>
          <w:iCs w:val="false"/>
          <w:sz w:val="22"/>
          <w:szCs w:val="22"/>
        </w:rPr>
        <w:t xml:space="preserve">Persona → Equipo → Organización → Futuro.</w:t>
      </w:r>
    </w:p>
    <w:p>
      <w:pPr>
        <w:pBdr>
          <w:left w:val="single" w:color="1F3864" w:sz="12" w:space="8"/>
        </w:pBdr>
        <w:spacing w:after="200" w:before="120"/>
        <w:ind w:left="560"/>
      </w:pPr>
      <w:r>
        <w:rPr>
          <w:rFonts w:ascii="Georgia" w:cs="Georgia" w:eastAsia="Georgia" w:hAnsi="Georgia"/>
          <w:i/>
          <w:iCs/>
          <w:sz w:val="26"/>
          <w:szCs w:val="26"/>
        </w:rPr>
        <w:t xml:space="preserve">"We cannot decide what the future will bring. We can decide who will be standing there to meet it."</w:t>
      </w:r>
    </w:p>
    <w:p>
      <w:pPr>
        <w:spacing w:after="160"/>
        <w:jc w:val="left"/>
      </w:pPr>
      <w:r>
        <w:rPr>
          <w:rFonts w:ascii="Calibri" w:cs="Calibri" w:eastAsia="Calibri" w:hAnsi="Calibri"/>
          <w:b w:val="false"/>
          <w:bCs w:val="false"/>
          <w:i w:val="false"/>
          <w:iCs w:val="false"/>
          <w:sz w:val="22"/>
          <w:szCs w:val="22"/>
        </w:rPr>
        <w:t xml:space="preserve">Después de esa línea: silencio. No hay logo, no hay llamada a la acción, no hay bullet de cierre. La imagen se sostiene sola.</w:t>
      </w:r>
    </w:p>
    <w:p>
      <w:pPr>
        <w:pStyle w:val="Heading1"/>
        <w:spacing w:after="200" w:before="400"/>
      </w:pPr>
      <w:r>
        <w:t xml:space="preserve">11. Test definitivo</w:t>
      </w:r>
    </w:p>
    <w:p>
      <w:pPr>
        <w:spacing w:after="120"/>
      </w:pPr>
      <w:r>
        <w:rPr>
          <w:rFonts w:ascii="Calibri" w:cs="Calibri" w:eastAsia="Calibri" w:hAnsi="Calibri"/>
          <w:b/>
          <w:bCs/>
          <w:sz w:val="22"/>
          <w:szCs w:val="22"/>
        </w:rPr>
        <w:t xml:space="preserve">¿Cuál es la tesis en una sola frase?: </w:t>
      </w:r>
      <w:r>
        <w:rPr>
          <w:rFonts w:ascii="Calibri" w:cs="Calibri" w:eastAsia="Calibri" w:hAnsi="Calibri"/>
          <w:sz w:val="22"/>
          <w:szCs w:val="22"/>
        </w:rPr>
        <w:t xml:space="preserve">El futuro no puede predecirse; solo puede encontrarse — y esa capacidad de encontrarlo bien es algo que las personas, los equipos y las organizaciones pueden construir deliberadamente.</w:t>
      </w:r>
    </w:p>
    <w:p>
      <w:pPr>
        <w:spacing w:after="120"/>
      </w:pPr>
      <w:r>
        <w:rPr>
          <w:rFonts w:ascii="Calibri" w:cs="Calibri" w:eastAsia="Calibri" w:hAnsi="Calibri"/>
          <w:b/>
          <w:bCs/>
          <w:sz w:val="22"/>
          <w:szCs w:val="22"/>
        </w:rPr>
        <w:t xml:space="preserve">¿Cuál es la historia que sostiene la keynote?: </w:t>
      </w:r>
      <w:r>
        <w:rPr>
          <w:rFonts w:ascii="Calibri" w:cs="Calibri" w:eastAsia="Calibri" w:hAnsi="Calibri"/>
          <w:sz w:val="22"/>
          <w:szCs w:val="22"/>
        </w:rPr>
        <w:t xml:space="preserve">La expedición Endurance de Shackleton: el plan murió con el barco; las personas no.</w:t>
      </w:r>
    </w:p>
    <w:p>
      <w:pPr>
        <w:spacing w:after="120"/>
      </w:pPr>
      <w:r>
        <w:rPr>
          <w:rFonts w:ascii="Calibri" w:cs="Calibri" w:eastAsia="Calibri" w:hAnsi="Calibri"/>
          <w:b/>
          <w:bCs/>
          <w:sz w:val="22"/>
          <w:szCs w:val="22"/>
        </w:rPr>
        <w:t xml:space="preserve">¿Cuál es el momento WOW principal?: </w:t>
      </w:r>
      <w:r>
        <w:rPr>
          <w:rFonts w:ascii="Calibri" w:cs="Calibri" w:eastAsia="Calibri" w:hAnsi="Calibri"/>
          <w:sz w:val="22"/>
          <w:szCs w:val="22"/>
        </w:rPr>
        <w:t xml:space="preserve">El factor de inteligencia colectiva de Woolley — la sala más inteligente no es la que tiene a las personas más inteligentes.</w:t>
      </w:r>
    </w:p>
    <w:p>
      <w:pPr>
        <w:spacing w:after="120"/>
      </w:pPr>
      <w:r>
        <w:rPr>
          <w:rFonts w:ascii="Calibri" w:cs="Calibri" w:eastAsia="Calibri" w:hAnsi="Calibri"/>
          <w:b/>
          <w:bCs/>
          <w:sz w:val="22"/>
          <w:szCs w:val="22"/>
        </w:rPr>
        <w:t xml:space="preserve">¿Cuál es el momento emocional?: </w:t>
      </w:r>
      <w:r>
        <w:rPr>
          <w:rFonts w:ascii="Calibri" w:cs="Calibri" w:eastAsia="Calibri" w:hAnsi="Calibri"/>
          <w:sz w:val="22"/>
          <w:szCs w:val="22"/>
        </w:rPr>
        <w:t xml:space="preserve">El regreso al hilo conductor en el Acto IX: ningún fragmento del plan sobrevivió, los 28 hombres sí.</w:t>
      </w:r>
    </w:p>
    <w:p>
      <w:pPr>
        <w:spacing w:after="120"/>
      </w:pPr>
      <w:r>
        <w:rPr>
          <w:rFonts w:ascii="Calibri" w:cs="Calibri" w:eastAsia="Calibri" w:hAnsi="Calibri"/>
          <w:b/>
          <w:bCs/>
          <w:sz w:val="22"/>
          <w:szCs w:val="22"/>
        </w:rPr>
        <w:t xml:space="preserve">¿Cuál es la idea que el público recordará seis meses después?: </w:t>
      </w:r>
      <w:r>
        <w:rPr>
          <w:rFonts w:ascii="Calibri" w:cs="Calibri" w:eastAsia="Calibri" w:hAnsi="Calibri"/>
          <w:sz w:val="22"/>
          <w:szCs w:val="22"/>
        </w:rPr>
        <w:t xml:space="preserve">Que la adaptabilidad no es una virtud individual sino una capacidad que se diseña — en una persona, en un equipo, en un sistema — y que planificar más no es lo mismo que adaptarse mejor.</w:t>
      </w:r>
    </w:p>
    <w:p>
      <w:pPr>
        <w:spacing w:after="120"/>
      </w:pPr>
      <w:r>
        <w:rPr>
          <w:rFonts w:ascii="Calibri" w:cs="Calibri" w:eastAsia="Calibri" w:hAnsi="Calibri"/>
          <w:b/>
          <w:bCs/>
          <w:sz w:val="22"/>
          <w:szCs w:val="22"/>
        </w:rPr>
        <w:t xml:space="preserve">¿Cuál es la última imagen?: </w:t>
      </w:r>
      <w:r>
        <w:rPr>
          <w:rFonts w:ascii="Calibri" w:cs="Calibri" w:eastAsia="Calibri" w:hAnsi="Calibri"/>
          <w:sz w:val="22"/>
          <w:szCs w:val="22"/>
        </w:rPr>
        <w:t xml:space="preserve">Agua abierta en el borde del hielo antártico — la brecha por la que pasó el bote, no el hielo que lo detuvo.</w:t>
      </w:r>
    </w:p>
    <w:p>
      <w:pPr>
        <w:spacing w:after="120"/>
      </w:pPr>
      <w:r>
        <w:rPr>
          <w:rFonts w:ascii="Calibri" w:cs="Calibri" w:eastAsia="Calibri" w:hAnsi="Calibri"/>
          <w:b/>
          <w:bCs/>
          <w:sz w:val="22"/>
          <w:szCs w:val="22"/>
        </w:rPr>
        <w:t xml:space="preserve">¿Cuál es la última frase?: </w:t>
      </w:r>
      <w:r>
        <w:rPr>
          <w:rFonts w:ascii="Calibri" w:cs="Calibri" w:eastAsia="Calibri" w:hAnsi="Calibri"/>
          <w:sz w:val="22"/>
          <w:szCs w:val="22"/>
        </w:rPr>
        <w:t xml:space="preserve">"We cannot decide what the future will bring. We can decide who will be standing there to meet it."</w:t>
      </w:r>
    </w:p>
    <w:p>
      <w:pPr>
        <w:pStyle w:val="Heading1"/>
        <w:spacing w:after="200" w:before="400"/>
      </w:pPr>
      <w:r>
        <w:t xml:space="preserve">12. Notas de producción</w:t>
      </w:r>
    </w:p>
    <w:p>
      <w:pPr>
        <w:spacing w:after="160"/>
        <w:jc w:val="left"/>
      </w:pPr>
      <w:r>
        <w:rPr>
          <w:rFonts w:ascii="Calibri" w:cs="Calibri" w:eastAsia="Calibri" w:hAnsi="Calibri"/>
          <w:b w:val="false"/>
          <w:bCs w:val="false"/>
          <w:i w:val="false"/>
          <w:iCs w:val="false"/>
          <w:sz w:val="22"/>
          <w:szCs w:val="22"/>
        </w:rPr>
        <w:t xml:space="preserve">El guion completo, diapositiva por diapositiva — incluyendo texto en pantalla, imagen asignada y notas del orador — vive en Bioadaptability_Keynote.pptx (notas del orador en cada diapositiva). La base de datos de investigación con las 25 ideas evaluadas está en Bioadaptability_Research.xlsx. Las fuentes y licencias de cada imagen están en Bioadaptability_Image_Sources.xlsx.</w:t>
      </w:r>
    </w:p>
    <w:p>
      <w:pPr>
        <w:spacing w:after="160"/>
        <w:jc w:val="left"/>
      </w:pPr>
      <w:r>
        <w:rPr>
          <w:rFonts w:ascii="Calibri" w:cs="Calibri" w:eastAsia="Calibri" w:hAnsi="Calibri"/>
          <w:b w:val="false"/>
          <w:bCs w:val="false"/>
          <w:i w:val="false"/>
          <w:iCs w:val="false"/>
          <w:sz w:val="22"/>
          <w:szCs w:val="22"/>
        </w:rPr>
        <w:t xml:space="preserve">Elementos eliminados deliberadamente por el filtro de calidad: la palabra "VUCA", "agile" como cliché aislado, "resilience" sin desarrollo (se usó únicamente como término técnico contrastado con adaptabilidad), "embrace change" y variantes motivacionales genéricas, cualquier bullet de "10 características de una organización adaptable", brains digitales / robots / circuitos / estética tecnológica genérica, y fotografía de stock de "apretón de manos" o "reunión corporativa".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2026-09-01T19:10:42.515Z</dcterms:created>
  <dcterms:modified xsi:type="dcterms:W3CDTF">2026-09-01T19:10:42.515Z</dcterms:modified>
</cp:coreProperties>
</file>

<file path=docProps/custom.xml><?xml version="1.0" encoding="utf-8"?>
<Properties xmlns="http://schemas.openxmlformats.org/officeDocument/2006/custom-properties" xmlns:vt="http://schemas.openxmlformats.org/officeDocument/2006/docPropsVTypes"/>
</file>