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B1BC" w14:textId="77777777" w:rsidR="0010513A" w:rsidRDefault="0062142C">
      <w:pPr>
        <w:pStyle w:val="TitleStyle"/>
      </w:pPr>
      <w:r>
        <w:t>Materiały budowlane, w przypadku których oznacza się stężenie promieniotwórcze izotopów promieniotwórczych potasu K-40, radu Ra-226 i toru Th-232, wymagania dotyczące dokonywania tych oznaczeń oraz wartość wskaźnika stężenia promieniotwórczego, o której przekroczeniu informuje się właściwe organy.</w:t>
      </w:r>
    </w:p>
    <w:p w14:paraId="0FB3B1BD" w14:textId="77777777" w:rsidR="0010513A" w:rsidRDefault="0062142C">
      <w:pPr>
        <w:pStyle w:val="NormalStyle"/>
      </w:pPr>
      <w:r>
        <w:t>Dz.U.2021.33 z dnia 2021.01.07</w:t>
      </w:r>
    </w:p>
    <w:p w14:paraId="0FB3B1BE" w14:textId="77777777" w:rsidR="0010513A" w:rsidRDefault="0062142C">
      <w:pPr>
        <w:pStyle w:val="NormalStyle"/>
      </w:pPr>
      <w:r>
        <w:t xml:space="preserve">Status: Akt obowiązujący </w:t>
      </w:r>
    </w:p>
    <w:p w14:paraId="0FB3B1BF" w14:textId="77777777" w:rsidR="0010513A" w:rsidRDefault="0062142C">
      <w:pPr>
        <w:pStyle w:val="NormalStyle"/>
      </w:pPr>
      <w:r>
        <w:t xml:space="preserve">Wersja od: 7 lutego 2021r. </w:t>
      </w:r>
    </w:p>
    <w:p w14:paraId="0FB3B1C0" w14:textId="77777777" w:rsidR="0010513A" w:rsidRDefault="0062142C">
      <w:pPr>
        <w:spacing w:after="0"/>
      </w:pPr>
      <w:r>
        <w:br/>
      </w:r>
    </w:p>
    <w:p w14:paraId="0FB3B1C1" w14:textId="77777777" w:rsidR="0010513A" w:rsidRDefault="0062142C">
      <w:pPr>
        <w:spacing w:after="0"/>
      </w:pPr>
      <w:r>
        <w:rPr>
          <w:b/>
          <w:color w:val="000000"/>
        </w:rPr>
        <w:t>Wejście w życie:</w:t>
      </w:r>
    </w:p>
    <w:p w14:paraId="0FB3B1C2" w14:textId="77777777" w:rsidR="0010513A" w:rsidRDefault="0062142C">
      <w:pPr>
        <w:spacing w:after="150"/>
      </w:pPr>
      <w:r>
        <w:rPr>
          <w:color w:val="000000"/>
        </w:rPr>
        <w:t>7 lutego 2021 r.</w:t>
      </w:r>
    </w:p>
    <w:p w14:paraId="0FB3B1C3" w14:textId="77777777" w:rsidR="0010513A" w:rsidRDefault="0010513A">
      <w:pPr>
        <w:spacing w:after="0"/>
      </w:pPr>
    </w:p>
    <w:p w14:paraId="0FB3B1C4" w14:textId="77777777" w:rsidR="0010513A" w:rsidRDefault="0010513A">
      <w:pPr>
        <w:numPr>
          <w:ilvl w:val="0"/>
          <w:numId w:val="1"/>
        </w:numPr>
        <w:spacing w:after="0"/>
      </w:pPr>
    </w:p>
    <w:p w14:paraId="0FB3B1C5" w14:textId="77777777" w:rsidR="0010513A" w:rsidRDefault="0062142C">
      <w:pPr>
        <w:spacing w:after="0"/>
      </w:pPr>
      <w:r>
        <w:br/>
      </w:r>
    </w:p>
    <w:p w14:paraId="0FB3B1C6" w14:textId="77777777" w:rsidR="0010513A" w:rsidRDefault="0062142C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0FB3B1C7" w14:textId="77777777" w:rsidR="0010513A" w:rsidRDefault="0062142C">
      <w:pPr>
        <w:spacing w:after="0"/>
        <w:jc w:val="center"/>
      </w:pPr>
      <w:r>
        <w:rPr>
          <w:b/>
          <w:color w:val="000000"/>
        </w:rPr>
        <w:t>RADY MINISTRÓW</w:t>
      </w:r>
    </w:p>
    <w:p w14:paraId="0FB3B1C8" w14:textId="77777777" w:rsidR="0010513A" w:rsidRDefault="0062142C">
      <w:pPr>
        <w:spacing w:before="80" w:after="0"/>
        <w:jc w:val="center"/>
      </w:pPr>
      <w:r>
        <w:rPr>
          <w:b/>
          <w:color w:val="000000"/>
        </w:rPr>
        <w:t>z dnia 17 grudnia 2020 r.</w:t>
      </w:r>
    </w:p>
    <w:p w14:paraId="0FB3B1C9" w14:textId="77777777" w:rsidR="0010513A" w:rsidRDefault="0062142C">
      <w:pPr>
        <w:spacing w:before="80" w:after="0"/>
        <w:jc w:val="center"/>
      </w:pPr>
      <w:r>
        <w:rPr>
          <w:b/>
          <w:color w:val="000000"/>
        </w:rPr>
        <w:t xml:space="preserve">w sprawie materiałów budowlanych, w przypadku których oznacza się stężenie promieniotwórcze izotopów promieniotwórczych potasu K-40, radu Ra-226 i toru Th-232, wymagań dotyczących dokonywania tych oznaczeń oraz wartości wskaźnika stężenia promieniotwórczego, o której przekroczeniu informuje się właściwe organy 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 xml:space="preserve"> , </w:t>
      </w:r>
      <w:r>
        <w:rPr>
          <w:b/>
          <w:color w:val="000000"/>
          <w:vertAlign w:val="superscript"/>
        </w:rPr>
        <w:t>2</w:t>
      </w:r>
      <w:r>
        <w:rPr>
          <w:b/>
          <w:color w:val="000000"/>
        </w:rPr>
        <w:t xml:space="preserve"> </w:t>
      </w:r>
    </w:p>
    <w:p w14:paraId="0FB3B1CA" w14:textId="77777777" w:rsidR="0010513A" w:rsidRDefault="0062142C">
      <w:pPr>
        <w:spacing w:after="0"/>
      </w:pPr>
      <w:r>
        <w:rPr>
          <w:color w:val="000000"/>
        </w:rPr>
        <w:t xml:space="preserve">Na podstawie </w:t>
      </w:r>
      <w:r>
        <w:rPr>
          <w:color w:val="1B1B1B"/>
        </w:rPr>
        <w:t>art. 6b</w:t>
      </w:r>
      <w:r>
        <w:rPr>
          <w:color w:val="000000"/>
        </w:rPr>
        <w:t xml:space="preserve"> ustawy z dnia 29 listopada 2000 r. - Prawo atomowe (Dz. U. z 2019 r. poz. 1792 oraz z 2020 r. poz. 284 i 322) zarządza się, co następuje:</w:t>
      </w:r>
    </w:p>
    <w:p w14:paraId="0FB3B1CB" w14:textId="77777777" w:rsidR="0010513A" w:rsidRDefault="0062142C">
      <w:pPr>
        <w:spacing w:before="26" w:after="0"/>
      </w:pPr>
      <w:r>
        <w:rPr>
          <w:b/>
          <w:color w:val="000000"/>
        </w:rPr>
        <w:t>§  1.</w:t>
      </w:r>
      <w:r>
        <w:rPr>
          <w:color w:val="000000"/>
        </w:rPr>
        <w:t> Rozporządzenie określa:</w:t>
      </w:r>
    </w:p>
    <w:p w14:paraId="0FB3B1CC" w14:textId="77777777" w:rsidR="0010513A" w:rsidRDefault="0062142C">
      <w:pPr>
        <w:spacing w:before="26" w:after="0"/>
        <w:ind w:left="373"/>
      </w:pPr>
      <w:r>
        <w:rPr>
          <w:color w:val="000000"/>
        </w:rPr>
        <w:t>1) materiały budowlane, w których, przed ich wprowadzeniem do obrotu na terytorium Rzeczypospolitej Polskiej, oznacza się stężenie promieniotwórcze naturalnych izotopów promieniotwórczych potasu K-40, radu Ra-226 i toru Th-232;</w:t>
      </w:r>
    </w:p>
    <w:p w14:paraId="0FB3B1CD" w14:textId="77777777" w:rsidR="0010513A" w:rsidRDefault="0062142C">
      <w:pPr>
        <w:spacing w:before="26" w:after="0"/>
        <w:ind w:left="373"/>
      </w:pPr>
      <w:r>
        <w:rPr>
          <w:color w:val="000000"/>
        </w:rPr>
        <w:t>2) wymagania dotyczące dokonywania oznaczeń stężenia promieniotwórczego naturalnych izotopów promieniotwórczych potasu K-40, radu Ra-226 i toru Th-232 w materiałach budowlanych, o których mowa w pkt 1, w szczególności sposób pobierania próbek i ich pomiaru oraz czynniki uwzględniane przy interpretacji wyników pomiaru, a także sposób wyznaczania wskaźnika stężenia promieniotwórczego tych izotopów;</w:t>
      </w:r>
    </w:p>
    <w:p w14:paraId="0FB3B1CE" w14:textId="77777777" w:rsidR="0010513A" w:rsidRDefault="0062142C">
      <w:pPr>
        <w:spacing w:before="26" w:after="0"/>
        <w:ind w:left="373"/>
      </w:pPr>
      <w:r>
        <w:rPr>
          <w:color w:val="000000"/>
        </w:rPr>
        <w:t>3) wartość wskaźnika stężenia promieniotwórczego naturalnych izotopów promieniotwórczych potasu K-40, radu Ra-226 i tor Th-232 w materiałach budowlanych, o których mowa w pkt 1, przekroczenie której wymaga poinformowania organów nadzoru budowlanego.</w:t>
      </w:r>
    </w:p>
    <w:p w14:paraId="0FB3B1CF" w14:textId="77777777" w:rsidR="0010513A" w:rsidRDefault="0062142C">
      <w:pPr>
        <w:spacing w:before="26" w:after="240"/>
      </w:pPr>
      <w:r>
        <w:rPr>
          <w:b/>
          <w:color w:val="000000"/>
        </w:rPr>
        <w:t>§  2.</w:t>
      </w:r>
      <w:r>
        <w:rPr>
          <w:color w:val="000000"/>
        </w:rPr>
        <w:t xml:space="preserve"> </w:t>
      </w:r>
      <w:r>
        <w:rPr>
          <w:b/>
          <w:color w:val="000000"/>
        </w:rPr>
        <w:t> </w:t>
      </w:r>
      <w:r>
        <w:rPr>
          <w:color w:val="000000"/>
        </w:rPr>
        <w:t>Materiały budowlane, w których, przed ich wprowadzeniem do obrotu na terytorium Rzeczypospolitej Polskiej, oznacza się stężenie promieniotwórcze izotopów promieniotwórczych potasu K-40, radu Ra-226 i toru Th-232, określa załącznik do rozporządzenia.</w:t>
      </w:r>
    </w:p>
    <w:p w14:paraId="0FB3B1D0" w14:textId="77777777" w:rsidR="0010513A" w:rsidRDefault="0062142C">
      <w:pPr>
        <w:spacing w:before="26" w:after="0"/>
      </w:pPr>
      <w:r>
        <w:rPr>
          <w:b/>
          <w:color w:val="000000"/>
        </w:rPr>
        <w:t>§  3.</w:t>
      </w:r>
    </w:p>
    <w:p w14:paraId="0FB3B1D1" w14:textId="77777777" w:rsidR="0010513A" w:rsidRDefault="0062142C">
      <w:pPr>
        <w:spacing w:before="26" w:after="0"/>
      </w:pPr>
      <w:r>
        <w:rPr>
          <w:color w:val="000000"/>
        </w:rPr>
        <w:lastRenderedPageBreak/>
        <w:t>1. Pobieranie próbek w celu dokonania oznaczeń stężenia promieniotwórczego naturalnych izotopów promieniotwórczych potasu K-40, radu Ra-226 i toru Th-232 w materiałach budowlanych przeprowadza się z częstotliwością uzależnioną od procesu technologicznego w sposób zapewniający reprezentatywność tych próbek.</w:t>
      </w:r>
    </w:p>
    <w:p w14:paraId="0FB3B1D2" w14:textId="77777777" w:rsidR="0010513A" w:rsidRDefault="0062142C">
      <w:pPr>
        <w:spacing w:before="26" w:after="0"/>
      </w:pPr>
      <w:r>
        <w:rPr>
          <w:color w:val="000000"/>
        </w:rPr>
        <w:t>2.</w:t>
      </w:r>
      <w:r>
        <w:rPr>
          <w:color w:val="000000"/>
        </w:rPr>
        <w:t> Materiał budowlany, w którym dokonuje się oznaczeń, przed umieszczeniem w naczyniu pomiarowym wysusza się do suchej masy i rozdrabnia do wymiaru ziaren poniżej 2 mm.</w:t>
      </w:r>
    </w:p>
    <w:p w14:paraId="0FB3B1D3" w14:textId="77777777" w:rsidR="0010513A" w:rsidRDefault="0062142C">
      <w:pPr>
        <w:spacing w:before="26" w:after="0"/>
      </w:pPr>
      <w:r>
        <w:rPr>
          <w:color w:val="000000"/>
        </w:rPr>
        <w:t>3. Jeżeli oznaczanie zawartości radu Ra-226 w próbce odbywa się przez oznaczanie stężeń promieniotwórczych produktów jego rozpadu, przed rozpoczęciem pomiaru naczynie pomiarowe z próbką utrzymuje się szczelnie zamknięte przez okres nie krótszy niż 14 dni.</w:t>
      </w:r>
    </w:p>
    <w:p w14:paraId="0FB3B1D4" w14:textId="77777777" w:rsidR="0010513A" w:rsidRDefault="0062142C">
      <w:pPr>
        <w:spacing w:before="26" w:after="0"/>
      </w:pPr>
      <w:r>
        <w:rPr>
          <w:color w:val="000000"/>
        </w:rPr>
        <w:t>4. Skład mineralny i poziom stężenia naturalnych izotopów promieniotwórczych we wzorcach odniesienia używanych do kalibracji pomiarów odpowiada kontrolowanym materiałom budowlanym.</w:t>
      </w:r>
    </w:p>
    <w:p w14:paraId="0FB3B1D5" w14:textId="77777777" w:rsidR="0010513A" w:rsidRDefault="0062142C">
      <w:pPr>
        <w:spacing w:before="26" w:after="0"/>
      </w:pPr>
      <w:r>
        <w:rPr>
          <w:color w:val="000000"/>
        </w:rPr>
        <w:t>5. Przy interpretacji wyników pomiarów uwzględnia się:</w:t>
      </w:r>
    </w:p>
    <w:p w14:paraId="0FB3B1D6" w14:textId="77777777" w:rsidR="0010513A" w:rsidRDefault="0062142C">
      <w:pPr>
        <w:spacing w:before="26" w:after="0"/>
        <w:ind w:left="373"/>
      </w:pPr>
      <w:r>
        <w:rPr>
          <w:color w:val="000000"/>
        </w:rPr>
        <w:t>1) tło promieniowania niepochodzącego od mierzonej próbki;</w:t>
      </w:r>
    </w:p>
    <w:p w14:paraId="0FB3B1D7" w14:textId="77777777" w:rsidR="0010513A" w:rsidRDefault="0062142C">
      <w:pPr>
        <w:spacing w:before="26" w:after="0"/>
        <w:ind w:left="373"/>
      </w:pPr>
      <w:r>
        <w:rPr>
          <w:color w:val="000000"/>
        </w:rPr>
        <w:t>2) wpływ promieniowania obecnych w próbce izotopów innych niż mierzone;</w:t>
      </w:r>
    </w:p>
    <w:p w14:paraId="0FB3B1D8" w14:textId="77777777" w:rsidR="0010513A" w:rsidRDefault="0062142C">
      <w:pPr>
        <w:spacing w:before="26" w:after="0"/>
        <w:ind w:left="373"/>
      </w:pPr>
      <w:r>
        <w:rPr>
          <w:color w:val="000000"/>
        </w:rPr>
        <w:t xml:space="preserve">3) efekt </w:t>
      </w:r>
      <w:proofErr w:type="spellStart"/>
      <w:r>
        <w:rPr>
          <w:color w:val="000000"/>
        </w:rPr>
        <w:t>samoabsorpcji</w:t>
      </w:r>
      <w:proofErr w:type="spellEnd"/>
      <w:r>
        <w:rPr>
          <w:color w:val="000000"/>
        </w:rPr>
        <w:t xml:space="preserve"> promieniowania w próbce;</w:t>
      </w:r>
    </w:p>
    <w:p w14:paraId="0FB3B1D9" w14:textId="77777777" w:rsidR="0010513A" w:rsidRDefault="0062142C">
      <w:pPr>
        <w:spacing w:before="26" w:after="0"/>
        <w:ind w:left="373"/>
      </w:pPr>
      <w:r>
        <w:rPr>
          <w:color w:val="000000"/>
        </w:rPr>
        <w:t>4) brak równowagi wiekowej pomiędzy izotopami promieniotwórczymi.</w:t>
      </w:r>
    </w:p>
    <w:p w14:paraId="0FB3B1DA" w14:textId="77777777" w:rsidR="0010513A" w:rsidRDefault="0062142C">
      <w:pPr>
        <w:spacing w:before="26" w:after="0"/>
      </w:pPr>
      <w:r>
        <w:rPr>
          <w:b/>
          <w:color w:val="000000"/>
        </w:rPr>
        <w:t>§  4.</w:t>
      </w:r>
      <w:r>
        <w:rPr>
          <w:color w:val="000000"/>
        </w:rPr>
        <w:t xml:space="preserve"> </w:t>
      </w:r>
      <w:r>
        <w:rPr>
          <w:b/>
          <w:color w:val="000000"/>
        </w:rPr>
        <w:t> </w:t>
      </w:r>
      <w:r>
        <w:rPr>
          <w:color w:val="000000"/>
        </w:rPr>
        <w:t>Wskaźnik stężenia promieniotwórczego izotopów promieniotwórczych potasu K-40, radu Ra-226 i toru Th-232 (wskaźnik I) wyznacza się według wzoru:</w:t>
      </w:r>
    </w:p>
    <w:p w14:paraId="0FB3B1DB" w14:textId="77777777" w:rsidR="0010513A" w:rsidRDefault="0062142C">
      <w:pPr>
        <w:spacing w:before="25" w:after="0"/>
      </w:pPr>
      <w:r>
        <w:rPr>
          <w:color w:val="000000"/>
        </w:rPr>
        <w:t xml:space="preserve"> </w:t>
      </w:r>
      <w:r>
        <w:rPr>
          <w:noProof/>
        </w:rPr>
        <w:drawing>
          <wp:inline distT="0" distB="0" distL="0" distR="0" wp14:anchorId="0FB3B1FD" wp14:editId="0FB3B1FE">
            <wp:extent cx="3479800" cy="495300"/>
            <wp:effectExtent l="0" t="0" r="0" b="0"/>
            <wp:docPr id="231065098" name="Obraz 23106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0FB3B1DC" w14:textId="77777777" w:rsidR="0010513A" w:rsidRDefault="0062142C">
      <w:pPr>
        <w:spacing w:before="25" w:after="0"/>
      </w:pPr>
      <w:r>
        <w:rPr>
          <w:color w:val="000000"/>
        </w:rPr>
        <w:t>gdzie:</w:t>
      </w:r>
    </w:p>
    <w:p w14:paraId="0FB3B1DD" w14:textId="77777777" w:rsidR="0010513A" w:rsidRDefault="0062142C">
      <w:pPr>
        <w:spacing w:before="25" w:after="0"/>
      </w:pPr>
      <w:r>
        <w:rPr>
          <w:color w:val="000000"/>
        </w:rPr>
        <w:t>C</w:t>
      </w:r>
      <w:r>
        <w:rPr>
          <w:color w:val="000000"/>
          <w:vertAlign w:val="subscript"/>
        </w:rPr>
        <w:t>K-40</w:t>
      </w:r>
      <w:r>
        <w:rPr>
          <w:color w:val="000000"/>
        </w:rPr>
        <w:t>, C</w:t>
      </w:r>
      <w:r>
        <w:rPr>
          <w:color w:val="000000"/>
          <w:vertAlign w:val="subscript"/>
        </w:rPr>
        <w:t>Ra-226</w:t>
      </w:r>
      <w:r>
        <w:rPr>
          <w:color w:val="000000"/>
        </w:rPr>
        <w:t xml:space="preserve"> i C</w:t>
      </w:r>
      <w:r>
        <w:rPr>
          <w:color w:val="000000"/>
          <w:vertAlign w:val="subscript"/>
        </w:rPr>
        <w:t>Th-232</w:t>
      </w:r>
      <w:r>
        <w:rPr>
          <w:color w:val="000000"/>
        </w:rPr>
        <w:t xml:space="preserve"> - oznaczają odpowiednio stężenia promieniotwórcze izotopów potasu K-40, radu Ra-226 i toru Th-232, wyrażone w bekerelach na kilogram (</w:t>
      </w:r>
      <w:proofErr w:type="spellStart"/>
      <w:r>
        <w:rPr>
          <w:color w:val="000000"/>
        </w:rPr>
        <w:t>Bq</w:t>
      </w:r>
      <w:proofErr w:type="spellEnd"/>
      <w:r>
        <w:rPr>
          <w:color w:val="000000"/>
        </w:rPr>
        <w:t>/kg).</w:t>
      </w:r>
    </w:p>
    <w:p w14:paraId="0FB3B1DE" w14:textId="77777777" w:rsidR="0010513A" w:rsidRDefault="0062142C">
      <w:pPr>
        <w:spacing w:before="26" w:after="240"/>
      </w:pPr>
      <w:r>
        <w:rPr>
          <w:b/>
          <w:color w:val="000000"/>
        </w:rPr>
        <w:t>§  5.</w:t>
      </w:r>
      <w:r>
        <w:rPr>
          <w:color w:val="000000"/>
        </w:rPr>
        <w:t xml:space="preserve"> </w:t>
      </w:r>
      <w:r>
        <w:rPr>
          <w:b/>
          <w:color w:val="000000"/>
        </w:rPr>
        <w:t> </w:t>
      </w:r>
      <w:r>
        <w:rPr>
          <w:color w:val="000000"/>
        </w:rPr>
        <w:t>Całkowita niepewność wyznaczenia wartości wskaźnika, o którym mowa w § 4, przy poziomie ufności 0,95, nie może przekraczać 20% jego wartości, jeżeli jest ona nie mniejsza niż 0,8.</w:t>
      </w:r>
    </w:p>
    <w:p w14:paraId="0FB3B1DF" w14:textId="77777777" w:rsidR="0010513A" w:rsidRDefault="0062142C">
      <w:pPr>
        <w:spacing w:before="26" w:after="240"/>
      </w:pPr>
      <w:r>
        <w:rPr>
          <w:b/>
          <w:color w:val="000000"/>
        </w:rPr>
        <w:t>§  6.</w:t>
      </w:r>
      <w:r>
        <w:rPr>
          <w:color w:val="000000"/>
        </w:rPr>
        <w:t xml:space="preserve"> Wartość wskaźnika, o którym mowa w § 4, większa niż 1 oznacza możliwość przekroczenia poziomu odniesienia dla narażenia zewnętrznego ludzi na promieniowanie gamma emitowane przez materiały budowlane wewnątrz pomieszczeń wynoszącego 1 </w:t>
      </w:r>
      <w:proofErr w:type="spellStart"/>
      <w:r>
        <w:rPr>
          <w:color w:val="000000"/>
        </w:rPr>
        <w:t>mSv</w:t>
      </w:r>
      <w:proofErr w:type="spellEnd"/>
      <w:r>
        <w:rPr>
          <w:color w:val="000000"/>
        </w:rPr>
        <w:t xml:space="preserve"> rocznie oraz konieczność poinformowania o przekroczeniu wartości tego wskaźnika organów nadzoru budowlanego.</w:t>
      </w:r>
    </w:p>
    <w:p w14:paraId="0FB3B1E0" w14:textId="77777777" w:rsidR="0010513A" w:rsidRDefault="0062142C">
      <w:pPr>
        <w:spacing w:before="26" w:after="240"/>
      </w:pPr>
      <w:r>
        <w:rPr>
          <w:b/>
          <w:color w:val="000000"/>
        </w:rPr>
        <w:t>§  7.</w:t>
      </w:r>
      <w:r>
        <w:rPr>
          <w:color w:val="000000"/>
        </w:rPr>
        <w:t> Do oznaczania stężenia promieniotwórczego naturalnych izotopów promieniotwórczych w materiałach budowlanych wyprodukowanych przed dniem wejścia w życie niniejszego rozporządzenia stosuje się przepisy dotychczasowe.</w:t>
      </w:r>
    </w:p>
    <w:p w14:paraId="0FB3B1E1" w14:textId="77777777" w:rsidR="0010513A" w:rsidRDefault="0062142C">
      <w:pPr>
        <w:spacing w:before="26" w:after="240"/>
      </w:pPr>
      <w:r>
        <w:rPr>
          <w:b/>
          <w:color w:val="000000"/>
        </w:rPr>
        <w:t>§  8.</w:t>
      </w:r>
      <w:r>
        <w:rPr>
          <w:color w:val="000000"/>
        </w:rPr>
        <w:t xml:space="preserve"> Rozporządzenie wchodzi w życie po upływie 30 dni od dnia ogłoszenia. 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 </w:t>
      </w:r>
    </w:p>
    <w:p w14:paraId="0FB3B1E2" w14:textId="77777777" w:rsidR="0010513A" w:rsidRDefault="0010513A">
      <w:pPr>
        <w:spacing w:after="0"/>
      </w:pPr>
    </w:p>
    <w:p w14:paraId="0FB3B1E3" w14:textId="77777777" w:rsidR="0010513A" w:rsidRDefault="0062142C">
      <w:pPr>
        <w:spacing w:before="89" w:after="0"/>
        <w:jc w:val="center"/>
      </w:pPr>
      <w:r>
        <w:rPr>
          <w:b/>
          <w:color w:val="000000"/>
        </w:rPr>
        <w:t>ZAŁĄCZNIK</w:t>
      </w:r>
    </w:p>
    <w:p w14:paraId="0FB3B1E4" w14:textId="77777777" w:rsidR="0010513A" w:rsidRDefault="0062142C">
      <w:pPr>
        <w:spacing w:before="25" w:after="0"/>
        <w:jc w:val="center"/>
      </w:pPr>
      <w:r>
        <w:rPr>
          <w:b/>
          <w:color w:val="000000"/>
        </w:rPr>
        <w:lastRenderedPageBreak/>
        <w:t>MATERIAŁY BUDOWLANE, W PRZYPADKU KTÓRYCH OZNACZA SIĘ STĘŻENIE PROMIENIOTWÓRCZE IZOTOPÓW PROMIENIOTWÓRCZYCH POTASU K-40, RADU RA-226 I TORU TH-232</w:t>
      </w:r>
    </w:p>
    <w:p w14:paraId="0FB3B1E5" w14:textId="77777777" w:rsidR="0010513A" w:rsidRDefault="0062142C">
      <w:pPr>
        <w:spacing w:after="0"/>
      </w:pPr>
      <w:r>
        <w:rPr>
          <w:color w:val="000000"/>
        </w:rPr>
        <w:t>1. Materiały budowlane zawierające naturalnie występujący materiał promieniotwórczy:</w:t>
      </w:r>
    </w:p>
    <w:p w14:paraId="0FB3B1E6" w14:textId="77777777" w:rsidR="0010513A" w:rsidRDefault="0062142C">
      <w:pPr>
        <w:spacing w:before="25" w:after="0"/>
      </w:pPr>
      <w:r>
        <w:rPr>
          <w:color w:val="000000"/>
        </w:rPr>
        <w:t>1.1. łupek ałunowy;</w:t>
      </w:r>
    </w:p>
    <w:p w14:paraId="0FB3B1E7" w14:textId="77777777" w:rsidR="0010513A" w:rsidRDefault="0062142C">
      <w:pPr>
        <w:spacing w:before="25" w:after="0"/>
      </w:pPr>
      <w:r>
        <w:rPr>
          <w:color w:val="000000"/>
        </w:rPr>
        <w:t>1.2. kwarcyt;</w:t>
      </w:r>
    </w:p>
    <w:p w14:paraId="0FB3B1E8" w14:textId="77777777" w:rsidR="0010513A" w:rsidRDefault="0062142C">
      <w:pPr>
        <w:spacing w:before="25" w:after="0"/>
      </w:pPr>
      <w:r>
        <w:rPr>
          <w:color w:val="000000"/>
        </w:rPr>
        <w:t>1.3. pochodzenia magmowego:</w:t>
      </w:r>
    </w:p>
    <w:p w14:paraId="0FB3B1E9" w14:textId="77777777" w:rsidR="0010513A" w:rsidRDefault="0062142C">
      <w:pPr>
        <w:spacing w:before="25" w:after="0"/>
      </w:pPr>
      <w:r>
        <w:rPr>
          <w:color w:val="000000"/>
        </w:rPr>
        <w:t>1.3.1. granitoidy:</w:t>
      </w:r>
    </w:p>
    <w:p w14:paraId="0FB3B1EA" w14:textId="77777777" w:rsidR="0010513A" w:rsidRDefault="0062142C">
      <w:pPr>
        <w:spacing w:before="25" w:after="0"/>
      </w:pPr>
      <w:r>
        <w:rPr>
          <w:color w:val="000000"/>
        </w:rPr>
        <w:t>1.3.1.1. granit;</w:t>
      </w:r>
    </w:p>
    <w:p w14:paraId="0FB3B1EB" w14:textId="77777777" w:rsidR="0010513A" w:rsidRDefault="0062142C">
      <w:pPr>
        <w:spacing w:before="25" w:after="0"/>
      </w:pPr>
      <w:r>
        <w:rPr>
          <w:color w:val="000000"/>
        </w:rPr>
        <w:t>1.3.1.2. sjenit;</w:t>
      </w:r>
    </w:p>
    <w:p w14:paraId="0FB3B1EC" w14:textId="77777777" w:rsidR="0010513A" w:rsidRDefault="0062142C">
      <w:pPr>
        <w:spacing w:before="25" w:after="0"/>
      </w:pPr>
      <w:r>
        <w:rPr>
          <w:color w:val="000000"/>
        </w:rPr>
        <w:t>1.3.2. ortognejs;</w:t>
      </w:r>
    </w:p>
    <w:p w14:paraId="0FB3B1ED" w14:textId="77777777" w:rsidR="0010513A" w:rsidRDefault="0062142C">
      <w:pPr>
        <w:spacing w:before="25" w:after="0"/>
      </w:pPr>
      <w:r>
        <w:rPr>
          <w:color w:val="000000"/>
        </w:rPr>
        <w:t>1.3.3. porfir;</w:t>
      </w:r>
    </w:p>
    <w:p w14:paraId="0FB3B1EE" w14:textId="77777777" w:rsidR="0010513A" w:rsidRDefault="0062142C">
      <w:pPr>
        <w:spacing w:before="25" w:after="0"/>
      </w:pPr>
      <w:r>
        <w:rPr>
          <w:color w:val="000000"/>
        </w:rPr>
        <w:t>1.3.4. tuf wulkaniczny;</w:t>
      </w:r>
    </w:p>
    <w:p w14:paraId="0FB3B1EF" w14:textId="77777777" w:rsidR="0010513A" w:rsidRDefault="0062142C">
      <w:pPr>
        <w:spacing w:before="25" w:after="0"/>
      </w:pPr>
      <w:r>
        <w:rPr>
          <w:color w:val="000000"/>
        </w:rPr>
        <w:t>1.3.5. pył wulkaniczny (pucolana);</w:t>
      </w:r>
    </w:p>
    <w:p w14:paraId="0FB3B1F0" w14:textId="77777777" w:rsidR="0010513A" w:rsidRDefault="0062142C">
      <w:pPr>
        <w:spacing w:before="25" w:after="0"/>
      </w:pPr>
      <w:r>
        <w:rPr>
          <w:color w:val="000000"/>
        </w:rPr>
        <w:t>1.3.6. lawa.</w:t>
      </w:r>
    </w:p>
    <w:p w14:paraId="0FB3B1F1" w14:textId="77777777" w:rsidR="0010513A" w:rsidRDefault="0062142C">
      <w:pPr>
        <w:spacing w:before="25" w:after="0"/>
      </w:pPr>
      <w:r>
        <w:rPr>
          <w:color w:val="000000"/>
        </w:rPr>
        <w:t>2. Materiały budowlane zawierające pozostałości z sektorów przetwarzających naturalnie występujący materiał promieniotwórczy:</w:t>
      </w:r>
    </w:p>
    <w:p w14:paraId="0FB3B1F2" w14:textId="77777777" w:rsidR="0010513A" w:rsidRDefault="0062142C">
      <w:pPr>
        <w:spacing w:before="25" w:after="0"/>
      </w:pPr>
      <w:r>
        <w:rPr>
          <w:color w:val="000000"/>
        </w:rPr>
        <w:t>2.1. popioły lotne;</w:t>
      </w:r>
    </w:p>
    <w:p w14:paraId="0FB3B1F3" w14:textId="77777777" w:rsidR="0010513A" w:rsidRDefault="0062142C">
      <w:pPr>
        <w:spacing w:before="25" w:after="0"/>
      </w:pPr>
      <w:r>
        <w:rPr>
          <w:color w:val="000000"/>
        </w:rPr>
        <w:t>2.2. fosfogips;</w:t>
      </w:r>
    </w:p>
    <w:p w14:paraId="0FB3B1F4" w14:textId="77777777" w:rsidR="0010513A" w:rsidRDefault="0062142C">
      <w:pPr>
        <w:spacing w:before="25" w:after="0"/>
      </w:pPr>
      <w:r>
        <w:rPr>
          <w:color w:val="000000"/>
        </w:rPr>
        <w:t>2.3. żużel fosforowy;</w:t>
      </w:r>
    </w:p>
    <w:p w14:paraId="0FB3B1F5" w14:textId="77777777" w:rsidR="0010513A" w:rsidRDefault="0062142C">
      <w:pPr>
        <w:spacing w:before="25" w:after="0"/>
      </w:pPr>
      <w:r>
        <w:rPr>
          <w:color w:val="000000"/>
        </w:rPr>
        <w:t>2.4. żużel cynowy;</w:t>
      </w:r>
    </w:p>
    <w:p w14:paraId="0FB3B1F6" w14:textId="77777777" w:rsidR="0010513A" w:rsidRDefault="0062142C">
      <w:pPr>
        <w:spacing w:before="25" w:after="0"/>
      </w:pPr>
      <w:r>
        <w:rPr>
          <w:color w:val="000000"/>
        </w:rPr>
        <w:t>2.5. żużel miedziowy;</w:t>
      </w:r>
    </w:p>
    <w:p w14:paraId="0FB3B1F7" w14:textId="77777777" w:rsidR="0010513A" w:rsidRDefault="0062142C">
      <w:pPr>
        <w:spacing w:before="25" w:after="0"/>
      </w:pPr>
      <w:r>
        <w:rPr>
          <w:color w:val="000000"/>
        </w:rPr>
        <w:t>2.6. czerwony szlam (pozostałość po produkcji aluminium);</w:t>
      </w:r>
    </w:p>
    <w:p w14:paraId="0FB3B1F8" w14:textId="77777777" w:rsidR="0010513A" w:rsidRDefault="0062142C">
      <w:pPr>
        <w:spacing w:before="25" w:after="0"/>
      </w:pPr>
      <w:r>
        <w:rPr>
          <w:color w:val="000000"/>
        </w:rPr>
        <w:t>2.7. pozostałości po produkcji stali;</w:t>
      </w:r>
    </w:p>
    <w:p w14:paraId="0FB3B1F9" w14:textId="77777777" w:rsidR="0010513A" w:rsidRDefault="0062142C">
      <w:pPr>
        <w:spacing w:before="25" w:after="0"/>
      </w:pPr>
      <w:r>
        <w:rPr>
          <w:color w:val="000000"/>
        </w:rPr>
        <w:t>2.8. materiał skalny po eksploatacji i przeróbce rud uranu.</w:t>
      </w:r>
    </w:p>
    <w:p w14:paraId="0FB3B1FA" w14:textId="77777777" w:rsidR="0010513A" w:rsidRDefault="0062142C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Niniejsze rozporządzenie w zakresie swojej regulacji wdraża </w:t>
      </w:r>
      <w:r>
        <w:rPr>
          <w:color w:val="1B1B1B"/>
        </w:rPr>
        <w:t>dyrektywę</w:t>
      </w:r>
      <w:r>
        <w:rPr>
          <w:color w:val="000000"/>
        </w:rPr>
        <w:t xml:space="preserve"> Rady 2013/59/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z dnia 5 grudnia 2013 r. ustanawiającą podstawowe normy bezpieczeństwa w celu ochrony przed zagrożeniami wynikającymi z narażenia na działanie promieniowania jonizującego oraz uchylającą dyrektywę 89/618/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90/641/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96/29/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>, 97/43/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i 2003/122/</w:t>
      </w:r>
      <w:proofErr w:type="spellStart"/>
      <w:r>
        <w:rPr>
          <w:color w:val="000000"/>
        </w:rPr>
        <w:t>Euratom</w:t>
      </w:r>
      <w:proofErr w:type="spellEnd"/>
      <w:r>
        <w:rPr>
          <w:color w:val="000000"/>
        </w:rPr>
        <w:t xml:space="preserve"> (Dz. Urz. UE L 13 z 17.01.2014, str. 1, Dz. Urz. UE L 72 z 17.03.2016, str. 69, Dz. Urz. UE L 152 z 11.06.2019, str. 128 oraz Dz. Urz. UE L 324 z 13.12.2019, str. 80).</w:t>
      </w:r>
    </w:p>
    <w:p w14:paraId="0FB3B1FB" w14:textId="77777777" w:rsidR="0010513A" w:rsidRDefault="0062142C">
      <w:pPr>
        <w:spacing w:after="0"/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 Niniejsze </w:t>
      </w:r>
      <w:r>
        <w:rPr>
          <w:color w:val="1B1B1B"/>
        </w:rPr>
        <w:t>rozporządzenie</w:t>
      </w:r>
      <w:r>
        <w:rPr>
          <w:color w:val="000000"/>
        </w:rPr>
        <w:t xml:space="preserve"> zostało notyfikowane Komisji Europejskiej w dniu 4 września 2020 r., pod numerem 2020/0550/PL, zgodnie z </w:t>
      </w:r>
      <w:r>
        <w:rPr>
          <w:color w:val="1B1B1B"/>
        </w:rPr>
        <w:t>§ 4</w:t>
      </w:r>
      <w:r>
        <w:rPr>
          <w:color w:val="000000"/>
        </w:rPr>
        <w:t xml:space="preserve"> rozporządzenia Rady Ministrów z dnia 23 grudnia 2002 r. w sprawie sposobu funkcjonowania krajowego systemu notyfikacji norm i aktów prawnych (Dz. U. poz. 2039 oraz z 2004 r. poz. 597), które wdraża postanowienia </w:t>
      </w:r>
      <w:r>
        <w:rPr>
          <w:color w:val="1B1B1B"/>
        </w:rPr>
        <w:t>dyrektywy</w:t>
      </w:r>
      <w:r>
        <w:rPr>
          <w:color w:val="000000"/>
        </w:rPr>
        <w:t xml:space="preserve"> (UE) 2015/1535 Parlamentu Europejskiego i Rady z dnia 9 września 2015 r. ustanawiającej procedurę udzielania informacji w dziedzinie przepisów technicznych</w:t>
      </w:r>
      <w:r>
        <w:rPr>
          <w:color w:val="000000"/>
        </w:rPr>
        <w:t xml:space="preserve"> oraz zasad dotyczących usług społeczeństwa informacyjnego (ujednolicenie) (Dz. Urz. UE L 241 z 17.09.2015, str. 1).</w:t>
      </w:r>
    </w:p>
    <w:p w14:paraId="0FB3B1FC" w14:textId="77777777" w:rsidR="0010513A" w:rsidRDefault="0062142C">
      <w:pPr>
        <w:spacing w:after="0"/>
      </w:pPr>
      <w:r>
        <w:rPr>
          <w:color w:val="000000"/>
          <w:vertAlign w:val="superscript"/>
        </w:rPr>
        <w:lastRenderedPageBreak/>
        <w:t>3</w:t>
      </w:r>
      <w:r>
        <w:rPr>
          <w:color w:val="000000"/>
        </w:rPr>
        <w:t xml:space="preserve"> Niniejsze rozporządzenie było poprzedzone </w:t>
      </w:r>
      <w:r>
        <w:rPr>
          <w:color w:val="1B1B1B"/>
        </w:rPr>
        <w:t>rozporządzeniem</w:t>
      </w:r>
      <w:r>
        <w:rPr>
          <w:color w:val="000000"/>
        </w:rPr>
        <w:t xml:space="preserve"> Rady Ministrów z dnia 2 stycznia 2007 r. w sprawie wymagań dotyczących zawartości naturalnych izotopów promieniotwórczych potasu K-40, radu Ra-226 i toru Th-228 w surowcach i materiałach stosowanych w budynkach przeznaczonych na pobyt ludzi i inwentarza żywego, a także w odpadach przemysłowych stosowanych w budownictwie, oraz kontroli zawartości tych izotopów (Dz. U. poz. 29), które zgodnie z </w:t>
      </w:r>
      <w:r>
        <w:rPr>
          <w:color w:val="1B1B1B"/>
        </w:rPr>
        <w:t>art. 37 ust. 1 pkt 1</w:t>
      </w:r>
      <w:r>
        <w:rPr>
          <w:color w:val="000000"/>
        </w:rPr>
        <w:t xml:space="preserve"> ustawy z dnia 13 czerwca 2019 r. o z</w:t>
      </w:r>
      <w:r>
        <w:rPr>
          <w:color w:val="000000"/>
        </w:rPr>
        <w:t>mianie ustawy - Prawo atomowe oraz ustawy o ochronie przeciwpożarowej (Dz. U. poz. 1593 oraz z 2020 r. poz. 284) traci moc z dniem wejścia w życie niniejszego rozporządzenia.</w:t>
      </w:r>
    </w:p>
    <w:sectPr w:rsidR="0010513A">
      <w:footerReference w:type="even" r:id="rId11"/>
      <w:footerReference w:type="default" r:id="rId12"/>
      <w:footerReference w:type="first" r:id="rId13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A288" w14:textId="77777777" w:rsidR="0062142C" w:rsidRDefault="0062142C" w:rsidP="0062142C">
      <w:pPr>
        <w:spacing w:after="0" w:line="240" w:lineRule="auto"/>
      </w:pPr>
      <w:r>
        <w:separator/>
      </w:r>
    </w:p>
  </w:endnote>
  <w:endnote w:type="continuationSeparator" w:id="0">
    <w:p w14:paraId="12A34E7B" w14:textId="77777777" w:rsidR="0062142C" w:rsidRDefault="0062142C" w:rsidP="00621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D1D57" w14:textId="77777777" w:rsidR="0062142C" w:rsidRDefault="0062142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88E9" w14:textId="77777777" w:rsidR="0062142C" w:rsidRDefault="0062142C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F843" w14:textId="77777777" w:rsidR="0062142C" w:rsidRDefault="0062142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62B31" w14:textId="77777777" w:rsidR="0062142C" w:rsidRDefault="0062142C" w:rsidP="0062142C">
      <w:pPr>
        <w:spacing w:after="0" w:line="240" w:lineRule="auto"/>
      </w:pPr>
      <w:r>
        <w:separator/>
      </w:r>
    </w:p>
  </w:footnote>
  <w:footnote w:type="continuationSeparator" w:id="0">
    <w:p w14:paraId="07F9AEA4" w14:textId="77777777" w:rsidR="0062142C" w:rsidRDefault="0062142C" w:rsidP="00621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519DA"/>
    <w:multiLevelType w:val="multilevel"/>
    <w:tmpl w:val="C71059D4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5639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0513A"/>
    <w:rsid w:val="0010513A"/>
    <w:rsid w:val="0062142C"/>
    <w:rsid w:val="00EB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3B1BC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6214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2142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1DECEF-24EA-48A9-806B-FFFCF80DABE7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0DAB2907-62E6-4C72-BE77-2166FE27C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9A2421-AAF6-466E-87AE-1091CAF29D04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1030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2025-07-18T11:25:00Z</dcterms:created>
  <dcterms:modified xsi:type="dcterms:W3CDTF">2025-07-18T11:25:00Z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