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rPr>
          <w:b/>
          <w:bCs/>
          <w:sz w:val="22"/>
          <w:szCs w:val="22"/>
        </w:rPr>
        <w:t xml:space="preserve">UFR MATHEMATIQUES ET INFORMATIQUE</w:t>
      </w:r>
    </w:p>
    <w:p>
      <w:pPr>
        <w:spacing w:after="100"/>
        <w:jc w:val="center"/>
      </w:pPr>
      <w:r>
        <w:rPr>
          <w:b/>
          <w:bCs/>
          <w:sz w:val="26"/>
          <w:szCs w:val="26"/>
        </w:rPr>
        <w:t xml:space="preserve">MASTER 1 INFORMATIQUE</w:t>
      </w:r>
    </w:p>
    <w:p>
      <w:pPr>
        <w:spacing w:after="600"/>
        <w:jc w:val="center"/>
      </w:pPr>
      <w:r>
        <w:rPr>
          <w:sz w:val="22"/>
          <w:szCs w:val="22"/>
        </w:rPr>
        <w:t xml:space="preserve">ECUE : Machine Learning</w:t>
      </w:r>
    </w:p>
    <w:p>
      <w:pPr>
        <w:spacing w:after="300"/>
        <w:jc w:val="center"/>
      </w:pPr>
      <w:r>
        <w:rPr>
          <w:b/>
          <w:bCs/>
          <w:color w:val="1F4E78"/>
          <w:sz w:val="30"/>
          <w:szCs w:val="30"/>
        </w:rPr>
        <w:t xml:space="preserve">Configuration et Mise en Œuvre d'une API REST FastAPI
pour la Détection d'Intrusion Réseau</w:t>
      </w:r>
    </w:p>
    <w:p>
      <w:pPr>
        <w:spacing w:after="800"/>
        <w:jc w:val="center"/>
      </w:pPr>
      <w:r>
        <w:rPr>
          <w:i/>
          <w:iCs/>
          <w:sz w:val="22"/>
          <w:szCs w:val="22"/>
        </w:rPr>
        <w:t xml:space="preserve">Document technique complémentaire au rapport de projet</w:t>
      </w:r>
    </w:p>
    <w:p>
      <w:pPr>
        <w:spacing w:after="100"/>
        <w:jc w:val="center"/>
      </w:pPr>
      <w:r>
        <w:rPr>
          <w:b/>
          <w:bCs/>
          <w:sz w:val="22"/>
          <w:szCs w:val="22"/>
        </w:rPr>
        <w:t xml:space="preserve">Réalisé par : Komoe Edgar Junior</w:t>
      </w:r>
    </w:p>
    <w:p>
      <w:pPr>
        <w:spacing w:after="800"/>
        <w:jc w:val="center"/>
      </w:pPr>
      <w:r>
        <w:rPr>
          <w:sz w:val="22"/>
          <w:szCs w:val="22"/>
        </w:rPr>
        <w:t xml:space="preserve">Responsable de l'enseignement : Dr ASSOHOUN E Stanislas</w:t>
      </w:r>
    </w:p>
    <w:p>
      <w:pPr>
        <w:spacing w:before="1000"/>
        <w:jc w:val="center"/>
      </w:pPr>
      <w:r>
        <w:rPr>
          <w:sz w:val="20"/>
          <w:szCs w:val="20"/>
        </w:rPr>
        <w:t xml:space="preserve">Année académique 2025-2026</w:t>
      </w:r>
    </w:p>
    <w:p>
      <w:r>
        <w:br w:type="page"/>
      </w:r>
    </w:p>
    <w:p>
      <w:pPr>
        <w:pStyle w:val="Heading1"/>
        <w:spacing w:after="150" w:before="300"/>
      </w:pPr>
      <w:r>
        <w:t xml:space="preserve">1. Objectif</w:t>
      </w:r>
    </w:p>
    <w:p>
      <w:pPr>
        <w:spacing w:after="160"/>
        <w:jc w:val="both"/>
      </w:pPr>
      <w:r>
        <w:t xml:space="preserve">Ce document décrit la configuration et la mise en œuvre d'une API REST développée avec FastAPI, qui expose le modèle de Machine Learning optimal issu du projet (Arbre de Décision élagué et optimisé par GridSearchCV, cf. rapport de projet, Étape 4) sous forme de service web independant. Cette API constitue une couche d'accès programmatique au modèle, distincte de l'application Streamlit déjà livrée : elle permet à n'importe quel client (script, application tierce, SIEM, Postman, curl, ou la même application Streamlit) d'obtenir une prédiction de menace réseau via de simples requêtes HTTP, sans avoir à charger le modèle ni à connaître les détails d'implémentation du pipeline de Machine Learning.</w:t>
      </w:r>
    </w:p>
    <w:p>
      <w:pPr>
        <w:spacing w:after="160"/>
        <w:jc w:val="both"/>
      </w:pPr>
      <w:r>
        <w:t xml:space="preserve">FastAPI a été retenu pour ce projet en raison de sa validation automatique des données par Pydantic, de sa génération automatique d'une documentation interactive (Swagger UI / OpenAPI), de ses performances (serveur ASGI asynchrone Uvicorn) et de sa large adoption dans l'industrie pour l'exposition de modèles de Machine Learning en production.</w:t>
      </w:r>
    </w:p>
    <w:p>
      <w:pPr>
        <w:pStyle w:val="Heading1"/>
        <w:spacing w:after="150" w:before="300"/>
      </w:pPr>
      <w:r>
        <w:t xml:space="preserve">2. Architecture</w:t>
      </w:r>
    </w:p>
    <w:p>
      <w:pPr>
        <w:spacing w:after="160"/>
        <w:jc w:val="both"/>
      </w:pPr>
      <w:r>
        <w:t xml:space="preserve">L'API est organisée en trois modules Python indépendants, situés dans le dossier api/ du projet, qui reproduisent exactement le pipeline de prétraitement et le modèle utilisés par l'application Streamlit — garantissant des prédictions strictement identiques entre les deux interfaces (démontré en section 5).</w:t>
      </w:r>
    </w:p>
    <w:p>
      <w:pPr>
        <w:spacing w:after="60"/>
        <w:jc w:val="center"/>
      </w:pPr>
      <w:r>
        <w:drawing>
          <wp:inline distT="0" distB="0" distL="0" distR="0">
            <wp:extent cx="5715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19300"/>
                    </a:xfrm>
                    <a:prstGeom prst="rect">
                      <a:avLst/>
                    </a:prstGeom>
                  </pic:spPr>
                </pic:pic>
              </a:graphicData>
            </a:graphic>
          </wp:inline>
        </w:drawing>
      </w:r>
    </w:p>
    <w:p>
      <w:pPr>
        <w:spacing w:after="240"/>
        <w:jc w:val="center"/>
      </w:pPr>
      <w:r>
        <w:rPr>
          <w:i/>
          <w:iCs/>
          <w:sz w:val="20"/>
          <w:szCs w:val="20"/>
        </w:rPr>
        <w:t xml:space="preserve">Figure 1 — Architecture de l'API FastAPI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cantSplit/>
        </w:trPr>
        <w:tc>
          <w:tcPr>
            <w:tcW w:type="dxa" w:w="3200"/>
            <w:shd w:fill="1F4E78" w:val="clear"/>
            <w:vAlign w:val="center"/>
          </w:tcPr>
          <w:p>
            <w:pPr>
              <w:jc w:val="center"/>
            </w:pPr>
            <w:r>
              <w:rPr>
                <w:b/>
                <w:bCs/>
                <w:color w:val="FFFFFF"/>
                <w:sz w:val="18"/>
                <w:szCs w:val="18"/>
              </w:rPr>
              <w:t xml:space="preserve">Fichier</w:t>
            </w:r>
          </w:p>
        </w:tc>
        <w:tc>
          <w:tcPr>
            <w:tcW w:type="dxa" w:w="6100"/>
            <w:shd w:fill="1F4E78" w:val="clear"/>
            <w:vAlign w:val="center"/>
          </w:tcPr>
          <w:p>
            <w:pPr>
              <w:jc w:val="center"/>
            </w:pPr>
            <w:r>
              <w:rPr>
                <w:b/>
                <w:bCs/>
                <w:color w:val="FFFFFF"/>
                <w:sz w:val="18"/>
                <w:szCs w:val="18"/>
              </w:rPr>
              <w:t xml:space="preserve">Rôle</w:t>
            </w:r>
          </w:p>
        </w:tc>
      </w:tr>
      <w:tr>
        <w:trPr>
          <w:cantSplit/>
        </w:trPr>
        <w:tc>
          <w:tcPr>
            <w:tcW w:type="dxa" w:w="3200"/>
            <w:vAlign w:val="center"/>
          </w:tcPr>
          <w:p>
            <w:pPr>
              <w:jc w:val="left"/>
            </w:pPr>
            <w:r>
              <w:rPr>
                <w:rFonts w:ascii="Consolas" w:cs="Consolas" w:eastAsia="Consolas" w:hAnsi="Consolas"/>
                <w:b w:val="false"/>
                <w:bCs w:val="false"/>
                <w:color w:val="000000"/>
                <w:sz w:val="18"/>
                <w:szCs w:val="18"/>
              </w:rPr>
              <w:t xml:space="preserve">api/main.py</w:t>
            </w:r>
          </w:p>
        </w:tc>
        <w:tc>
          <w:tcPr>
            <w:tcW w:type="dxa" w:w="6100"/>
            <w:vAlign w:val="center"/>
          </w:tcPr>
          <w:p>
            <w:pPr>
              <w:jc w:val="left"/>
            </w:pPr>
            <w:r>
              <w:rPr>
                <w:b w:val="false"/>
                <w:bCs w:val="false"/>
                <w:color w:val="000000"/>
                <w:sz w:val="18"/>
                <w:szCs w:val="18"/>
              </w:rPr>
              <w:t xml:space="preserve">Point d'entrée FastAPI : déclaration de l'application, des routes (endpoints) et de la gestion des erreurs.</w:t>
            </w:r>
          </w:p>
        </w:tc>
      </w:tr>
      <w:tr>
        <w:trPr>
          <w:cantSplit/>
        </w:trPr>
        <w:tc>
          <w:tcPr>
            <w:tcW w:type="dxa" w:w="3200"/>
            <w:vAlign w:val="center"/>
          </w:tcPr>
          <w:p>
            <w:pPr>
              <w:jc w:val="left"/>
            </w:pPr>
            <w:r>
              <w:rPr>
                <w:rFonts w:ascii="Consolas" w:cs="Consolas" w:eastAsia="Consolas" w:hAnsi="Consolas"/>
                <w:b w:val="false"/>
                <w:bCs w:val="false"/>
                <w:color w:val="000000"/>
                <w:sz w:val="18"/>
                <w:szCs w:val="18"/>
              </w:rPr>
              <w:t xml:space="preserve">api/schemas.py</w:t>
            </w:r>
          </w:p>
        </w:tc>
        <w:tc>
          <w:tcPr>
            <w:tcW w:type="dxa" w:w="6100"/>
            <w:vAlign w:val="center"/>
          </w:tcPr>
          <w:p>
            <w:pPr>
              <w:jc w:val="left"/>
            </w:pPr>
            <w:r>
              <w:rPr>
                <w:b w:val="false"/>
                <w:bCs w:val="false"/>
                <w:color w:val="000000"/>
                <w:sz w:val="18"/>
                <w:szCs w:val="18"/>
              </w:rPr>
              <w:t xml:space="preserve">Modèles Pydantic définissant la structure et la validation des requêtes et réponses JSON.</w:t>
            </w:r>
          </w:p>
        </w:tc>
      </w:tr>
      <w:tr>
        <w:trPr>
          <w:cantSplit/>
        </w:trPr>
        <w:tc>
          <w:tcPr>
            <w:tcW w:type="dxa" w:w="3200"/>
            <w:vAlign w:val="center"/>
          </w:tcPr>
          <w:p>
            <w:pPr>
              <w:jc w:val="left"/>
            </w:pPr>
            <w:r>
              <w:rPr>
                <w:rFonts w:ascii="Consolas" w:cs="Consolas" w:eastAsia="Consolas" w:hAnsi="Consolas"/>
                <w:b w:val="false"/>
                <w:bCs w:val="false"/>
                <w:color w:val="000000"/>
                <w:sz w:val="18"/>
                <w:szCs w:val="18"/>
              </w:rPr>
              <w:t xml:space="preserve">api/model_service.py</w:t>
            </w:r>
          </w:p>
        </w:tc>
        <w:tc>
          <w:tcPr>
            <w:tcW w:type="dxa" w:w="6100"/>
            <w:vAlign w:val="center"/>
          </w:tcPr>
          <w:p>
            <w:pPr>
              <w:jc w:val="left"/>
            </w:pPr>
            <w:r>
              <w:rPr>
                <w:b w:val="false"/>
                <w:bCs w:val="false"/>
                <w:color w:val="000000"/>
                <w:sz w:val="18"/>
                <w:szCs w:val="18"/>
              </w:rPr>
              <w:t xml:space="preserve">Classe ModelService : chargement (une seule fois, mis en cache) du modèle optimal et des artefacts de prétraitement (scaler, médianes, bornes IQR), fonctions de prétraitement et de prédiction.</w:t>
            </w:r>
          </w:p>
        </w:tc>
      </w:tr>
    </w:tbl>
    <w:p>
      <w:pPr>
        <w:spacing w:after="200"/>
      </w:pPr>
    </w:p>
    <w:p>
      <w:pPr>
        <w:spacing w:after="160"/>
        <w:jc w:val="both"/>
      </w:pPr>
      <w:r>
        <w:t xml:space="preserve">Au démarrage du serveur (événement startup), le modèle et ses artefacts associés sont chargés une seule fois en mémoire et mis en cache (fonction lru_cache), ce qui évite de recharger le modèle à chaque requête et garantit des temps de réponse très courts. Si les artefacts sont introuvables, le serveur échoue immédiatement au démarrage (fail-fast) plutôt que de répondre de façon incohérente.</w:t>
      </w:r>
    </w:p>
    <w:p>
      <w:r>
        <w:br w:type="page"/>
      </w:r>
    </w:p>
    <w:p>
      <w:pPr>
        <w:pStyle w:val="Heading1"/>
        <w:spacing w:after="150" w:before="300"/>
      </w:pPr>
      <w:r>
        <w:t xml:space="preserve">3. Endpoints exposés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00"/>
      </w:tblGrid>
      <w:tr>
        <w:trPr>
          <w:cantSplit/>
        </w:trPr>
        <w:tc>
          <w:tcPr>
            <w:tcW w:type="dxa" w:w="1400"/>
            <w:shd w:fill="1F4E78" w:val="clear"/>
            <w:vAlign w:val="center"/>
          </w:tcPr>
          <w:p>
            <w:pPr>
              <w:jc w:val="center"/>
            </w:pPr>
            <w:r>
              <w:rPr>
                <w:b/>
                <w:bCs/>
                <w:color w:val="FFFFFF"/>
                <w:sz w:val="18"/>
                <w:szCs w:val="18"/>
              </w:rPr>
              <w:t xml:space="preserve">Méthode</w:t>
            </w:r>
          </w:p>
        </w:tc>
        <w:tc>
          <w:tcPr>
            <w:tcW w:type="dxa" w:w="2400"/>
            <w:shd w:fill="1F4E78" w:val="clear"/>
            <w:vAlign w:val="center"/>
          </w:tcPr>
          <w:p>
            <w:pPr>
              <w:jc w:val="center"/>
            </w:pPr>
            <w:r>
              <w:rPr>
                <w:b/>
                <w:bCs/>
                <w:color w:val="FFFFFF"/>
                <w:sz w:val="18"/>
                <w:szCs w:val="18"/>
              </w:rPr>
              <w:t xml:space="preserve">Route</w:t>
            </w:r>
          </w:p>
        </w:tc>
        <w:tc>
          <w:tcPr>
            <w:tcW w:type="dxa" w:w="5500"/>
            <w:shd w:fill="1F4E78" w:val="clear"/>
            <w:vAlign w:val="center"/>
          </w:tcPr>
          <w:p>
            <w:pPr>
              <w:jc w:val="center"/>
            </w:pPr>
            <w:r>
              <w:rPr>
                <w:b/>
                <w:bCs/>
                <w:color w:val="FFFFFF"/>
                <w:sz w:val="18"/>
                <w:szCs w:val="18"/>
              </w:rPr>
              <w:t xml:space="preserve">Description</w:t>
            </w:r>
          </w:p>
        </w:tc>
      </w:tr>
      <w:tr>
        <w:trPr>
          <w:cantSplit/>
        </w:trPr>
        <w:tc>
          <w:tcPr>
            <w:tcW w:type="dxa" w:w="1400"/>
            <w:vAlign w:val="center"/>
          </w:tcPr>
          <w:p>
            <w:pPr>
              <w:jc w:val="left"/>
            </w:pPr>
            <w:r>
              <w:rPr>
                <w:rFonts w:ascii="Consolas" w:cs="Consolas" w:eastAsia="Consolas" w:hAnsi="Consolas"/>
                <w:b w:val="false"/>
                <w:bCs w:val="false"/>
                <w:color w:val="000000"/>
                <w:sz w:val="18"/>
                <w:szCs w:val="18"/>
              </w:rPr>
              <w:t xml:space="preserve">GET</w:t>
            </w:r>
          </w:p>
        </w:tc>
        <w:tc>
          <w:tcPr>
            <w:tcW w:type="dxa" w:w="2400"/>
            <w:vAlign w:val="center"/>
          </w:tcPr>
          <w:p>
            <w:pPr>
              <w:jc w:val="left"/>
            </w:pPr>
            <w:r>
              <w:rPr>
                <w:b w:val="false"/>
                <w:bCs w:val="false"/>
                <w:color w:val="000000"/>
                <w:sz w:val="18"/>
                <w:szCs w:val="18"/>
              </w:rPr>
              <w:t xml:space="preserve">/</w:t>
            </w:r>
          </w:p>
        </w:tc>
        <w:tc>
          <w:tcPr>
            <w:tcW w:type="dxa" w:w="5500"/>
            <w:vAlign w:val="center"/>
          </w:tcPr>
          <w:p>
            <w:pPr>
              <w:jc w:val="left"/>
            </w:pPr>
            <w:r>
              <w:rPr>
                <w:b w:val="false"/>
                <w:bCs w:val="false"/>
                <w:color w:val="000000"/>
                <w:sz w:val="18"/>
                <w:szCs w:val="18"/>
              </w:rPr>
              <w:t xml:space="preserve">Informations générales sur l'API et liste des endpoints disponibles.</w:t>
            </w:r>
          </w:p>
        </w:tc>
      </w:tr>
      <w:tr>
        <w:trPr>
          <w:cantSplit/>
        </w:trPr>
        <w:tc>
          <w:tcPr>
            <w:tcW w:type="dxa" w:w="1400"/>
            <w:vAlign w:val="center"/>
          </w:tcPr>
          <w:p>
            <w:pPr>
              <w:jc w:val="left"/>
            </w:pPr>
            <w:r>
              <w:rPr>
                <w:rFonts w:ascii="Consolas" w:cs="Consolas" w:eastAsia="Consolas" w:hAnsi="Consolas"/>
                <w:b w:val="false"/>
                <w:bCs w:val="false"/>
                <w:color w:val="000000"/>
                <w:sz w:val="18"/>
                <w:szCs w:val="18"/>
              </w:rPr>
              <w:t xml:space="preserve">GET</w:t>
            </w:r>
          </w:p>
        </w:tc>
        <w:tc>
          <w:tcPr>
            <w:tcW w:type="dxa" w:w="2400"/>
            <w:vAlign w:val="center"/>
          </w:tcPr>
          <w:p>
            <w:pPr>
              <w:jc w:val="left"/>
            </w:pPr>
            <w:r>
              <w:rPr>
                <w:b w:val="false"/>
                <w:bCs w:val="false"/>
                <w:color w:val="000000"/>
                <w:sz w:val="18"/>
                <w:szCs w:val="18"/>
              </w:rPr>
              <w:t xml:space="preserve">/health</w:t>
            </w:r>
          </w:p>
        </w:tc>
        <w:tc>
          <w:tcPr>
            <w:tcW w:type="dxa" w:w="5500"/>
            <w:vAlign w:val="center"/>
          </w:tcPr>
          <w:p>
            <w:pPr>
              <w:jc w:val="left"/>
            </w:pPr>
            <w:r>
              <w:rPr>
                <w:b w:val="false"/>
                <w:bCs w:val="false"/>
                <w:color w:val="000000"/>
                <w:sz w:val="18"/>
                <w:szCs w:val="18"/>
              </w:rPr>
              <w:t xml:space="preserve">Vérification de l'état de santé du service (readiness/liveness probe).</w:t>
            </w:r>
          </w:p>
        </w:tc>
      </w:tr>
      <w:tr>
        <w:trPr>
          <w:cantSplit/>
        </w:trPr>
        <w:tc>
          <w:tcPr>
            <w:tcW w:type="dxa" w:w="1400"/>
            <w:vAlign w:val="center"/>
          </w:tcPr>
          <w:p>
            <w:pPr>
              <w:jc w:val="left"/>
            </w:pPr>
            <w:r>
              <w:rPr>
                <w:rFonts w:ascii="Consolas" w:cs="Consolas" w:eastAsia="Consolas" w:hAnsi="Consolas"/>
                <w:b w:val="false"/>
                <w:bCs w:val="false"/>
                <w:color w:val="000000"/>
                <w:sz w:val="18"/>
                <w:szCs w:val="18"/>
              </w:rPr>
              <w:t xml:space="preserve">GET</w:t>
            </w:r>
          </w:p>
        </w:tc>
        <w:tc>
          <w:tcPr>
            <w:tcW w:type="dxa" w:w="2400"/>
            <w:vAlign w:val="center"/>
          </w:tcPr>
          <w:p>
            <w:pPr>
              <w:jc w:val="left"/>
            </w:pPr>
            <w:r>
              <w:rPr>
                <w:b w:val="false"/>
                <w:bCs w:val="false"/>
                <w:color w:val="000000"/>
                <w:sz w:val="18"/>
                <w:szCs w:val="18"/>
              </w:rPr>
              <w:t xml:space="preserve">/model_info</w:t>
            </w:r>
          </w:p>
        </w:tc>
        <w:tc>
          <w:tcPr>
            <w:tcW w:type="dxa" w:w="5500"/>
            <w:vAlign w:val="center"/>
          </w:tcPr>
          <w:p>
            <w:pPr>
              <w:jc w:val="left"/>
            </w:pPr>
            <w:r>
              <w:rPr>
                <w:b w:val="false"/>
                <w:bCs w:val="false"/>
                <w:color w:val="000000"/>
                <w:sz w:val="18"/>
                <w:szCs w:val="18"/>
              </w:rPr>
              <w:t xml:space="preserve">Métadonnées du modèle en production (nom, exactitude, F1, AUC, variables utilisées).</w:t>
            </w:r>
          </w:p>
        </w:tc>
      </w:tr>
      <w:tr>
        <w:trPr>
          <w:cantSplit/>
        </w:trPr>
        <w:tc>
          <w:tcPr>
            <w:tcW w:type="dxa" w:w="1400"/>
            <w:vAlign w:val="center"/>
          </w:tcPr>
          <w:p>
            <w:pPr>
              <w:jc w:val="left"/>
            </w:pPr>
            <w:r>
              <w:rPr>
                <w:rFonts w:ascii="Consolas" w:cs="Consolas" w:eastAsia="Consolas" w:hAnsi="Consolas"/>
                <w:b w:val="false"/>
                <w:bCs w:val="false"/>
                <w:color w:val="000000"/>
                <w:sz w:val="18"/>
                <w:szCs w:val="18"/>
              </w:rPr>
              <w:t xml:space="preserve">POST</w:t>
            </w:r>
          </w:p>
        </w:tc>
        <w:tc>
          <w:tcPr>
            <w:tcW w:type="dxa" w:w="2400"/>
            <w:vAlign w:val="center"/>
          </w:tcPr>
          <w:p>
            <w:pPr>
              <w:jc w:val="left"/>
            </w:pPr>
            <w:r>
              <w:rPr>
                <w:b w:val="false"/>
                <w:bCs w:val="false"/>
                <w:color w:val="000000"/>
                <w:sz w:val="18"/>
                <w:szCs w:val="18"/>
              </w:rPr>
              <w:t xml:space="preserve">/predict</w:t>
            </w:r>
          </w:p>
        </w:tc>
        <w:tc>
          <w:tcPr>
            <w:tcW w:type="dxa" w:w="5500"/>
            <w:vAlign w:val="center"/>
          </w:tcPr>
          <w:p>
            <w:pPr>
              <w:jc w:val="left"/>
            </w:pPr>
            <w:r>
              <w:rPr>
                <w:b w:val="false"/>
                <w:bCs w:val="false"/>
                <w:color w:val="000000"/>
                <w:sz w:val="18"/>
                <w:szCs w:val="18"/>
              </w:rPr>
              <w:t xml:space="preserve">Prédiction pour un flux réseau unique (corps JSON).</w:t>
            </w:r>
          </w:p>
        </w:tc>
      </w:tr>
      <w:tr>
        <w:trPr>
          <w:cantSplit/>
        </w:trPr>
        <w:tc>
          <w:tcPr>
            <w:tcW w:type="dxa" w:w="1400"/>
            <w:vAlign w:val="center"/>
          </w:tcPr>
          <w:p>
            <w:pPr>
              <w:jc w:val="left"/>
            </w:pPr>
            <w:r>
              <w:rPr>
                <w:rFonts w:ascii="Consolas" w:cs="Consolas" w:eastAsia="Consolas" w:hAnsi="Consolas"/>
                <w:b w:val="false"/>
                <w:bCs w:val="false"/>
                <w:color w:val="000000"/>
                <w:sz w:val="18"/>
                <w:szCs w:val="18"/>
              </w:rPr>
              <w:t xml:space="preserve">POST</w:t>
            </w:r>
          </w:p>
        </w:tc>
        <w:tc>
          <w:tcPr>
            <w:tcW w:type="dxa" w:w="2400"/>
            <w:vAlign w:val="center"/>
          </w:tcPr>
          <w:p>
            <w:pPr>
              <w:jc w:val="left"/>
            </w:pPr>
            <w:r>
              <w:rPr>
                <w:b w:val="false"/>
                <w:bCs w:val="false"/>
                <w:color w:val="000000"/>
                <w:sz w:val="18"/>
                <w:szCs w:val="18"/>
              </w:rPr>
              <w:t xml:space="preserve">/predict_batch</w:t>
            </w:r>
          </w:p>
        </w:tc>
        <w:tc>
          <w:tcPr>
            <w:tcW w:type="dxa" w:w="5500"/>
            <w:vAlign w:val="center"/>
          </w:tcPr>
          <w:p>
            <w:pPr>
              <w:jc w:val="left"/>
            </w:pPr>
            <w:r>
              <w:rPr>
                <w:b w:val="false"/>
                <w:bCs w:val="false"/>
                <w:color w:val="000000"/>
                <w:sz w:val="18"/>
                <w:szCs w:val="18"/>
              </w:rPr>
              <w:t xml:space="preserve">Prédiction pour une liste de flux réseau (corps JSON).</w:t>
            </w:r>
          </w:p>
        </w:tc>
      </w:tr>
      <w:tr>
        <w:trPr>
          <w:cantSplit/>
        </w:trPr>
        <w:tc>
          <w:tcPr>
            <w:tcW w:type="dxa" w:w="1400"/>
            <w:vAlign w:val="center"/>
          </w:tcPr>
          <w:p>
            <w:pPr>
              <w:jc w:val="left"/>
            </w:pPr>
            <w:r>
              <w:rPr>
                <w:rFonts w:ascii="Consolas" w:cs="Consolas" w:eastAsia="Consolas" w:hAnsi="Consolas"/>
                <w:b w:val="false"/>
                <w:bCs w:val="false"/>
                <w:color w:val="000000"/>
                <w:sz w:val="18"/>
                <w:szCs w:val="18"/>
              </w:rPr>
              <w:t xml:space="preserve">POST</w:t>
            </w:r>
          </w:p>
        </w:tc>
        <w:tc>
          <w:tcPr>
            <w:tcW w:type="dxa" w:w="2400"/>
            <w:vAlign w:val="center"/>
          </w:tcPr>
          <w:p>
            <w:pPr>
              <w:jc w:val="left"/>
            </w:pPr>
            <w:r>
              <w:rPr>
                <w:b w:val="false"/>
                <w:bCs w:val="false"/>
                <w:color w:val="000000"/>
                <w:sz w:val="18"/>
                <w:szCs w:val="18"/>
              </w:rPr>
              <w:t xml:space="preserve">/predict_csv</w:t>
            </w:r>
          </w:p>
        </w:tc>
        <w:tc>
          <w:tcPr>
            <w:tcW w:type="dxa" w:w="5500"/>
            <w:vAlign w:val="center"/>
          </w:tcPr>
          <w:p>
            <w:pPr>
              <w:jc w:val="left"/>
            </w:pPr>
            <w:r>
              <w:rPr>
                <w:b w:val="false"/>
                <w:bCs w:val="false"/>
                <w:color w:val="000000"/>
                <w:sz w:val="18"/>
                <w:szCs w:val="18"/>
              </w:rPr>
              <w:t xml:space="preserve">Prédiction pour un fichier CSV de logs uploadé (multipart/form-data).</w:t>
            </w:r>
          </w:p>
        </w:tc>
      </w:tr>
      <w:tr>
        <w:trPr>
          <w:cantSplit/>
        </w:trPr>
        <w:tc>
          <w:tcPr>
            <w:tcW w:type="dxa" w:w="1400"/>
            <w:vAlign w:val="center"/>
          </w:tcPr>
          <w:p>
            <w:pPr>
              <w:jc w:val="left"/>
            </w:pPr>
            <w:r>
              <w:rPr>
                <w:rFonts w:ascii="Consolas" w:cs="Consolas" w:eastAsia="Consolas" w:hAnsi="Consolas"/>
                <w:b w:val="false"/>
                <w:bCs w:val="false"/>
                <w:color w:val="000000"/>
                <w:sz w:val="18"/>
                <w:szCs w:val="18"/>
              </w:rPr>
              <w:t xml:space="preserve">GET</w:t>
            </w:r>
          </w:p>
        </w:tc>
        <w:tc>
          <w:tcPr>
            <w:tcW w:type="dxa" w:w="2400"/>
            <w:vAlign w:val="center"/>
          </w:tcPr>
          <w:p>
            <w:pPr>
              <w:jc w:val="left"/>
            </w:pPr>
            <w:r>
              <w:rPr>
                <w:b w:val="false"/>
                <w:bCs w:val="false"/>
                <w:color w:val="000000"/>
                <w:sz w:val="18"/>
                <w:szCs w:val="18"/>
              </w:rPr>
              <w:t xml:space="preserve">/docs</w:t>
            </w:r>
          </w:p>
        </w:tc>
        <w:tc>
          <w:tcPr>
            <w:tcW w:type="dxa" w:w="5500"/>
            <w:vAlign w:val="center"/>
          </w:tcPr>
          <w:p>
            <w:pPr>
              <w:jc w:val="left"/>
            </w:pPr>
            <w:r>
              <w:rPr>
                <w:b w:val="false"/>
                <w:bCs w:val="false"/>
                <w:color w:val="000000"/>
                <w:sz w:val="18"/>
                <w:szCs w:val="18"/>
              </w:rPr>
              <w:t xml:space="preserve">Documentation interactive Swagger UI (générée automatiquement).</w:t>
            </w:r>
          </w:p>
        </w:tc>
      </w:tr>
      <w:tr>
        <w:trPr>
          <w:cantSplit/>
        </w:trPr>
        <w:tc>
          <w:tcPr>
            <w:tcW w:type="dxa" w:w="1400"/>
            <w:vAlign w:val="center"/>
          </w:tcPr>
          <w:p>
            <w:pPr>
              <w:jc w:val="left"/>
            </w:pPr>
            <w:r>
              <w:rPr>
                <w:rFonts w:ascii="Consolas" w:cs="Consolas" w:eastAsia="Consolas" w:hAnsi="Consolas"/>
                <w:b w:val="false"/>
                <w:bCs w:val="false"/>
                <w:color w:val="000000"/>
                <w:sz w:val="18"/>
                <w:szCs w:val="18"/>
              </w:rPr>
              <w:t xml:space="preserve">GET</w:t>
            </w:r>
          </w:p>
        </w:tc>
        <w:tc>
          <w:tcPr>
            <w:tcW w:type="dxa" w:w="2400"/>
            <w:vAlign w:val="center"/>
          </w:tcPr>
          <w:p>
            <w:pPr>
              <w:jc w:val="left"/>
            </w:pPr>
            <w:r>
              <w:rPr>
                <w:b w:val="false"/>
                <w:bCs w:val="false"/>
                <w:color w:val="000000"/>
                <w:sz w:val="18"/>
                <w:szCs w:val="18"/>
              </w:rPr>
              <w:t xml:space="preserve">/redoc</w:t>
            </w:r>
          </w:p>
        </w:tc>
        <w:tc>
          <w:tcPr>
            <w:tcW w:type="dxa" w:w="5500"/>
            <w:vAlign w:val="center"/>
          </w:tcPr>
          <w:p>
            <w:pPr>
              <w:jc w:val="left"/>
            </w:pPr>
            <w:r>
              <w:rPr>
                <w:b w:val="false"/>
                <w:bCs w:val="false"/>
                <w:color w:val="000000"/>
                <w:sz w:val="18"/>
                <w:szCs w:val="18"/>
              </w:rPr>
              <w:t xml:space="preserve">Documentation alternative ReDoc (générée automatiquement).</w:t>
            </w:r>
          </w:p>
        </w:tc>
      </w:tr>
    </w:tbl>
    <w:p>
      <w:pPr>
        <w:spacing w:after="200"/>
      </w:pPr>
    </w:p>
    <w:p>
      <w:pPr>
        <w:pStyle w:val="Heading2"/>
        <w:spacing w:after="120" w:before="250"/>
      </w:pPr>
      <w:r>
        <w:t xml:space="preserve">3.1 Schéma d'entrée — NetworkFlow</w:t>
      </w:r>
    </w:p>
    <w:p>
      <w:pPr>
        <w:spacing w:after="160"/>
        <w:jc w:val="both"/>
      </w:pPr>
      <w:r>
        <w:t xml:space="preserve">Chaque flux réseau soumis à /predict ou /predict_batch doit respecter le schéma Pydantic NetworkFlow, qui reprend exactement les 9 variables brutes décrites dans le sujet du projet. La validation est automatique : toute valeur manquante, mal typée ou négative (contrainte ge=0) est rejetée avec un code HTTP 422 et un message d'erreur détaillé, avant même d'atteindre le modèle.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100"/>
      </w:tblGrid>
      <w:tr>
        <w:trPr>
          <w:cantSplit/>
        </w:trPr>
        <w:tc>
          <w:tcPr>
            <w:tcW w:type="dxa" w:w="3800"/>
            <w:shd w:fill="1F4E78" w:val="clear"/>
            <w:vAlign w:val="center"/>
          </w:tcPr>
          <w:p>
            <w:pPr>
              <w:jc w:val="center"/>
            </w:pPr>
            <w:r>
              <w:rPr>
                <w:b/>
                <w:bCs/>
                <w:color w:val="FFFFFF"/>
                <w:sz w:val="18"/>
                <w:szCs w:val="18"/>
              </w:rPr>
              <w:t xml:space="preserve">Champ</w:t>
            </w:r>
          </w:p>
        </w:tc>
        <w:tc>
          <w:tcPr>
            <w:tcW w:type="dxa" w:w="2200"/>
            <w:shd w:fill="1F4E78" w:val="clear"/>
            <w:vAlign w:val="center"/>
          </w:tcPr>
          <w:p>
            <w:pPr>
              <w:jc w:val="center"/>
            </w:pPr>
            <w:r>
              <w:rPr>
                <w:b/>
                <w:bCs/>
                <w:color w:val="FFFFFF"/>
                <w:sz w:val="18"/>
                <w:szCs w:val="18"/>
              </w:rPr>
              <w:t xml:space="preserve">Type</w:t>
            </w:r>
          </w:p>
        </w:tc>
        <w:tc>
          <w:tcPr>
            <w:tcW w:type="dxa" w:w="3100"/>
            <w:shd w:fill="1F4E78" w:val="clear"/>
            <w:vAlign w:val="center"/>
          </w:tcPr>
          <w:p>
            <w:pPr>
              <w:jc w:val="center"/>
            </w:pPr>
            <w:r>
              <w:rPr>
                <w:b/>
                <w:bCs/>
                <w:color w:val="FFFFFF"/>
                <w:sz w:val="18"/>
                <w:szCs w:val="18"/>
              </w:rPr>
              <w:t xml:space="preserve">Contrainte</w:t>
            </w:r>
          </w:p>
        </w:tc>
      </w:tr>
      <w:tr>
        <w:trPr>
          <w:cantSplit/>
        </w:trPr>
        <w:tc>
          <w:tcPr>
            <w:tcW w:type="dxa" w:w="3800"/>
            <w:vAlign w:val="center"/>
          </w:tcPr>
          <w:p>
            <w:pPr>
              <w:jc w:val="left"/>
            </w:pPr>
            <w:r>
              <w:rPr>
                <w:rFonts w:ascii="Consolas" w:cs="Consolas" w:eastAsia="Consolas" w:hAnsi="Consolas"/>
                <w:b w:val="false"/>
                <w:bCs w:val="false"/>
                <w:color w:val="000000"/>
                <w:sz w:val="18"/>
                <w:szCs w:val="18"/>
              </w:rPr>
              <w:t xml:space="preserve">Duree_Connexion</w:t>
            </w:r>
          </w:p>
        </w:tc>
        <w:tc>
          <w:tcPr>
            <w:tcW w:type="dxa" w:w="2200"/>
            <w:vAlign w:val="center"/>
          </w:tcPr>
          <w:p>
            <w:pPr>
              <w:jc w:val="left"/>
            </w:pPr>
            <w:r>
              <w:rPr>
                <w:b w:val="false"/>
                <w:bCs w:val="false"/>
                <w:color w:val="000000"/>
                <w:sz w:val="18"/>
                <w:szCs w:val="18"/>
              </w:rPr>
              <w:t xml:space="preserve">float</w:t>
            </w:r>
          </w:p>
        </w:tc>
        <w:tc>
          <w:tcPr>
            <w:tcW w:type="dxa" w:w="3100"/>
            <w:vAlign w:val="center"/>
          </w:tcPr>
          <w:p>
            <w:pPr>
              <w:jc w:val="left"/>
            </w:pPr>
            <w:r>
              <w:rPr>
                <w:b w:val="false"/>
                <w:bCs w:val="false"/>
                <w:color w:val="000000"/>
                <w:sz w:val="18"/>
                <w:szCs w:val="18"/>
              </w:rPr>
              <w:t xml:space="preserve">≥ 0</w:t>
            </w:r>
          </w:p>
        </w:tc>
      </w:tr>
      <w:tr>
        <w:trPr>
          <w:cantSplit/>
        </w:trPr>
        <w:tc>
          <w:tcPr>
            <w:tcW w:type="dxa" w:w="3800"/>
            <w:vAlign w:val="center"/>
          </w:tcPr>
          <w:p>
            <w:pPr>
              <w:jc w:val="left"/>
            </w:pPr>
            <w:r>
              <w:rPr>
                <w:rFonts w:ascii="Consolas" w:cs="Consolas" w:eastAsia="Consolas" w:hAnsi="Consolas"/>
                <w:b w:val="false"/>
                <w:bCs w:val="false"/>
                <w:color w:val="000000"/>
                <w:sz w:val="18"/>
                <w:szCs w:val="18"/>
              </w:rPr>
              <w:t xml:space="preserve">Octets_Source_Vers_Dest</w:t>
            </w:r>
          </w:p>
        </w:tc>
        <w:tc>
          <w:tcPr>
            <w:tcW w:type="dxa" w:w="2200"/>
            <w:vAlign w:val="center"/>
          </w:tcPr>
          <w:p>
            <w:pPr>
              <w:jc w:val="left"/>
            </w:pPr>
            <w:r>
              <w:rPr>
                <w:b w:val="false"/>
                <w:bCs w:val="false"/>
                <w:color w:val="000000"/>
                <w:sz w:val="18"/>
                <w:szCs w:val="18"/>
              </w:rPr>
              <w:t xml:space="preserve">float</w:t>
            </w:r>
          </w:p>
        </w:tc>
        <w:tc>
          <w:tcPr>
            <w:tcW w:type="dxa" w:w="3100"/>
            <w:vAlign w:val="center"/>
          </w:tcPr>
          <w:p>
            <w:pPr>
              <w:jc w:val="left"/>
            </w:pPr>
            <w:r>
              <w:rPr>
                <w:b w:val="false"/>
                <w:bCs w:val="false"/>
                <w:color w:val="000000"/>
                <w:sz w:val="18"/>
                <w:szCs w:val="18"/>
              </w:rPr>
              <w:t xml:space="preserve">≥ 0</w:t>
            </w:r>
          </w:p>
        </w:tc>
      </w:tr>
      <w:tr>
        <w:trPr>
          <w:cantSplit/>
        </w:trPr>
        <w:tc>
          <w:tcPr>
            <w:tcW w:type="dxa" w:w="3800"/>
            <w:vAlign w:val="center"/>
          </w:tcPr>
          <w:p>
            <w:pPr>
              <w:jc w:val="left"/>
            </w:pPr>
            <w:r>
              <w:rPr>
                <w:rFonts w:ascii="Consolas" w:cs="Consolas" w:eastAsia="Consolas" w:hAnsi="Consolas"/>
                <w:b w:val="false"/>
                <w:bCs w:val="false"/>
                <w:color w:val="000000"/>
                <w:sz w:val="18"/>
                <w:szCs w:val="18"/>
              </w:rPr>
              <w:t xml:space="preserve">Octets_Dest_Vers_Source</w:t>
            </w:r>
          </w:p>
        </w:tc>
        <w:tc>
          <w:tcPr>
            <w:tcW w:type="dxa" w:w="2200"/>
            <w:vAlign w:val="center"/>
          </w:tcPr>
          <w:p>
            <w:pPr>
              <w:jc w:val="left"/>
            </w:pPr>
            <w:r>
              <w:rPr>
                <w:b w:val="false"/>
                <w:bCs w:val="false"/>
                <w:color w:val="000000"/>
                <w:sz w:val="18"/>
                <w:szCs w:val="18"/>
              </w:rPr>
              <w:t xml:space="preserve">float</w:t>
            </w:r>
          </w:p>
        </w:tc>
        <w:tc>
          <w:tcPr>
            <w:tcW w:type="dxa" w:w="3100"/>
            <w:vAlign w:val="center"/>
          </w:tcPr>
          <w:p>
            <w:pPr>
              <w:jc w:val="left"/>
            </w:pPr>
            <w:r>
              <w:rPr>
                <w:b w:val="false"/>
                <w:bCs w:val="false"/>
                <w:color w:val="000000"/>
                <w:sz w:val="18"/>
                <w:szCs w:val="18"/>
              </w:rPr>
              <w:t xml:space="preserve">≥ 0</w:t>
            </w:r>
          </w:p>
        </w:tc>
      </w:tr>
      <w:tr>
        <w:trPr>
          <w:cantSplit/>
        </w:trPr>
        <w:tc>
          <w:tcPr>
            <w:tcW w:type="dxa" w:w="3800"/>
            <w:vAlign w:val="center"/>
          </w:tcPr>
          <w:p>
            <w:pPr>
              <w:jc w:val="left"/>
            </w:pPr>
            <w:r>
              <w:rPr>
                <w:rFonts w:ascii="Consolas" w:cs="Consolas" w:eastAsia="Consolas" w:hAnsi="Consolas"/>
                <w:b w:val="false"/>
                <w:bCs w:val="false"/>
                <w:color w:val="000000"/>
                <w:sz w:val="18"/>
                <w:szCs w:val="18"/>
              </w:rPr>
              <w:t xml:space="preserve">Taux_Paquets_Secondes</w:t>
            </w:r>
          </w:p>
        </w:tc>
        <w:tc>
          <w:tcPr>
            <w:tcW w:type="dxa" w:w="2200"/>
            <w:vAlign w:val="center"/>
          </w:tcPr>
          <w:p>
            <w:pPr>
              <w:jc w:val="left"/>
            </w:pPr>
            <w:r>
              <w:rPr>
                <w:b w:val="false"/>
                <w:bCs w:val="false"/>
                <w:color w:val="000000"/>
                <w:sz w:val="18"/>
                <w:szCs w:val="18"/>
              </w:rPr>
              <w:t xml:space="preserve">float</w:t>
            </w:r>
          </w:p>
        </w:tc>
        <w:tc>
          <w:tcPr>
            <w:tcW w:type="dxa" w:w="3100"/>
            <w:vAlign w:val="center"/>
          </w:tcPr>
          <w:p>
            <w:pPr>
              <w:jc w:val="left"/>
            </w:pPr>
            <w:r>
              <w:rPr>
                <w:b w:val="false"/>
                <w:bCs w:val="false"/>
                <w:color w:val="000000"/>
                <w:sz w:val="18"/>
                <w:szCs w:val="18"/>
              </w:rPr>
              <w:t xml:space="preserve">≥ 0</w:t>
            </w:r>
          </w:p>
        </w:tc>
      </w:tr>
      <w:tr>
        <w:trPr>
          <w:cantSplit/>
        </w:trPr>
        <w:tc>
          <w:tcPr>
            <w:tcW w:type="dxa" w:w="3800"/>
            <w:vAlign w:val="center"/>
          </w:tcPr>
          <w:p>
            <w:pPr>
              <w:jc w:val="left"/>
            </w:pPr>
            <w:r>
              <w:rPr>
                <w:rFonts w:ascii="Consolas" w:cs="Consolas" w:eastAsia="Consolas" w:hAnsi="Consolas"/>
                <w:b w:val="false"/>
                <w:bCs w:val="false"/>
                <w:color w:val="000000"/>
                <w:sz w:val="18"/>
                <w:szCs w:val="18"/>
              </w:rPr>
              <w:t xml:space="preserve">Fenetre_TCP_Moyenne</w:t>
            </w:r>
          </w:p>
        </w:tc>
        <w:tc>
          <w:tcPr>
            <w:tcW w:type="dxa" w:w="2200"/>
            <w:vAlign w:val="center"/>
          </w:tcPr>
          <w:p>
            <w:pPr>
              <w:jc w:val="left"/>
            </w:pPr>
            <w:r>
              <w:rPr>
                <w:b w:val="false"/>
                <w:bCs w:val="false"/>
                <w:color w:val="000000"/>
                <w:sz w:val="18"/>
                <w:szCs w:val="18"/>
              </w:rPr>
              <w:t xml:space="preserve">float</w:t>
            </w:r>
          </w:p>
        </w:tc>
        <w:tc>
          <w:tcPr>
            <w:tcW w:type="dxa" w:w="3100"/>
            <w:vAlign w:val="center"/>
          </w:tcPr>
          <w:p>
            <w:pPr>
              <w:jc w:val="left"/>
            </w:pPr>
            <w:r>
              <w:rPr>
                <w:b w:val="false"/>
                <w:bCs w:val="false"/>
                <w:color w:val="000000"/>
                <w:sz w:val="18"/>
                <w:szCs w:val="18"/>
              </w:rPr>
              <w:t xml:space="preserve">≥ 0</w:t>
            </w:r>
          </w:p>
        </w:tc>
      </w:tr>
      <w:tr>
        <w:trPr>
          <w:cantSplit/>
        </w:trPr>
        <w:tc>
          <w:tcPr>
            <w:tcW w:type="dxa" w:w="3800"/>
            <w:vAlign w:val="center"/>
          </w:tcPr>
          <w:p>
            <w:pPr>
              <w:jc w:val="left"/>
            </w:pPr>
            <w:r>
              <w:rPr>
                <w:rFonts w:ascii="Consolas" w:cs="Consolas" w:eastAsia="Consolas" w:hAnsi="Consolas"/>
                <w:b w:val="false"/>
                <w:bCs w:val="false"/>
                <w:color w:val="000000"/>
                <w:sz w:val="18"/>
                <w:szCs w:val="18"/>
              </w:rPr>
              <w:t xml:space="preserve">Ports_Dest_Distincts</w:t>
            </w:r>
          </w:p>
        </w:tc>
        <w:tc>
          <w:tcPr>
            <w:tcW w:type="dxa" w:w="2200"/>
            <w:vAlign w:val="center"/>
          </w:tcPr>
          <w:p>
            <w:pPr>
              <w:jc w:val="left"/>
            </w:pPr>
            <w:r>
              <w:rPr>
                <w:b w:val="false"/>
                <w:bCs w:val="false"/>
                <w:color w:val="000000"/>
                <w:sz w:val="18"/>
                <w:szCs w:val="18"/>
              </w:rPr>
              <w:t xml:space="preserve">float</w:t>
            </w:r>
          </w:p>
        </w:tc>
        <w:tc>
          <w:tcPr>
            <w:tcW w:type="dxa" w:w="3100"/>
            <w:vAlign w:val="center"/>
          </w:tcPr>
          <w:p>
            <w:pPr>
              <w:jc w:val="left"/>
            </w:pPr>
            <w:r>
              <w:rPr>
                <w:b w:val="false"/>
                <w:bCs w:val="false"/>
                <w:color w:val="000000"/>
                <w:sz w:val="18"/>
                <w:szCs w:val="18"/>
              </w:rPr>
              <w:t xml:space="preserve">≥ 0</w:t>
            </w:r>
          </w:p>
        </w:tc>
      </w:tr>
      <w:tr>
        <w:trPr>
          <w:cantSplit/>
        </w:trPr>
        <w:tc>
          <w:tcPr>
            <w:tcW w:type="dxa" w:w="3800"/>
            <w:vAlign w:val="center"/>
          </w:tcPr>
          <w:p>
            <w:pPr>
              <w:jc w:val="left"/>
            </w:pPr>
            <w:r>
              <w:rPr>
                <w:rFonts w:ascii="Consolas" w:cs="Consolas" w:eastAsia="Consolas" w:hAnsi="Consolas"/>
                <w:b w:val="false"/>
                <w:bCs w:val="false"/>
                <w:color w:val="000000"/>
                <w:sz w:val="18"/>
                <w:szCs w:val="18"/>
              </w:rPr>
              <w:t xml:space="preserve">Connexions_Simultanees</w:t>
            </w:r>
          </w:p>
        </w:tc>
        <w:tc>
          <w:tcPr>
            <w:tcW w:type="dxa" w:w="2200"/>
            <w:vAlign w:val="center"/>
          </w:tcPr>
          <w:p>
            <w:pPr>
              <w:jc w:val="left"/>
            </w:pPr>
            <w:r>
              <w:rPr>
                <w:b w:val="false"/>
                <w:bCs w:val="false"/>
                <w:color w:val="000000"/>
                <w:sz w:val="18"/>
                <w:szCs w:val="18"/>
              </w:rPr>
              <w:t xml:space="preserve">float</w:t>
            </w:r>
          </w:p>
        </w:tc>
        <w:tc>
          <w:tcPr>
            <w:tcW w:type="dxa" w:w="3100"/>
            <w:vAlign w:val="center"/>
          </w:tcPr>
          <w:p>
            <w:pPr>
              <w:jc w:val="left"/>
            </w:pPr>
            <w:r>
              <w:rPr>
                <w:b w:val="false"/>
                <w:bCs w:val="false"/>
                <w:color w:val="000000"/>
                <w:sz w:val="18"/>
                <w:szCs w:val="18"/>
              </w:rPr>
              <w:t xml:space="preserve">≥ 0</w:t>
            </w:r>
          </w:p>
        </w:tc>
      </w:tr>
      <w:tr>
        <w:trPr>
          <w:cantSplit/>
        </w:trPr>
        <w:tc>
          <w:tcPr>
            <w:tcW w:type="dxa" w:w="3800"/>
            <w:vAlign w:val="center"/>
          </w:tcPr>
          <w:p>
            <w:pPr>
              <w:jc w:val="left"/>
            </w:pPr>
            <w:r>
              <w:rPr>
                <w:rFonts w:ascii="Consolas" w:cs="Consolas" w:eastAsia="Consolas" w:hAnsi="Consolas"/>
                <w:b w:val="false"/>
                <w:bCs w:val="false"/>
                <w:color w:val="000000"/>
                <w:sz w:val="18"/>
                <w:szCs w:val="18"/>
              </w:rPr>
              <w:t xml:space="preserve">Taux_Erreur_CheckSum</w:t>
            </w:r>
          </w:p>
        </w:tc>
        <w:tc>
          <w:tcPr>
            <w:tcW w:type="dxa" w:w="2200"/>
            <w:vAlign w:val="center"/>
          </w:tcPr>
          <w:p>
            <w:pPr>
              <w:jc w:val="left"/>
            </w:pPr>
            <w:r>
              <w:rPr>
                <w:b w:val="false"/>
                <w:bCs w:val="false"/>
                <w:color w:val="000000"/>
                <w:sz w:val="18"/>
                <w:szCs w:val="18"/>
              </w:rPr>
              <w:t xml:space="preserve">float</w:t>
            </w:r>
          </w:p>
        </w:tc>
        <w:tc>
          <w:tcPr>
            <w:tcW w:type="dxa" w:w="3100"/>
            <w:vAlign w:val="center"/>
          </w:tcPr>
          <w:p>
            <w:pPr>
              <w:jc w:val="left"/>
            </w:pPr>
            <w:r>
              <w:rPr>
                <w:b w:val="false"/>
                <w:bCs w:val="false"/>
                <w:color w:val="000000"/>
                <w:sz w:val="18"/>
                <w:szCs w:val="18"/>
              </w:rPr>
              <w:t xml:space="preserve">≥ 0</w:t>
            </w:r>
          </w:p>
        </w:tc>
      </w:tr>
      <w:tr>
        <w:trPr>
          <w:cantSplit/>
        </w:trPr>
        <w:tc>
          <w:tcPr>
            <w:tcW w:type="dxa" w:w="3800"/>
            <w:vAlign w:val="center"/>
          </w:tcPr>
          <w:p>
            <w:pPr>
              <w:jc w:val="left"/>
            </w:pPr>
            <w:r>
              <w:rPr>
                <w:rFonts w:ascii="Consolas" w:cs="Consolas" w:eastAsia="Consolas" w:hAnsi="Consolas"/>
                <w:b w:val="false"/>
                <w:bCs w:val="false"/>
                <w:color w:val="000000"/>
                <w:sz w:val="18"/>
                <w:szCs w:val="18"/>
              </w:rPr>
              <w:t xml:space="preserve">Frequence_SYN_Flags</w:t>
            </w:r>
          </w:p>
        </w:tc>
        <w:tc>
          <w:tcPr>
            <w:tcW w:type="dxa" w:w="2200"/>
            <w:vAlign w:val="center"/>
          </w:tcPr>
          <w:p>
            <w:pPr>
              <w:jc w:val="left"/>
            </w:pPr>
            <w:r>
              <w:rPr>
                <w:b w:val="false"/>
                <w:bCs w:val="false"/>
                <w:color w:val="000000"/>
                <w:sz w:val="18"/>
                <w:szCs w:val="18"/>
              </w:rPr>
              <w:t xml:space="preserve">float</w:t>
            </w:r>
          </w:p>
        </w:tc>
        <w:tc>
          <w:tcPr>
            <w:tcW w:type="dxa" w:w="3100"/>
            <w:vAlign w:val="center"/>
          </w:tcPr>
          <w:p>
            <w:pPr>
              <w:jc w:val="left"/>
            </w:pPr>
            <w:r>
              <w:rPr>
                <w:b w:val="false"/>
                <w:bCs w:val="false"/>
                <w:color w:val="000000"/>
                <w:sz w:val="18"/>
                <w:szCs w:val="18"/>
              </w:rPr>
              <w:t xml:space="preserve">≥ 0</w:t>
            </w:r>
          </w:p>
        </w:tc>
      </w:tr>
    </w:tbl>
    <w:p>
      <w:pPr>
        <w:spacing w:after="200"/>
      </w:pPr>
    </w:p>
    <w:p>
      <w:pPr>
        <w:pStyle w:val="Heading2"/>
        <w:spacing w:after="120" w:before="250"/>
      </w:pPr>
      <w:r>
        <w:t xml:space="preserve">3.2 Schéma de sortie — PredictionResponse</w:t>
      </w:r>
    </w:p>
    <w:p>
      <w:pPr>
        <w:spacing w:after="160"/>
        <w:jc w:val="both"/>
      </w:pPr>
      <w:r>
        <w:t xml:space="preserve">Chaque prédiction renvoie la classe prédite (code numérique et libellé), le niveau de confiance (probabilité maximale du modèle, en %), la répartition complète des probabilités sur les 4 classes, et un indicateur booléen is_threat facilitant le filtrage côté client.</w:t>
      </w:r>
    </w:p>
    <w:p>
      <w:r>
        <w:br w:type="page"/>
      </w:r>
    </w:p>
    <w:p>
      <w:pPr>
        <w:pStyle w:val="Heading1"/>
        <w:spacing w:after="150" w:before="300"/>
      </w:pPr>
      <w:r>
        <w:t xml:space="preserve">4. Exemples d'utilisation</w:t>
      </w:r>
    </w:p>
    <w:p>
      <w:pPr>
        <w:pStyle w:val="Heading2"/>
        <w:spacing w:after="120" w:before="250"/>
      </w:pPr>
      <w:r>
        <w:t xml:space="preserve">4.1 Prédiction d'un flux unique (POST /predict)</w:t>
      </w:r>
    </w:p>
    <w:p>
      <w:pPr>
        <w:spacing w:after="160"/>
        <w:jc w:val="both"/>
      </w:pPr>
      <w:r>
        <w:t xml:space="preserve">Requête :</w:t>
      </w:r>
    </w:p>
    <w:p>
      <w:pPr>
        <w:shd w:fill="F2F2F2" w:val="clear"/>
        <w:spacing w:after="0"/>
      </w:pPr>
      <w:r>
        <w:rPr>
          <w:rFonts w:ascii="Consolas" w:cs="Consolas" w:eastAsia="Consolas" w:hAnsi="Consolas"/>
          <w:sz w:val="18"/>
          <w:szCs w:val="18"/>
        </w:rPr>
        <w:t xml:space="preserve">curl -X POST http://localhost:8000/predict \</w:t>
      </w:r>
    </w:p>
    <w:p>
      <w:pPr>
        <w:shd w:fill="F2F2F2" w:val="clear"/>
        <w:spacing w:after="0"/>
      </w:pPr>
      <w:r>
        <w:rPr>
          <w:rFonts w:ascii="Consolas" w:cs="Consolas" w:eastAsia="Consolas" w:hAnsi="Consolas"/>
          <w:sz w:val="18"/>
          <w:szCs w:val="18"/>
        </w:rPr>
        <w:t xml:space="preserve">  -H "Content-Type: application/json" \</w:t>
      </w:r>
    </w:p>
    <w:p>
      <w:pPr>
        <w:shd w:fill="F2F2F2" w:val="clear"/>
        <w:spacing w:after="0"/>
      </w:pPr>
      <w:r>
        <w:rPr>
          <w:rFonts w:ascii="Consolas" w:cs="Consolas" w:eastAsia="Consolas" w:hAnsi="Consolas"/>
          <w:sz w:val="18"/>
          <w:szCs w:val="18"/>
        </w:rPr>
        <w:t xml:space="preserve">  -d '{</w:t>
      </w:r>
    </w:p>
    <w:p>
      <w:pPr>
        <w:shd w:fill="F2F2F2" w:val="clear"/>
        <w:spacing w:after="0"/>
      </w:pPr>
      <w:r>
        <w:rPr>
          <w:rFonts w:ascii="Consolas" w:cs="Consolas" w:eastAsia="Consolas" w:hAnsi="Consolas"/>
          <w:sz w:val="18"/>
          <w:szCs w:val="18"/>
        </w:rPr>
        <w:t xml:space="preserve">    "Duree_Connexion": 19867.35,</w:t>
      </w:r>
    </w:p>
    <w:p>
      <w:pPr>
        <w:shd w:fill="F2F2F2" w:val="clear"/>
        <w:spacing w:after="0"/>
      </w:pPr>
      <w:r>
        <w:rPr>
          <w:rFonts w:ascii="Consolas" w:cs="Consolas" w:eastAsia="Consolas" w:hAnsi="Consolas"/>
          <w:sz w:val="18"/>
          <w:szCs w:val="18"/>
        </w:rPr>
        <w:t xml:space="preserve">    "Octets_Source_Vers_Dest": 1717.17,</w:t>
      </w:r>
    </w:p>
    <w:p>
      <w:pPr>
        <w:shd w:fill="F2F2F2" w:val="clear"/>
        <w:spacing w:after="0"/>
      </w:pPr>
      <w:r>
        <w:rPr>
          <w:rFonts w:ascii="Consolas" w:cs="Consolas" w:eastAsia="Consolas" w:hAnsi="Consolas"/>
          <w:sz w:val="18"/>
          <w:szCs w:val="18"/>
        </w:rPr>
        <w:t xml:space="preserve">    "Octets_Dest_Vers_Source": 6886.95,</w:t>
      </w:r>
    </w:p>
    <w:p>
      <w:pPr>
        <w:shd w:fill="F2F2F2" w:val="clear"/>
        <w:spacing w:after="0"/>
      </w:pPr>
      <w:r>
        <w:rPr>
          <w:rFonts w:ascii="Consolas" w:cs="Consolas" w:eastAsia="Consolas" w:hAnsi="Consolas"/>
          <w:sz w:val="18"/>
          <w:szCs w:val="18"/>
        </w:rPr>
        <w:t xml:space="preserve">    "Taux_Paquets_Secondes": 152.1,</w:t>
      </w:r>
    </w:p>
    <w:p>
      <w:pPr>
        <w:shd w:fill="F2F2F2" w:val="clear"/>
        <w:spacing w:after="0"/>
      </w:pPr>
      <w:r>
        <w:rPr>
          <w:rFonts w:ascii="Consolas" w:cs="Consolas" w:eastAsia="Consolas" w:hAnsi="Consolas"/>
          <w:sz w:val="18"/>
          <w:szCs w:val="18"/>
        </w:rPr>
        <w:t xml:space="preserve">    "Fenetre_TCP_Moyenne": 16384,</w:t>
      </w:r>
    </w:p>
    <w:p>
      <w:pPr>
        <w:shd w:fill="F2F2F2" w:val="clear"/>
        <w:spacing w:after="0"/>
      </w:pPr>
      <w:r>
        <w:rPr>
          <w:rFonts w:ascii="Consolas" w:cs="Consolas" w:eastAsia="Consolas" w:hAnsi="Consolas"/>
          <w:sz w:val="18"/>
          <w:szCs w:val="18"/>
        </w:rPr>
        <w:t xml:space="preserve">    "Ports_Dest_Distincts": 121,</w:t>
      </w:r>
    </w:p>
    <w:p>
      <w:pPr>
        <w:shd w:fill="F2F2F2" w:val="clear"/>
        <w:spacing w:after="0"/>
      </w:pPr>
      <w:r>
        <w:rPr>
          <w:rFonts w:ascii="Consolas" w:cs="Consolas" w:eastAsia="Consolas" w:hAnsi="Consolas"/>
          <w:sz w:val="18"/>
          <w:szCs w:val="18"/>
        </w:rPr>
        <w:t xml:space="preserve">    "Connexions_Simultanees": 5,</w:t>
      </w:r>
    </w:p>
    <w:p>
      <w:pPr>
        <w:shd w:fill="F2F2F2" w:val="clear"/>
        <w:spacing w:after="0"/>
      </w:pPr>
      <w:r>
        <w:rPr>
          <w:rFonts w:ascii="Consolas" w:cs="Consolas" w:eastAsia="Consolas" w:hAnsi="Consolas"/>
          <w:sz w:val="18"/>
          <w:szCs w:val="18"/>
        </w:rPr>
        <w:t xml:space="preserve">    "Taux_Erreur_CheckSum": 0.0176,</w:t>
      </w:r>
    </w:p>
    <w:p>
      <w:pPr>
        <w:shd w:fill="F2F2F2" w:val="clear"/>
        <w:spacing w:after="0"/>
      </w:pPr>
      <w:r>
        <w:rPr>
          <w:rFonts w:ascii="Consolas" w:cs="Consolas" w:eastAsia="Consolas" w:hAnsi="Consolas"/>
          <w:sz w:val="18"/>
          <w:szCs w:val="18"/>
        </w:rPr>
        <w:t xml:space="preserve">    "Frequence_SYN_Flags": 0.0577</w:t>
      </w:r>
    </w:p>
    <w:p>
      <w:pPr>
        <w:shd w:fill="F2F2F2" w:val="clear"/>
        <w:spacing w:after="160"/>
      </w:pPr>
      <w:r>
        <w:rPr>
          <w:rFonts w:ascii="Consolas" w:cs="Consolas" w:eastAsia="Consolas" w:hAnsi="Consolas"/>
          <w:sz w:val="18"/>
          <w:szCs w:val="18"/>
        </w:rPr>
        <w:t xml:space="preserve">  }'</w:t>
      </w:r>
    </w:p>
    <w:p>
      <w:pPr>
        <w:spacing w:after="160"/>
        <w:jc w:val="both"/>
      </w:pPr>
      <w:r>
        <w:t xml:space="preserve">Réponse (200 OK)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"predicted_class": 1,</w:t>
      </w:r>
    </w:p>
    <w:p>
      <w:pPr>
        <w:shd w:fill="F2F2F2" w:val="clear"/>
        <w:spacing w:after="0"/>
      </w:pPr>
      <w:r>
        <w:rPr>
          <w:rFonts w:ascii="Consolas" w:cs="Consolas" w:eastAsia="Consolas" w:hAnsi="Consolas"/>
          <w:sz w:val="18"/>
          <w:szCs w:val="18"/>
        </w:rPr>
        <w:t xml:space="preserve">  "predicted_label": "Scan de Ports / Reconnaissance",</w:t>
      </w:r>
    </w:p>
    <w:p>
      <w:pPr>
        <w:shd w:fill="F2F2F2" w:val="clear"/>
        <w:spacing w:after="0"/>
      </w:pPr>
      <w:r>
        <w:rPr>
          <w:rFonts w:ascii="Consolas" w:cs="Consolas" w:eastAsia="Consolas" w:hAnsi="Consolas"/>
          <w:sz w:val="18"/>
          <w:szCs w:val="18"/>
        </w:rPr>
        <w:t xml:space="preserve">  "confidence": 100.0,</w:t>
      </w:r>
    </w:p>
    <w:p>
      <w:pPr>
        <w:shd w:fill="F2F2F2" w:val="clear"/>
        <w:spacing w:after="0"/>
      </w:pPr>
      <w:r>
        <w:rPr>
          <w:rFonts w:ascii="Consolas" w:cs="Consolas" w:eastAsia="Consolas" w:hAnsi="Consolas"/>
          <w:sz w:val="18"/>
          <w:szCs w:val="18"/>
        </w:rPr>
        <w:t xml:space="preserve">  "probabilities": {</w:t>
      </w:r>
    </w:p>
    <w:p>
      <w:pPr>
        <w:shd w:fill="F2F2F2" w:val="clear"/>
        <w:spacing w:after="0"/>
      </w:pPr>
      <w:r>
        <w:rPr>
          <w:rFonts w:ascii="Consolas" w:cs="Consolas" w:eastAsia="Consolas" w:hAnsi="Consolas"/>
          <w:sz w:val="18"/>
          <w:szCs w:val="18"/>
        </w:rPr>
        <w:t xml:space="preserve">    "Normal / Legitime": 0.0,</w:t>
      </w:r>
    </w:p>
    <w:p>
      <w:pPr>
        <w:shd w:fill="F2F2F2" w:val="clear"/>
        <w:spacing w:after="0"/>
      </w:pPr>
      <w:r>
        <w:rPr>
          <w:rFonts w:ascii="Consolas" w:cs="Consolas" w:eastAsia="Consolas" w:hAnsi="Consolas"/>
          <w:sz w:val="18"/>
          <w:szCs w:val="18"/>
        </w:rPr>
        <w:t xml:space="preserve">    "Scan de Ports / Reconnaissance": 100.0,</w:t>
      </w:r>
    </w:p>
    <w:p>
      <w:pPr>
        <w:shd w:fill="F2F2F2" w:val="clear"/>
        <w:spacing w:after="0"/>
      </w:pPr>
      <w:r>
        <w:rPr>
          <w:rFonts w:ascii="Consolas" w:cs="Consolas" w:eastAsia="Consolas" w:hAnsi="Consolas"/>
          <w:sz w:val="18"/>
          <w:szCs w:val="18"/>
        </w:rPr>
        <w:t xml:space="preserve">    "Attaque DDoS / Volumetrique": 0.0,</w:t>
      </w:r>
    </w:p>
    <w:p>
      <w:pPr>
        <w:shd w:fill="F2F2F2" w:val="clear"/>
        <w:spacing w:after="0"/>
      </w:pPr>
      <w:r>
        <w:rPr>
          <w:rFonts w:ascii="Consolas" w:cs="Consolas" w:eastAsia="Consolas" w:hAnsi="Consolas"/>
          <w:sz w:val="18"/>
          <w:szCs w:val="18"/>
        </w:rPr>
        <w:t xml:space="preserve">    "Infiltration / Brute-Force / Exfiltration": 0.0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"is_threat": true</w:t>
      </w:r>
    </w:p>
    <w:p>
      <w:pPr>
        <w:shd w:fill="F2F2F2" w:val="clear"/>
        <w:spacing w:after="160"/>
      </w:pPr>
      <w:r>
        <w:rPr>
          <w:rFonts w:ascii="Consolas" w:cs="Consolas" w:eastAsia="Consolas" w:hAnsi="Consolas"/>
          <w:sz w:val="18"/>
          <w:szCs w:val="18"/>
        </w:rPr>
        <w:t xml:space="preserve">}</w:t>
      </w:r>
    </w:p>
    <w:p>
      <w:pPr>
        <w:pStyle w:val="Heading2"/>
        <w:spacing w:after="120" w:before="250"/>
      </w:pPr>
      <w:r>
        <w:t xml:space="preserve">4.2 Prédiction en lot (POST /predict_batch)</w:t>
      </w:r>
    </w:p>
    <w:p>
      <w:pPr>
        <w:spacing w:after="160"/>
        <w:jc w:val="both"/>
      </w:pPr>
      <w:r>
        <w:t xml:space="preserve">Accepte un corps JSON {"flows": [...]} contenant une liste de flux réseau, et renvoie un résumé (nombre de flux, nombre de menaces, taux de menace, répartition par classe) accompagné du détail de chaque prédiction — utile pour intégrer l'API à un pipeline de traitement par lots.</w:t>
      </w:r>
    </w:p>
    <w:p>
      <w:pPr>
        <w:pStyle w:val="Heading2"/>
        <w:spacing w:after="120" w:before="250"/>
      </w:pPr>
      <w:r>
        <w:t xml:space="preserve">4.3 Import d'un fichier CSV (POST /predict_csv)</w:t>
      </w:r>
    </w:p>
    <w:p>
      <w:pPr>
        <w:spacing w:after="160"/>
        <w:jc w:val="both"/>
      </w:pPr>
      <w:r>
        <w:t xml:space="preserve">Accepte un upload multipart/form-data (champ file) contenant un CSV de logs réseau bruts, applique le pipeline de prétraitement complet, et renvoie le fichier annoté (menace prédite et confiance ajoutées à chaque ligne) au format JSON — fonctionnellement équivalent à l'onglet « Import CSV » de l'application Streamlit.</w:t>
      </w:r>
    </w:p>
    <w:p>
      <w:pPr>
        <w:spacing w:after="160"/>
        <w:jc w:val="both"/>
      </w:pPr>
      <w:r>
        <w:t xml:space="preserve">Requête :</w:t>
      </w:r>
    </w:p>
    <w:p>
      <w:pPr>
        <w:shd w:fill="F2F2F2" w:val="clear"/>
        <w:spacing w:after="0"/>
      </w:pPr>
      <w:r>
        <w:rPr>
          <w:rFonts w:ascii="Consolas" w:cs="Consolas" w:eastAsia="Consolas" w:hAnsi="Consolas"/>
          <w:sz w:val="18"/>
          <w:szCs w:val="18"/>
        </w:rPr>
        <w:t xml:space="preserve">curl -X POST http://localhost:8000/predict_csv \</w:t>
      </w:r>
    </w:p>
    <w:p>
      <w:pPr>
        <w:shd w:fill="F2F2F2" w:val="clear"/>
        <w:spacing w:after="160"/>
      </w:pPr>
      <w:r>
        <w:rPr>
          <w:rFonts w:ascii="Consolas" w:cs="Consolas" w:eastAsia="Consolas" w:hAnsi="Consolas"/>
          <w:sz w:val="18"/>
          <w:szCs w:val="18"/>
        </w:rPr>
        <w:t xml:space="preserve">  -F "file=@sample_logs_demo.csv"</w:t>
      </w:r>
    </w:p>
    <w:p>
      <w:r>
        <w:br w:type="page"/>
      </w:r>
    </w:p>
    <w:p>
      <w:pPr>
        <w:pStyle w:val="Heading1"/>
        <w:spacing w:after="150" w:before="300"/>
      </w:pPr>
      <w:r>
        <w:t xml:space="preserve">5. Tests réalisés et cohérence avec l'application Streamlit</w:t>
      </w:r>
    </w:p>
    <w:p>
      <w:pPr>
        <w:spacing w:after="160"/>
        <w:jc w:val="both"/>
      </w:pPr>
      <w:r>
        <w:t xml:space="preserve">L'ensemble des endpoints a été testé manuellement (curl) après démarrage du serveur Uvicorn en local. Le tableau suivant résume les scénarios de test exécutés et leurs résultats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800"/>
        <w:gridCol w:w="5300"/>
      </w:tblGrid>
      <w:tr>
        <w:trPr>
          <w:cantSplit/>
        </w:trPr>
        <w:tc>
          <w:tcPr>
            <w:tcW w:type="dxa" w:w="3800"/>
            <w:shd w:fill="1F4E78" w:val="clear"/>
            <w:vAlign w:val="center"/>
          </w:tcPr>
          <w:p>
            <w:pPr>
              <w:jc w:val="center"/>
            </w:pPr>
            <w:r>
              <w:rPr>
                <w:b/>
                <w:bCs/>
                <w:color w:val="FFFFFF"/>
                <w:sz w:val="18"/>
                <w:szCs w:val="18"/>
              </w:rPr>
              <w:t xml:space="preserve">Scénario testé</w:t>
            </w:r>
          </w:p>
        </w:tc>
        <w:tc>
          <w:tcPr>
            <w:tcW w:type="dxa" w:w="5300"/>
            <w:shd w:fill="1F4E78" w:val="clear"/>
            <w:vAlign w:val="center"/>
          </w:tcPr>
          <w:p>
            <w:pPr>
              <w:jc w:val="center"/>
            </w:pPr>
            <w:r>
              <w:rPr>
                <w:b/>
                <w:bCs/>
                <w:color w:val="FFFFFF"/>
                <w:sz w:val="18"/>
                <w:szCs w:val="18"/>
              </w:rPr>
              <w:t xml:space="preserve">Résultat</w:t>
            </w:r>
          </w:p>
        </w:tc>
      </w:tr>
      <w:tr>
        <w:trPr>
          <w:cantSplit/>
        </w:trPr>
        <w:tc>
          <w:tcPr>
            <w:tcW w:type="dxa" w:w="3800"/>
            <w:vAlign w:val="center"/>
          </w:tcPr>
          <w:p>
            <w:pPr>
              <w:jc w:val="left"/>
            </w:pPr>
            <w:r>
              <w:rPr>
                <w:rFonts w:ascii="Consolas" w:cs="Consolas" w:eastAsia="Consolas" w:hAnsi="Consolas"/>
                <w:b w:val="false"/>
                <w:bCs w:val="false"/>
                <w:color w:val="000000"/>
                <w:sz w:val="18"/>
                <w:szCs w:val="18"/>
              </w:rPr>
              <w:t xml:space="preserve">GET /health</w:t>
            </w:r>
          </w:p>
        </w:tc>
        <w:tc>
          <w:tcPr>
            <w:tcW w:type="dxa" w:w="5300"/>
            <w:vAlign w:val="center"/>
          </w:tcPr>
          <w:p>
            <w:pPr>
              <w:jc w:val="left"/>
            </w:pPr>
            <w:r>
              <w:rPr>
                <w:b w:val="false"/>
                <w:bCs w:val="false"/>
                <w:color w:val="000000"/>
                <w:sz w:val="18"/>
                <w:szCs w:val="18"/>
              </w:rPr>
              <w:t xml:space="preserve">200 OK — {"status": "ok", "model_loaded": true}</w:t>
            </w:r>
          </w:p>
        </w:tc>
      </w:tr>
      <w:tr>
        <w:trPr>
          <w:cantSplit/>
        </w:trPr>
        <w:tc>
          <w:tcPr>
            <w:tcW w:type="dxa" w:w="3800"/>
            <w:vAlign w:val="center"/>
          </w:tcPr>
          <w:p>
            <w:pPr>
              <w:jc w:val="left"/>
            </w:pPr>
            <w:r>
              <w:rPr>
                <w:rFonts w:ascii="Consolas" w:cs="Consolas" w:eastAsia="Consolas" w:hAnsi="Consolas"/>
                <w:b w:val="false"/>
                <w:bCs w:val="false"/>
                <w:color w:val="000000"/>
                <w:sz w:val="18"/>
                <w:szCs w:val="18"/>
              </w:rPr>
              <w:t xml:space="preserve">GET /model_info</w:t>
            </w:r>
          </w:p>
        </w:tc>
        <w:tc>
          <w:tcPr>
            <w:tcW w:type="dxa" w:w="5300"/>
            <w:vAlign w:val="center"/>
          </w:tcPr>
          <w:p>
            <w:pPr>
              <w:jc w:val="left"/>
            </w:pPr>
            <w:r>
              <w:rPr>
                <w:b w:val="false"/>
                <w:bCs w:val="false"/>
                <w:color w:val="000000"/>
                <w:sz w:val="18"/>
                <w:szCs w:val="18"/>
              </w:rPr>
              <w:t xml:space="preserve">200 OK — modèle Arbre_Decision_optimise, exactitude 99.04%, 5 variables</w:t>
            </w:r>
          </w:p>
        </w:tc>
      </w:tr>
      <w:tr>
        <w:trPr>
          <w:cantSplit/>
        </w:trPr>
        <w:tc>
          <w:tcPr>
            <w:tcW w:type="dxa" w:w="3800"/>
            <w:vAlign w:val="center"/>
          </w:tcPr>
          <w:p>
            <w:pPr>
              <w:jc w:val="left"/>
            </w:pPr>
            <w:r>
              <w:rPr>
                <w:rFonts w:ascii="Consolas" w:cs="Consolas" w:eastAsia="Consolas" w:hAnsi="Consolas"/>
                <w:b w:val="false"/>
                <w:bCs w:val="false"/>
                <w:color w:val="000000"/>
                <w:sz w:val="18"/>
                <w:szCs w:val="18"/>
              </w:rPr>
              <w:t xml:space="preserve">POST /predict (flux de scan de ports connu)</w:t>
            </w:r>
          </w:p>
        </w:tc>
        <w:tc>
          <w:tcPr>
            <w:tcW w:type="dxa" w:w="5300"/>
            <w:vAlign w:val="center"/>
          </w:tcPr>
          <w:p>
            <w:pPr>
              <w:jc w:val="left"/>
            </w:pPr>
            <w:r>
              <w:rPr>
                <w:b w:val="false"/>
                <w:bCs w:val="false"/>
                <w:color w:val="000000"/>
                <w:sz w:val="18"/>
                <w:szCs w:val="18"/>
              </w:rPr>
              <w:t xml:space="preserve">200 OK — classe 1 (Scan de Ports) prédite avec 100% de confiance, conforme à l'étiquette réelle du dataset</w:t>
            </w:r>
          </w:p>
        </w:tc>
      </w:tr>
      <w:tr>
        <w:trPr>
          <w:cantSplit/>
        </w:trPr>
        <w:tc>
          <w:tcPr>
            <w:tcW w:type="dxa" w:w="3800"/>
            <w:vAlign w:val="center"/>
          </w:tcPr>
          <w:p>
            <w:pPr>
              <w:jc w:val="left"/>
            </w:pPr>
            <w:r>
              <w:rPr>
                <w:rFonts w:ascii="Consolas" w:cs="Consolas" w:eastAsia="Consolas" w:hAnsi="Consolas"/>
                <w:b w:val="false"/>
                <w:bCs w:val="false"/>
                <w:color w:val="000000"/>
                <w:sz w:val="18"/>
                <w:szCs w:val="18"/>
              </w:rPr>
              <w:t xml:space="preserve">POST /predict_batch (2 flux)</w:t>
            </w:r>
          </w:p>
        </w:tc>
        <w:tc>
          <w:tcPr>
            <w:tcW w:type="dxa" w:w="5300"/>
            <w:vAlign w:val="center"/>
          </w:tcPr>
          <w:p>
            <w:pPr>
              <w:jc w:val="left"/>
            </w:pPr>
            <w:r>
              <w:rPr>
                <w:b w:val="false"/>
                <w:bCs w:val="false"/>
                <w:color w:val="000000"/>
                <w:sz w:val="18"/>
                <w:szCs w:val="18"/>
              </w:rPr>
              <w:t xml:space="preserve">200 OK — résumé + détail cohérents avec les étiquettes réelles</w:t>
            </w:r>
          </w:p>
        </w:tc>
      </w:tr>
      <w:tr>
        <w:trPr>
          <w:cantSplit/>
        </w:trPr>
        <w:tc>
          <w:tcPr>
            <w:tcW w:type="dxa" w:w="3800"/>
            <w:vAlign w:val="center"/>
          </w:tcPr>
          <w:p>
            <w:pPr>
              <w:jc w:val="left"/>
            </w:pPr>
            <w:r>
              <w:rPr>
                <w:rFonts w:ascii="Consolas" w:cs="Consolas" w:eastAsia="Consolas" w:hAnsi="Consolas"/>
                <w:b w:val="false"/>
                <w:bCs w:val="false"/>
                <w:color w:val="000000"/>
                <w:sz w:val="18"/>
                <w:szCs w:val="18"/>
              </w:rPr>
              <w:t xml:space="preserve">POST /predict_csv (échantillon de 50 flux)</w:t>
            </w:r>
          </w:p>
        </w:tc>
        <w:tc>
          <w:tcPr>
            <w:tcW w:type="dxa" w:w="5300"/>
            <w:vAlign w:val="center"/>
          </w:tcPr>
          <w:p>
            <w:pPr>
              <w:jc w:val="left"/>
            </w:pPr>
            <w:r>
              <w:rPr>
                <w:b w:val="false"/>
                <w:bCs w:val="false"/>
                <w:color w:val="000000"/>
                <w:sz w:val="18"/>
                <w:szCs w:val="18"/>
              </w:rPr>
              <w:t xml:space="preserve">200 OK — 16 menaces détectées sur 50 flux (32%), résultat identique à celui obtenu via l'onglet Import CSV de Streamlit sur le même fichier</w:t>
            </w:r>
          </w:p>
        </w:tc>
      </w:tr>
      <w:tr>
        <w:trPr>
          <w:cantSplit/>
        </w:trPr>
        <w:tc>
          <w:tcPr>
            <w:tcW w:type="dxa" w:w="3800"/>
            <w:vAlign w:val="center"/>
          </w:tcPr>
          <w:p>
            <w:pPr>
              <w:jc w:val="left"/>
            </w:pPr>
            <w:r>
              <w:rPr>
                <w:rFonts w:ascii="Consolas" w:cs="Consolas" w:eastAsia="Consolas" w:hAnsi="Consolas"/>
                <w:b w:val="false"/>
                <w:bCs w:val="false"/>
                <w:color w:val="000000"/>
                <w:sz w:val="18"/>
                <w:szCs w:val="18"/>
              </w:rPr>
              <w:t xml:space="preserve">POST /predict avec champs manquants</w:t>
            </w:r>
          </w:p>
        </w:tc>
        <w:tc>
          <w:tcPr>
            <w:tcW w:type="dxa" w:w="5300"/>
            <w:vAlign w:val="center"/>
          </w:tcPr>
          <w:p>
            <w:pPr>
              <w:jc w:val="left"/>
            </w:pPr>
            <w:r>
              <w:rPr>
                <w:b w:val="false"/>
                <w:bCs w:val="false"/>
                <w:color w:val="000000"/>
                <w:sz w:val="18"/>
                <w:szCs w:val="18"/>
              </w:rPr>
              <w:t xml:space="preserve">422 Unprocessable Entity — erreurs de validation Pydantic détaillées par champ</w:t>
            </w:r>
          </w:p>
        </w:tc>
      </w:tr>
      <w:tr>
        <w:trPr>
          <w:cantSplit/>
        </w:trPr>
        <w:tc>
          <w:tcPr>
            <w:tcW w:type="dxa" w:w="3800"/>
            <w:vAlign w:val="center"/>
          </w:tcPr>
          <w:p>
            <w:pPr>
              <w:jc w:val="left"/>
            </w:pPr>
            <w:r>
              <w:rPr>
                <w:rFonts w:ascii="Consolas" w:cs="Consolas" w:eastAsia="Consolas" w:hAnsi="Consolas"/>
                <w:b w:val="false"/>
                <w:bCs w:val="false"/>
                <w:color w:val="000000"/>
                <w:sz w:val="18"/>
                <w:szCs w:val="18"/>
              </w:rPr>
              <w:t xml:space="preserve">POST /predict_csv avec fichier non-CSV</w:t>
            </w:r>
          </w:p>
        </w:tc>
        <w:tc>
          <w:tcPr>
            <w:tcW w:type="dxa" w:w="5300"/>
            <w:vAlign w:val="center"/>
          </w:tcPr>
          <w:p>
            <w:pPr>
              <w:jc w:val="left"/>
            </w:pPr>
            <w:r>
              <w:rPr>
                <w:b w:val="false"/>
                <w:bCs w:val="false"/>
                <w:color w:val="000000"/>
                <w:sz w:val="18"/>
                <w:szCs w:val="18"/>
              </w:rPr>
              <w:t xml:space="preserve">400 Bad Request — message d'erreur explicite</w:t>
            </w:r>
          </w:p>
        </w:tc>
      </w:tr>
    </w:tbl>
    <w:p>
      <w:pPr>
        <w:spacing w:after="200"/>
      </w:pPr>
    </w:p>
    <w:p>
      <w:pPr>
        <w:spacing w:after="160"/>
        <w:jc w:val="both"/>
      </w:pPr>
      <w:r>
        <w:t xml:space="preserve">Le test croisé le plus important est celui du fichier outputs/sample_logs_demo.csv, soumis à la fois à l'application Streamlit (onglet Import CSV) et à l'endpoint /predict_csv de l'API : les deux interfaces renvoient exactement le même nombre de menaces détectées (16 sur 50 flux, soit 32%), ce qui confirme que l'API et l'application partagent rigoureusement le même pipeline de prétraitement et le même modèle, sans divergence d'implémentation.</w:t>
      </w:r>
    </w:p>
    <w:p>
      <w:pPr>
        <w:pStyle w:val="Heading1"/>
        <w:spacing w:after="150" w:before="300"/>
      </w:pPr>
      <w:r>
        <w:t xml:space="preserve">6. Installation et lancement</w:t>
      </w:r>
    </w:p>
    <w:p>
      <w:pPr>
        <w:spacing w:after="160"/>
        <w:jc w:val="both"/>
      </w:pPr>
      <w:r>
        <w:t xml:space="preserve">Les dépendances nécessaires (fastapi, uvicorn, python-multipart) sont ajoutées au fichier requirements.txt du projet, aux côtés des dépendances déjà utilisées pour le pipeline de Machine Learning et l'application Streamlit.</w:t>
      </w:r>
    </w:p>
    <w:p>
      <w:pPr>
        <w:shd w:fill="F2F2F2" w:val="clear"/>
        <w:spacing w:after="0"/>
      </w:pPr>
      <w:r>
        <w:rPr>
          <w:rFonts w:ascii="Consolas" w:cs="Consolas" w:eastAsia="Consolas" w:hAnsi="Consolas"/>
          <w:sz w:val="18"/>
          <w:szCs w:val="18"/>
        </w:rPr>
        <w:t xml:space="preserve">pip install -r requirements.txt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Lancement du serveur de developpement (rechargement automatique)</w:t>
      </w:r>
    </w:p>
    <w:p>
      <w:pPr>
        <w:shd w:fill="F2F2F2" w:val="clear"/>
        <w:spacing w:after="0"/>
      </w:pPr>
      <w:r>
        <w:rPr>
          <w:rFonts w:ascii="Consolas" w:cs="Consolas" w:eastAsia="Consolas" w:hAnsi="Consolas"/>
          <w:sz w:val="18"/>
          <w:szCs w:val="18"/>
        </w:rPr>
        <w:t xml:space="preserve">uvicorn api.main:app --reload --port 8000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Lancement en production (plusieurs workers)</w:t>
      </w:r>
    </w:p>
    <w:p>
      <w:pPr>
        <w:shd w:fill="F2F2F2" w:val="clear"/>
        <w:spacing w:after="160"/>
      </w:pPr>
      <w:r>
        <w:rPr>
          <w:rFonts w:ascii="Consolas" w:cs="Consolas" w:eastAsia="Consolas" w:hAnsi="Consolas"/>
          <w:sz w:val="18"/>
          <w:szCs w:val="18"/>
        </w:rPr>
        <w:t xml:space="preserve">uvicorn api.main:app --host 0.0.0.0 --port 8000 --workers 4</w:t>
      </w:r>
    </w:p>
    <w:p>
      <w:pPr>
        <w:spacing w:after="160"/>
        <w:jc w:val="both"/>
      </w:pPr>
      <w:r>
        <w:t xml:space="preserve">Une fois le serveur démarré, la documentation interactive est accessible à l'adresse http://localhost:8000/docs (Swagger UI, permet de tester chaque endpoint directement depuis le navigateur) ou http://localhost:8000/redoc (documentation statique ReDoc). Ces interfaces sont générées automatiquement par FastAPI à partir des schémas Pydantic et nécessitent un accès Internet pour charger leurs ressources visuelles (bibliothèque Swagger UI servie depuis un CDN) ; sur le poste de l'utilisateur, connecté à Internet, cette page s'affiche normalement.</w:t>
      </w:r>
    </w:p>
    <w:p>
      <w:r>
        <w:br w:type="page"/>
      </w:r>
    </w:p>
    <w:p>
      <w:pPr>
        <w:pStyle w:val="Heading1"/>
        <w:spacing w:after="150" w:before="300"/>
      </w:pPr>
      <w:r>
        <w:t xml:space="preserve">7. Sécurité, limites et pistes d'amélioration</w:t>
      </w:r>
    </w:p>
    <w:p>
      <w:pPr>
        <w:spacing w:after="160"/>
        <w:jc w:val="both"/>
      </w:pPr>
      <w:r>
        <w:t xml:space="preserve">Dans sa configuration actuelle, orientée démonstration académique, l'API autorise les requêtes cross-origin depuis n'importe quelle origine (CORS ouvert, allow_origins=["*"]) et ne met en œuvre aucun mécanisme d'authentification. Ce choix facilite les tests et l'intégration avec l'application Streamlit ou un navigateur, mais ne convient pas à un déploiement en production face à Internet.</w:t>
      </w:r>
    </w:p>
    <w:p>
      <w:pPr>
        <w:spacing w:after="160"/>
        <w:jc w:val="both"/>
      </w:pPr>
      <w:r>
        <w:t xml:space="preserve">Pour un déploiement réel au sein d'un SOC, les évolutions suivantes seraient nécessaires : restreindre les origines CORS autorisées aux seuls clients de confiance ; ajouter une authentification par clé API ou jeton JWT sur les routes de prédiction ; mettre en place une limitation de débit (rate limiting) pour prévenir les abus ; exposer le service exclusivement via HTTPS (TLS) derrière un reverse-proxy (Nginx, Traefik) ; ajouter une journalisation structurée et une supervision (métriques Prometheus, temps de réponse, taux d'erreur) ; et conteneuriser l'API (Docker) pour en faciliter le déploiement et la mise à l'échelle horizontale (plusieurs workers Uvicorn/Gunicorn).</w:t>
      </w:r>
    </w:p>
    <w:p>
      <w:pPr>
        <w:pStyle w:val="Heading1"/>
        <w:spacing w:after="150" w:before="300"/>
      </w:pPr>
      <w:r>
        <w:t xml:space="preserve">8. Conclusion</w:t>
      </w:r>
    </w:p>
    <w:p>
      <w:pPr>
        <w:spacing w:after="160"/>
        <w:jc w:val="both"/>
      </w:pPr>
      <w:r>
        <w:t xml:space="preserve">L'API FastAPI développée constitue une brique d'architecture complémentaire à l'application Streamlit livrée : elle expose le même modèle optimal (Arbre de Décision élagué et optimisé, exactitude 99.04%, AUC macro 99.92%) sous forme de service REST documenté, testé et validé, réutilisable par tout système tiers d'un environnement de sécurité opérationnel (SIEM, script d'automatisation, autre application). Cette séparation entre la couche de service (API) et la couche de présentation (GUI Streamlit) suit un principe d'architecture logicielle standard qui facilite l'évolution indépendante des deux composants.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6"/>
        <w:szCs w:val="16"/>
      </w:rPr>
      <w:t xml:space="preserve">Configuration API FastAPI — Détection d'Intrusion Réseau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46c702d2e7b8ccbc8cccec498b9dd63a70b02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2026-08-23T19:07:06.973Z</dcterms:created>
  <dcterms:modified xsi:type="dcterms:W3CDTF">2026-08-23T19:07:06.973Z</dcterms:modified>
</cp:coreProperties>
</file>

<file path=docProps/custom.xml><?xml version="1.0" encoding="utf-8"?>
<Properties xmlns="http://schemas.openxmlformats.org/officeDocument/2006/custom-properties" xmlns:vt="http://schemas.openxmlformats.org/officeDocument/2006/docPropsVTypes"/>
</file>