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135" w14:textId="5DC6F6E8" w:rsidR="00201B88" w:rsidRPr="00682181" w:rsidRDefault="00201B88" w:rsidP="00DD33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682181">
        <w:rPr>
          <w:rFonts w:ascii="Times New Roman" w:hAnsi="Times New Roman" w:cs="Times New Roman"/>
          <w:sz w:val="24"/>
          <w:szCs w:val="24"/>
          <w:lang w:val="en-US"/>
        </w:rPr>
        <w:t>Sujet</w:t>
      </w:r>
      <w:proofErr w:type="spellEnd"/>
      <w:r w:rsidRPr="00682181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6821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2181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Dividend Discount Model in the Long Run case of AIR LIQUIDE</w:t>
      </w:r>
    </w:p>
    <w:p w14:paraId="2C4F5ECB" w14:textId="77777777" w:rsidR="00D654A8" w:rsidRPr="00682181" w:rsidRDefault="00D654A8" w:rsidP="00DD33D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0D0AFA" w14:textId="3EA2599D" w:rsidR="00D654A8" w:rsidRPr="00DD33D3" w:rsidRDefault="00D654A8" w:rsidP="00DD33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DEVELOPPEMENT DU PROTOCOLE</w:t>
      </w:r>
    </w:p>
    <w:p w14:paraId="1B454755" w14:textId="77777777" w:rsidR="00201B88" w:rsidRPr="00DD33D3" w:rsidRDefault="00201B88" w:rsidP="00DD33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6B950" w14:textId="359A0DBC" w:rsidR="00201B88" w:rsidRDefault="00201B88" w:rsidP="00DD33D3">
      <w:pPr>
        <w:jc w:val="both"/>
        <w:rPr>
          <w:rFonts w:ascii="Times New Roman" w:hAnsi="Times New Roman" w:cs="Times New Roman"/>
          <w:sz w:val="24"/>
          <w:szCs w:val="24"/>
        </w:rPr>
      </w:pPr>
      <w:r w:rsidRPr="00DD33D3">
        <w:rPr>
          <w:rFonts w:ascii="Times New Roman" w:hAnsi="Times New Roman" w:cs="Times New Roman"/>
          <w:sz w:val="24"/>
          <w:szCs w:val="24"/>
        </w:rPr>
        <w:t xml:space="preserve">A la lumière de l’article de Stephen R. </w:t>
      </w:r>
      <w:proofErr w:type="gramStart"/>
      <w:r w:rsidR="00D7423C" w:rsidRPr="00DD33D3">
        <w:rPr>
          <w:rFonts w:ascii="Times New Roman" w:hAnsi="Times New Roman" w:cs="Times New Roman"/>
          <w:sz w:val="24"/>
          <w:szCs w:val="24"/>
        </w:rPr>
        <w:t>Fo</w:t>
      </w:r>
      <w:r w:rsidR="00D7423C">
        <w:rPr>
          <w:rFonts w:ascii="Times New Roman" w:hAnsi="Times New Roman" w:cs="Times New Roman"/>
          <w:sz w:val="24"/>
          <w:szCs w:val="24"/>
        </w:rPr>
        <w:t>ere</w:t>
      </w:r>
      <w:r w:rsidR="00D7423C" w:rsidRPr="00DD33D3">
        <w:rPr>
          <w:rFonts w:ascii="Times New Roman" w:hAnsi="Times New Roman" w:cs="Times New Roman"/>
          <w:sz w:val="24"/>
          <w:szCs w:val="24"/>
        </w:rPr>
        <w:t>ster</w:t>
      </w:r>
      <w:r w:rsidRPr="00DD33D3">
        <w:rPr>
          <w:rFonts w:ascii="Times New Roman" w:hAnsi="Times New Roman" w:cs="Times New Roman"/>
          <w:sz w:val="24"/>
          <w:szCs w:val="24"/>
        </w:rPr>
        <w:t xml:space="preserve">  et</w:t>
      </w:r>
      <w:proofErr w:type="gramEnd"/>
      <w:r w:rsidRPr="00DD33D3">
        <w:rPr>
          <w:rFonts w:ascii="Times New Roman" w:hAnsi="Times New Roman" w:cs="Times New Roman"/>
          <w:sz w:val="24"/>
          <w:szCs w:val="24"/>
        </w:rPr>
        <w:t xml:space="preserve"> Stephen G. Sapp, </w:t>
      </w:r>
      <w:r w:rsidR="00B765F6">
        <w:rPr>
          <w:rFonts w:ascii="Times New Roman" w:hAnsi="Times New Roman" w:cs="Times New Roman"/>
          <w:sz w:val="24"/>
          <w:szCs w:val="24"/>
        </w:rPr>
        <w:t xml:space="preserve">qui fournit des </w:t>
      </w:r>
      <w:r w:rsidR="00285163">
        <w:rPr>
          <w:rFonts w:ascii="Times New Roman" w:hAnsi="Times New Roman" w:cs="Times New Roman"/>
          <w:sz w:val="24"/>
          <w:szCs w:val="24"/>
        </w:rPr>
        <w:t xml:space="preserve">éléments intéressants confirmant la </w:t>
      </w:r>
      <w:r w:rsidR="00292E0B">
        <w:rPr>
          <w:rFonts w:ascii="Times New Roman" w:hAnsi="Times New Roman" w:cs="Times New Roman"/>
          <w:sz w:val="24"/>
          <w:szCs w:val="24"/>
        </w:rPr>
        <w:t>capacité des techniques fondées sur les flux de trésorerie actualisés à expliquer la valeur des capitaux propre d’une entreprise</w:t>
      </w:r>
      <w:r w:rsidR="00072E91">
        <w:rPr>
          <w:rFonts w:ascii="Times New Roman" w:hAnsi="Times New Roman" w:cs="Times New Roman"/>
          <w:sz w:val="24"/>
          <w:szCs w:val="24"/>
        </w:rPr>
        <w:t xml:space="preserve"> mature, de grande taille et versant des dividendes. Cette étude met également</w:t>
      </w:r>
      <w:r w:rsidRPr="00DD33D3">
        <w:rPr>
          <w:rFonts w:ascii="Times New Roman" w:hAnsi="Times New Roman" w:cs="Times New Roman"/>
          <w:sz w:val="24"/>
          <w:szCs w:val="24"/>
        </w:rPr>
        <w:t xml:space="preserve"> en évidence le fait que les modèles d’actualisation basés </w:t>
      </w:r>
      <w:proofErr w:type="gramStart"/>
      <w:r w:rsidRPr="00DD33D3">
        <w:rPr>
          <w:rFonts w:ascii="Times New Roman" w:hAnsi="Times New Roman" w:cs="Times New Roman"/>
          <w:sz w:val="24"/>
          <w:szCs w:val="24"/>
        </w:rPr>
        <w:t>sur</w:t>
      </w:r>
      <w:proofErr w:type="gramEnd"/>
      <w:r w:rsidRPr="00DD33D3">
        <w:rPr>
          <w:rFonts w:ascii="Times New Roman" w:hAnsi="Times New Roman" w:cs="Times New Roman"/>
          <w:sz w:val="24"/>
          <w:szCs w:val="24"/>
        </w:rPr>
        <w:t xml:space="preserve"> les dividendes performent mieux dans la détermination du prix d’une action que les modèles basés sur les bénéfices ces derniers</w:t>
      </w:r>
      <w:r w:rsidR="009837CF">
        <w:rPr>
          <w:rFonts w:ascii="Times New Roman" w:hAnsi="Times New Roman" w:cs="Times New Roman"/>
          <w:sz w:val="24"/>
          <w:szCs w:val="24"/>
        </w:rPr>
        <w:t>. Sachant que ces</w:t>
      </w:r>
      <w:r w:rsidR="00400BF9">
        <w:rPr>
          <w:rFonts w:ascii="Times New Roman" w:hAnsi="Times New Roman" w:cs="Times New Roman"/>
          <w:sz w:val="24"/>
          <w:szCs w:val="24"/>
        </w:rPr>
        <w:t xml:space="preserve"> deux types </w:t>
      </w:r>
      <w:proofErr w:type="gramStart"/>
      <w:r w:rsidR="00400BF9">
        <w:rPr>
          <w:rFonts w:ascii="Times New Roman" w:hAnsi="Times New Roman" w:cs="Times New Roman"/>
          <w:sz w:val="24"/>
          <w:szCs w:val="24"/>
        </w:rPr>
        <w:t xml:space="preserve">de </w:t>
      </w:r>
      <w:r w:rsidR="009837CF">
        <w:rPr>
          <w:rFonts w:ascii="Times New Roman" w:hAnsi="Times New Roman" w:cs="Times New Roman"/>
          <w:sz w:val="24"/>
          <w:szCs w:val="24"/>
        </w:rPr>
        <w:t xml:space="preserve"> modèles</w:t>
      </w:r>
      <w:proofErr w:type="gramEnd"/>
      <w:r w:rsidR="009837CF">
        <w:rPr>
          <w:rFonts w:ascii="Times New Roman" w:hAnsi="Times New Roman" w:cs="Times New Roman"/>
          <w:sz w:val="24"/>
          <w:szCs w:val="24"/>
        </w:rPr>
        <w:t xml:space="preserve"> </w:t>
      </w:r>
      <w:r w:rsidR="00400BF9">
        <w:rPr>
          <w:rFonts w:ascii="Times New Roman" w:hAnsi="Times New Roman" w:cs="Times New Roman"/>
          <w:sz w:val="24"/>
          <w:szCs w:val="24"/>
        </w:rPr>
        <w:t>sont couramment utilisés dans la pratique</w:t>
      </w:r>
      <w:r w:rsidR="00B32127">
        <w:rPr>
          <w:rFonts w:ascii="Times New Roman" w:hAnsi="Times New Roman" w:cs="Times New Roman"/>
          <w:sz w:val="24"/>
          <w:szCs w:val="24"/>
        </w:rPr>
        <w:t xml:space="preserve"> il est d’autant </w:t>
      </w:r>
      <w:r w:rsidR="001631D6">
        <w:rPr>
          <w:rFonts w:ascii="Times New Roman" w:hAnsi="Times New Roman" w:cs="Times New Roman"/>
          <w:sz w:val="24"/>
          <w:szCs w:val="24"/>
        </w:rPr>
        <w:t>plus</w:t>
      </w:r>
      <w:r w:rsidR="00B32127">
        <w:rPr>
          <w:rFonts w:ascii="Times New Roman" w:hAnsi="Times New Roman" w:cs="Times New Roman"/>
          <w:sz w:val="24"/>
          <w:szCs w:val="24"/>
        </w:rPr>
        <w:t xml:space="preserve"> important de </w:t>
      </w:r>
      <w:r w:rsidR="00D42FB9">
        <w:rPr>
          <w:rFonts w:ascii="Times New Roman" w:hAnsi="Times New Roman" w:cs="Times New Roman"/>
          <w:sz w:val="24"/>
          <w:szCs w:val="24"/>
        </w:rPr>
        <w:t>comprendre dans quel mesure ils permettent d’évaluer</w:t>
      </w:r>
      <w:r w:rsidR="001631D6">
        <w:rPr>
          <w:rFonts w:ascii="Times New Roman" w:hAnsi="Times New Roman" w:cs="Times New Roman"/>
          <w:sz w:val="24"/>
          <w:szCs w:val="24"/>
        </w:rPr>
        <w:t xml:space="preserve"> les actifs et la sensibilité des prix fondamentaux.</w:t>
      </w:r>
    </w:p>
    <w:p w14:paraId="0014A049" w14:textId="77777777" w:rsidR="0090356A" w:rsidRDefault="00F3254C" w:rsidP="00DD33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 ailleurs, </w:t>
      </w:r>
      <w:r w:rsidR="00AF05EA">
        <w:rPr>
          <w:rFonts w:ascii="Times New Roman" w:hAnsi="Times New Roman" w:cs="Times New Roman"/>
          <w:sz w:val="24"/>
          <w:szCs w:val="24"/>
        </w:rPr>
        <w:t>le développement du modèle actualisé des dividendes a toujours fait l</w:t>
      </w:r>
      <w:r w:rsidR="00D20669">
        <w:rPr>
          <w:rFonts w:ascii="Times New Roman" w:hAnsi="Times New Roman" w:cs="Times New Roman"/>
          <w:sz w:val="24"/>
          <w:szCs w:val="24"/>
        </w:rPr>
        <w:t>’objet d’un débat houleux et pointilleux car</w:t>
      </w:r>
      <w:r w:rsidR="002E148E">
        <w:rPr>
          <w:rFonts w:ascii="Times New Roman" w:hAnsi="Times New Roman" w:cs="Times New Roman"/>
          <w:sz w:val="24"/>
          <w:szCs w:val="24"/>
        </w:rPr>
        <w:t xml:space="preserve"> plusieurs auteurs se sont penchés sur la question</w:t>
      </w:r>
      <w:r w:rsidR="009F0E3B">
        <w:rPr>
          <w:rFonts w:ascii="Times New Roman" w:hAnsi="Times New Roman" w:cs="Times New Roman"/>
          <w:sz w:val="24"/>
          <w:szCs w:val="24"/>
        </w:rPr>
        <w:t>.</w:t>
      </w:r>
      <w:r w:rsidR="009035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356A">
        <w:rPr>
          <w:rFonts w:ascii="Times New Roman" w:hAnsi="Times New Roman" w:cs="Times New Roman"/>
          <w:sz w:val="24"/>
          <w:szCs w:val="24"/>
        </w:rPr>
        <w:t>Entre autre</w:t>
      </w:r>
      <w:proofErr w:type="gramEnd"/>
    </w:p>
    <w:p w14:paraId="32730924" w14:textId="77777777" w:rsidR="001B0798" w:rsidRDefault="0090356A" w:rsidP="00DD33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Burr Williams, considéré comme le père de</w:t>
      </w:r>
      <w:r w:rsidR="002541AA">
        <w:rPr>
          <w:rFonts w:ascii="Times New Roman" w:hAnsi="Times New Roman" w:cs="Times New Roman"/>
          <w:sz w:val="24"/>
          <w:szCs w:val="24"/>
        </w:rPr>
        <w:t xml:space="preserve"> ce modèle, car en 1938, dans son livre publié et intitulé « The </w:t>
      </w:r>
      <w:r w:rsidR="00260A3C">
        <w:rPr>
          <w:rFonts w:ascii="Times New Roman" w:hAnsi="Times New Roman" w:cs="Times New Roman"/>
          <w:sz w:val="24"/>
          <w:szCs w:val="24"/>
        </w:rPr>
        <w:t>T</w:t>
      </w:r>
      <w:r w:rsidR="002541AA">
        <w:rPr>
          <w:rFonts w:ascii="Times New Roman" w:hAnsi="Times New Roman" w:cs="Times New Roman"/>
          <w:sz w:val="24"/>
          <w:szCs w:val="24"/>
        </w:rPr>
        <w:t xml:space="preserve">heory of </w:t>
      </w:r>
      <w:r w:rsidR="00260A3C">
        <w:rPr>
          <w:rFonts w:ascii="Times New Roman" w:hAnsi="Times New Roman" w:cs="Times New Roman"/>
          <w:sz w:val="24"/>
          <w:szCs w:val="24"/>
        </w:rPr>
        <w:t>Investment</w:t>
      </w:r>
      <w:r w:rsidR="002541AA">
        <w:rPr>
          <w:rFonts w:ascii="Times New Roman" w:hAnsi="Times New Roman" w:cs="Times New Roman"/>
          <w:sz w:val="24"/>
          <w:szCs w:val="24"/>
        </w:rPr>
        <w:t xml:space="preserve"> Value »</w:t>
      </w:r>
      <w:r w:rsidR="009705B5">
        <w:rPr>
          <w:rFonts w:ascii="Times New Roman" w:hAnsi="Times New Roman" w:cs="Times New Roman"/>
          <w:sz w:val="24"/>
          <w:szCs w:val="24"/>
        </w:rPr>
        <w:t xml:space="preserve"> il introduit le concept de </w:t>
      </w:r>
      <w:proofErr w:type="gramStart"/>
      <w:r w:rsidR="009705B5">
        <w:rPr>
          <w:rFonts w:ascii="Times New Roman" w:hAnsi="Times New Roman" w:cs="Times New Roman"/>
          <w:sz w:val="24"/>
          <w:szCs w:val="24"/>
        </w:rPr>
        <w:t>valorisation  des</w:t>
      </w:r>
      <w:proofErr w:type="gramEnd"/>
      <w:r w:rsidR="009705B5">
        <w:rPr>
          <w:rFonts w:ascii="Times New Roman" w:hAnsi="Times New Roman" w:cs="Times New Roman"/>
          <w:sz w:val="24"/>
          <w:szCs w:val="24"/>
        </w:rPr>
        <w:t xml:space="preserve"> actions</w:t>
      </w:r>
      <w:r w:rsidR="00372999">
        <w:rPr>
          <w:rFonts w:ascii="Times New Roman" w:hAnsi="Times New Roman" w:cs="Times New Roman"/>
          <w:sz w:val="24"/>
          <w:szCs w:val="24"/>
        </w:rPr>
        <w:t xml:space="preserve"> qui </w:t>
      </w:r>
      <w:r w:rsidR="00CF2EB7">
        <w:rPr>
          <w:rFonts w:ascii="Times New Roman" w:hAnsi="Times New Roman" w:cs="Times New Roman"/>
          <w:sz w:val="24"/>
          <w:szCs w:val="24"/>
        </w:rPr>
        <w:t>s’est révélé</w:t>
      </w:r>
      <w:r w:rsidR="00372999">
        <w:rPr>
          <w:rFonts w:ascii="Times New Roman" w:hAnsi="Times New Roman" w:cs="Times New Roman"/>
          <w:sz w:val="24"/>
          <w:szCs w:val="24"/>
        </w:rPr>
        <w:t xml:space="preserve"> novateur </w:t>
      </w:r>
      <w:r w:rsidR="00CF2EB7">
        <w:rPr>
          <w:rFonts w:ascii="Times New Roman" w:hAnsi="Times New Roman" w:cs="Times New Roman"/>
          <w:sz w:val="24"/>
          <w:szCs w:val="24"/>
        </w:rPr>
        <w:t xml:space="preserve">à l’époque </w:t>
      </w:r>
      <w:r w:rsidR="00AE51C0">
        <w:rPr>
          <w:rFonts w:ascii="Times New Roman" w:hAnsi="Times New Roman" w:cs="Times New Roman"/>
          <w:sz w:val="24"/>
          <w:szCs w:val="24"/>
        </w:rPr>
        <w:t xml:space="preserve">car ayant cherché à fournir une </w:t>
      </w:r>
      <w:r w:rsidR="009C7871">
        <w:rPr>
          <w:rFonts w:ascii="Times New Roman" w:hAnsi="Times New Roman" w:cs="Times New Roman"/>
          <w:sz w:val="24"/>
          <w:szCs w:val="24"/>
        </w:rPr>
        <w:t>évaluation</w:t>
      </w:r>
      <w:r w:rsidR="00AE51C0">
        <w:rPr>
          <w:rFonts w:ascii="Times New Roman" w:hAnsi="Times New Roman" w:cs="Times New Roman"/>
          <w:sz w:val="24"/>
          <w:szCs w:val="24"/>
        </w:rPr>
        <w:t xml:space="preserve"> </w:t>
      </w:r>
      <w:r w:rsidR="009C7871">
        <w:rPr>
          <w:rFonts w:ascii="Times New Roman" w:hAnsi="Times New Roman" w:cs="Times New Roman"/>
          <w:sz w:val="24"/>
          <w:szCs w:val="24"/>
        </w:rPr>
        <w:t>précise</w:t>
      </w:r>
      <w:r w:rsidR="00AE51C0">
        <w:rPr>
          <w:rFonts w:ascii="Times New Roman" w:hAnsi="Times New Roman" w:cs="Times New Roman"/>
          <w:sz w:val="24"/>
          <w:szCs w:val="24"/>
        </w:rPr>
        <w:t xml:space="preserve"> et objective de la valeur des actions</w:t>
      </w:r>
      <w:r w:rsidR="008F24E0">
        <w:rPr>
          <w:rFonts w:ascii="Times New Roman" w:hAnsi="Times New Roman" w:cs="Times New Roman"/>
          <w:sz w:val="24"/>
          <w:szCs w:val="24"/>
        </w:rPr>
        <w:t xml:space="preserve"> plutôt que de se baser uniquement sur </w:t>
      </w:r>
      <w:r w:rsidR="00943302">
        <w:rPr>
          <w:rFonts w:ascii="Times New Roman" w:hAnsi="Times New Roman" w:cs="Times New Roman"/>
          <w:sz w:val="24"/>
          <w:szCs w:val="24"/>
        </w:rPr>
        <w:t>les fluctuations du marché</w:t>
      </w:r>
      <w:r w:rsidR="00245D4B">
        <w:rPr>
          <w:rFonts w:ascii="Times New Roman" w:hAnsi="Times New Roman" w:cs="Times New Roman"/>
          <w:sz w:val="24"/>
          <w:szCs w:val="24"/>
        </w:rPr>
        <w:t xml:space="preserve"> boursier ; </w:t>
      </w:r>
    </w:p>
    <w:p w14:paraId="77D267B8" w14:textId="660A2AE8" w:rsidR="00201B88" w:rsidRDefault="001B0798" w:rsidP="00DD33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45D4B">
        <w:rPr>
          <w:rFonts w:ascii="Times New Roman" w:hAnsi="Times New Roman" w:cs="Times New Roman"/>
          <w:sz w:val="24"/>
          <w:szCs w:val="24"/>
        </w:rPr>
        <w:t xml:space="preserve">l est </w:t>
      </w:r>
      <w:r w:rsidR="00BC6C1C">
        <w:rPr>
          <w:rFonts w:ascii="Times New Roman" w:hAnsi="Times New Roman" w:cs="Times New Roman"/>
          <w:sz w:val="24"/>
          <w:szCs w:val="24"/>
        </w:rPr>
        <w:t xml:space="preserve">nécessaire de </w:t>
      </w:r>
      <w:r w:rsidR="00D056FB">
        <w:rPr>
          <w:rFonts w:ascii="Times New Roman" w:hAnsi="Times New Roman" w:cs="Times New Roman"/>
          <w:sz w:val="24"/>
          <w:szCs w:val="24"/>
        </w:rPr>
        <w:t>souligner</w:t>
      </w:r>
      <w:r w:rsidR="00BC6C1C">
        <w:rPr>
          <w:rFonts w:ascii="Times New Roman" w:hAnsi="Times New Roman" w:cs="Times New Roman"/>
          <w:sz w:val="24"/>
          <w:szCs w:val="24"/>
        </w:rPr>
        <w:t xml:space="preserve"> que sa méthode de valorisation </w:t>
      </w:r>
      <w:r w:rsidR="00884260">
        <w:rPr>
          <w:rFonts w:ascii="Times New Roman" w:hAnsi="Times New Roman" w:cs="Times New Roman"/>
          <w:sz w:val="24"/>
          <w:szCs w:val="24"/>
        </w:rPr>
        <w:t>des actions a été largement utilisée et a influencé de</w:t>
      </w:r>
      <w:r w:rsidR="00D056FB">
        <w:rPr>
          <w:rFonts w:ascii="Times New Roman" w:hAnsi="Times New Roman" w:cs="Times New Roman"/>
          <w:sz w:val="24"/>
          <w:szCs w:val="24"/>
        </w:rPr>
        <w:t xml:space="preserve"> </w:t>
      </w:r>
      <w:r w:rsidR="00884260">
        <w:rPr>
          <w:rFonts w:ascii="Times New Roman" w:hAnsi="Times New Roman" w:cs="Times New Roman"/>
          <w:sz w:val="24"/>
          <w:szCs w:val="24"/>
        </w:rPr>
        <w:t xml:space="preserve">nombreuses </w:t>
      </w:r>
      <w:r w:rsidR="00D056FB">
        <w:rPr>
          <w:rFonts w:ascii="Times New Roman" w:hAnsi="Times New Roman" w:cs="Times New Roman"/>
          <w:sz w:val="24"/>
          <w:szCs w:val="24"/>
        </w:rPr>
        <w:t>autres théories financières</w:t>
      </w:r>
      <w:r w:rsidR="008723C3">
        <w:rPr>
          <w:rFonts w:ascii="Times New Roman" w:hAnsi="Times New Roman" w:cs="Times New Roman"/>
          <w:sz w:val="24"/>
          <w:szCs w:val="24"/>
        </w:rPr>
        <w:t>, en l’</w:t>
      </w:r>
      <w:r w:rsidR="000317E8">
        <w:rPr>
          <w:rFonts w:ascii="Times New Roman" w:hAnsi="Times New Roman" w:cs="Times New Roman"/>
          <w:sz w:val="24"/>
          <w:szCs w:val="24"/>
        </w:rPr>
        <w:t>occurrence</w:t>
      </w:r>
      <w:r w:rsidR="008723C3">
        <w:rPr>
          <w:rFonts w:ascii="Times New Roman" w:hAnsi="Times New Roman" w:cs="Times New Roman"/>
          <w:sz w:val="24"/>
          <w:szCs w:val="24"/>
        </w:rPr>
        <w:t xml:space="preserve"> </w:t>
      </w:r>
      <w:r w:rsidR="000317E8">
        <w:rPr>
          <w:rFonts w:ascii="Times New Roman" w:hAnsi="Times New Roman" w:cs="Times New Roman"/>
          <w:sz w:val="24"/>
          <w:szCs w:val="24"/>
        </w:rPr>
        <w:t>Myron J. Gordon et Eli Shapiro en 1956</w:t>
      </w:r>
      <w:r w:rsidR="00247833">
        <w:rPr>
          <w:rFonts w:ascii="Times New Roman" w:hAnsi="Times New Roman" w:cs="Times New Roman"/>
          <w:sz w:val="24"/>
          <w:szCs w:val="24"/>
        </w:rPr>
        <w:t xml:space="preserve"> ont </w:t>
      </w:r>
      <w:r w:rsidR="00AF118C">
        <w:rPr>
          <w:rFonts w:ascii="Times New Roman" w:hAnsi="Times New Roman" w:cs="Times New Roman"/>
          <w:sz w:val="24"/>
          <w:szCs w:val="24"/>
        </w:rPr>
        <w:t>développé</w:t>
      </w:r>
      <w:r w:rsidR="00247833">
        <w:rPr>
          <w:rFonts w:ascii="Times New Roman" w:hAnsi="Times New Roman" w:cs="Times New Roman"/>
          <w:sz w:val="24"/>
          <w:szCs w:val="24"/>
        </w:rPr>
        <w:t xml:space="preserve"> un modèle qui est </w:t>
      </w:r>
      <w:r w:rsidR="00D02C05">
        <w:rPr>
          <w:rFonts w:ascii="Times New Roman" w:hAnsi="Times New Roman" w:cs="Times New Roman"/>
          <w:sz w:val="24"/>
          <w:szCs w:val="24"/>
        </w:rPr>
        <w:t>aujourd’hui</w:t>
      </w:r>
      <w:r w:rsidR="00247833">
        <w:rPr>
          <w:rFonts w:ascii="Times New Roman" w:hAnsi="Times New Roman" w:cs="Times New Roman"/>
          <w:sz w:val="24"/>
          <w:szCs w:val="24"/>
        </w:rPr>
        <w:t xml:space="preserve"> est très connu sous le nom de </w:t>
      </w:r>
      <w:r w:rsidR="00AF118C">
        <w:rPr>
          <w:rFonts w:ascii="Times New Roman" w:hAnsi="Times New Roman" w:cs="Times New Roman"/>
          <w:sz w:val="24"/>
          <w:szCs w:val="24"/>
        </w:rPr>
        <w:t>« </w:t>
      </w:r>
      <w:r w:rsidR="00247833">
        <w:rPr>
          <w:rFonts w:ascii="Times New Roman" w:hAnsi="Times New Roman" w:cs="Times New Roman"/>
          <w:sz w:val="24"/>
          <w:szCs w:val="24"/>
        </w:rPr>
        <w:t xml:space="preserve"> Modèle de Gordon et Shapiro</w:t>
      </w:r>
      <w:r w:rsidR="00942F95">
        <w:rPr>
          <w:rFonts w:ascii="Times New Roman" w:hAnsi="Times New Roman" w:cs="Times New Roman"/>
          <w:sz w:val="24"/>
          <w:szCs w:val="24"/>
        </w:rPr>
        <w:t> » qui est une variation du modèle de dividende</w:t>
      </w:r>
      <w:r w:rsidR="00AC4CB2">
        <w:rPr>
          <w:rFonts w:ascii="Times New Roman" w:hAnsi="Times New Roman" w:cs="Times New Roman"/>
          <w:sz w:val="24"/>
          <w:szCs w:val="24"/>
        </w:rPr>
        <w:t xml:space="preserve"> actualisé, leur modèle prend en considération la croissance des dividendes dans le calcul de la valeur d’une </w:t>
      </w:r>
      <w:r w:rsidR="00711AA2">
        <w:rPr>
          <w:rFonts w:ascii="Times New Roman" w:hAnsi="Times New Roman" w:cs="Times New Roman"/>
          <w:sz w:val="24"/>
          <w:szCs w:val="24"/>
        </w:rPr>
        <w:t>entreprise</w:t>
      </w:r>
      <w:r w:rsidR="00E72C31">
        <w:rPr>
          <w:rFonts w:ascii="Times New Roman" w:hAnsi="Times New Roman" w:cs="Times New Roman"/>
          <w:sz w:val="24"/>
          <w:szCs w:val="24"/>
        </w:rPr>
        <w:t xml:space="preserve">, valeur qui est directement liée à sa </w:t>
      </w:r>
      <w:r w:rsidR="00627095">
        <w:rPr>
          <w:rFonts w:ascii="Times New Roman" w:hAnsi="Times New Roman" w:cs="Times New Roman"/>
          <w:sz w:val="24"/>
          <w:szCs w:val="24"/>
        </w:rPr>
        <w:t>capacité</w:t>
      </w:r>
      <w:r w:rsidR="00E72C31">
        <w:rPr>
          <w:rFonts w:ascii="Times New Roman" w:hAnsi="Times New Roman" w:cs="Times New Roman"/>
          <w:sz w:val="24"/>
          <w:szCs w:val="24"/>
        </w:rPr>
        <w:t xml:space="preserve"> à générer des profits et donc des flux de trésorerie</w:t>
      </w:r>
      <w:r w:rsidR="00627095">
        <w:rPr>
          <w:rFonts w:ascii="Times New Roman" w:hAnsi="Times New Roman" w:cs="Times New Roman"/>
          <w:sz w:val="24"/>
          <w:szCs w:val="24"/>
        </w:rPr>
        <w:t xml:space="preserve"> positifs.</w:t>
      </w:r>
    </w:p>
    <w:p w14:paraId="77BCCC27" w14:textId="61E3FC32" w:rsidR="0031509D" w:rsidRDefault="0031509D" w:rsidP="00DD33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Toutefois, </w:t>
      </w:r>
      <w:r w:rsidR="00501AFE">
        <w:rPr>
          <w:rFonts w:ascii="Times New Roman" w:hAnsi="Times New Roman" w:cs="Times New Roman"/>
          <w:sz w:val="24"/>
          <w:szCs w:val="24"/>
        </w:rPr>
        <w:t>les auteurs Franco Modigliani et Merton Miller</w:t>
      </w:r>
      <w:r w:rsidR="0043296C">
        <w:rPr>
          <w:rFonts w:ascii="Times New Roman" w:hAnsi="Times New Roman" w:cs="Times New Roman"/>
          <w:sz w:val="24"/>
          <w:szCs w:val="24"/>
        </w:rPr>
        <w:t xml:space="preserve"> ont contribué au développement de la théorie financière moderne et sont notamment connus</w:t>
      </w:r>
      <w:r w:rsidR="004C66B9">
        <w:rPr>
          <w:rFonts w:ascii="Times New Roman" w:hAnsi="Times New Roman" w:cs="Times New Roman"/>
          <w:sz w:val="24"/>
          <w:szCs w:val="24"/>
        </w:rPr>
        <w:t xml:space="preserve"> pour leur travail sur la structure de capital des entreprises. Dans leur célèbre article de 1958</w:t>
      </w:r>
      <w:r w:rsidR="00AD79DF">
        <w:rPr>
          <w:rFonts w:ascii="Times New Roman" w:hAnsi="Times New Roman" w:cs="Times New Roman"/>
          <w:sz w:val="24"/>
          <w:szCs w:val="24"/>
        </w:rPr>
        <w:t xml:space="preserve">, intitulé «  The </w:t>
      </w:r>
      <w:r w:rsidR="00787832">
        <w:rPr>
          <w:rFonts w:ascii="Times New Roman" w:hAnsi="Times New Roman" w:cs="Times New Roman"/>
          <w:sz w:val="24"/>
          <w:szCs w:val="24"/>
        </w:rPr>
        <w:t>C</w:t>
      </w:r>
      <w:r w:rsidR="00AD79DF">
        <w:rPr>
          <w:rFonts w:ascii="Times New Roman" w:hAnsi="Times New Roman" w:cs="Times New Roman"/>
          <w:sz w:val="24"/>
          <w:szCs w:val="24"/>
        </w:rPr>
        <w:t xml:space="preserve">ost of Capital, </w:t>
      </w:r>
      <w:r w:rsidR="00787832">
        <w:rPr>
          <w:rFonts w:ascii="Times New Roman" w:hAnsi="Times New Roman" w:cs="Times New Roman"/>
          <w:sz w:val="24"/>
          <w:szCs w:val="24"/>
        </w:rPr>
        <w:t>Corporation</w:t>
      </w:r>
      <w:r w:rsidR="00AD79DF">
        <w:rPr>
          <w:rFonts w:ascii="Times New Roman" w:hAnsi="Times New Roman" w:cs="Times New Roman"/>
          <w:sz w:val="24"/>
          <w:szCs w:val="24"/>
        </w:rPr>
        <w:t xml:space="preserve"> Finance and the Theory</w:t>
      </w:r>
      <w:r w:rsidR="00787832">
        <w:rPr>
          <w:rFonts w:ascii="Times New Roman" w:hAnsi="Times New Roman" w:cs="Times New Roman"/>
          <w:sz w:val="24"/>
          <w:szCs w:val="24"/>
        </w:rPr>
        <w:t xml:space="preserve"> of Investment »</w:t>
      </w:r>
      <w:r w:rsidR="003C6EF3">
        <w:rPr>
          <w:rFonts w:ascii="Times New Roman" w:hAnsi="Times New Roman" w:cs="Times New Roman"/>
          <w:sz w:val="24"/>
          <w:szCs w:val="24"/>
        </w:rPr>
        <w:t xml:space="preserve"> dans lequel ils </w:t>
      </w:r>
      <w:r w:rsidR="00931ABB">
        <w:rPr>
          <w:rFonts w:ascii="Times New Roman" w:hAnsi="Times New Roman" w:cs="Times New Roman"/>
          <w:sz w:val="24"/>
          <w:szCs w:val="24"/>
        </w:rPr>
        <w:t>remettent</w:t>
      </w:r>
      <w:r w:rsidR="003C6EF3">
        <w:rPr>
          <w:rFonts w:ascii="Times New Roman" w:hAnsi="Times New Roman" w:cs="Times New Roman"/>
          <w:sz w:val="24"/>
          <w:szCs w:val="24"/>
        </w:rPr>
        <w:t xml:space="preserve"> </w:t>
      </w:r>
      <w:r w:rsidR="00D53A11">
        <w:rPr>
          <w:rFonts w:ascii="Times New Roman" w:hAnsi="Times New Roman" w:cs="Times New Roman"/>
          <w:sz w:val="24"/>
          <w:szCs w:val="24"/>
        </w:rPr>
        <w:t>l’idée que la structure de capital d</w:t>
      </w:r>
      <w:r w:rsidR="00931ABB">
        <w:rPr>
          <w:rFonts w:ascii="Times New Roman" w:hAnsi="Times New Roman" w:cs="Times New Roman"/>
          <w:sz w:val="24"/>
          <w:szCs w:val="24"/>
        </w:rPr>
        <w:t>’une entreprise affecte sa valeur</w:t>
      </w:r>
      <w:r w:rsidR="00471C36">
        <w:rPr>
          <w:rFonts w:ascii="Times New Roman" w:hAnsi="Times New Roman" w:cs="Times New Roman"/>
          <w:sz w:val="24"/>
          <w:szCs w:val="24"/>
        </w:rPr>
        <w:t xml:space="preserve">, à travers leur théorème </w:t>
      </w:r>
      <w:r w:rsidR="000F1603">
        <w:rPr>
          <w:rFonts w:ascii="Times New Roman" w:hAnsi="Times New Roman" w:cs="Times New Roman"/>
          <w:sz w:val="24"/>
          <w:szCs w:val="24"/>
        </w:rPr>
        <w:t xml:space="preserve"> appelé ME</w:t>
      </w:r>
      <w:r w:rsidR="00295955">
        <w:rPr>
          <w:rFonts w:ascii="Times New Roman" w:hAnsi="Times New Roman" w:cs="Times New Roman"/>
          <w:sz w:val="24"/>
          <w:szCs w:val="24"/>
        </w:rPr>
        <w:t>AF</w:t>
      </w:r>
      <w:r w:rsidR="000F1603">
        <w:rPr>
          <w:rFonts w:ascii="Times New Roman" w:hAnsi="Times New Roman" w:cs="Times New Roman"/>
          <w:sz w:val="24"/>
          <w:szCs w:val="24"/>
        </w:rPr>
        <w:t xml:space="preserve">( Modigliani Miller </w:t>
      </w:r>
      <w:r w:rsidR="004105D8">
        <w:rPr>
          <w:rFonts w:ascii="Times New Roman" w:hAnsi="Times New Roman" w:cs="Times New Roman"/>
          <w:sz w:val="24"/>
          <w:szCs w:val="24"/>
        </w:rPr>
        <w:t xml:space="preserve">Merton Equilibrum Asset Pricing </w:t>
      </w:r>
      <w:r w:rsidR="00295955">
        <w:rPr>
          <w:rFonts w:ascii="Times New Roman" w:hAnsi="Times New Roman" w:cs="Times New Roman"/>
          <w:sz w:val="24"/>
          <w:szCs w:val="24"/>
        </w:rPr>
        <w:t xml:space="preserve">Model, </w:t>
      </w:r>
      <w:r w:rsidR="000C34E5">
        <w:rPr>
          <w:rFonts w:ascii="Times New Roman" w:hAnsi="Times New Roman" w:cs="Times New Roman"/>
          <w:sz w:val="24"/>
          <w:szCs w:val="24"/>
        </w:rPr>
        <w:t xml:space="preserve">qui développe la relation structure de capital </w:t>
      </w:r>
      <w:r w:rsidR="00A26861">
        <w:rPr>
          <w:rFonts w:ascii="Times New Roman" w:hAnsi="Times New Roman" w:cs="Times New Roman"/>
          <w:sz w:val="24"/>
          <w:szCs w:val="24"/>
        </w:rPr>
        <w:t xml:space="preserve">et les prix des actifs financiers, son usage se fait dans le cadre de l’évaluation </w:t>
      </w:r>
      <w:r w:rsidR="00ED3916">
        <w:rPr>
          <w:rFonts w:ascii="Times New Roman" w:hAnsi="Times New Roman" w:cs="Times New Roman"/>
          <w:sz w:val="24"/>
          <w:szCs w:val="24"/>
        </w:rPr>
        <w:t xml:space="preserve">du risque et des rendements attendus des actifs financiers en tenant compte de l’effet de l’endettement sur </w:t>
      </w:r>
      <w:r w:rsidR="00736621">
        <w:rPr>
          <w:rFonts w:ascii="Times New Roman" w:hAnsi="Times New Roman" w:cs="Times New Roman"/>
          <w:sz w:val="24"/>
          <w:szCs w:val="24"/>
        </w:rPr>
        <w:t>la composition du capital des sociétés.</w:t>
      </w:r>
    </w:p>
    <w:p w14:paraId="5557BB80" w14:textId="77777777" w:rsidR="0037101E" w:rsidRDefault="0037101E" w:rsidP="00DD33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B9005" w14:textId="63BAAF1A" w:rsidR="000317E8" w:rsidRDefault="00D654A8" w:rsidP="00DD33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4A8">
        <w:rPr>
          <w:rFonts w:ascii="Times New Roman" w:hAnsi="Times New Roman" w:cs="Times New Roman"/>
          <w:b/>
          <w:bCs/>
          <w:sz w:val="24"/>
          <w:szCs w:val="24"/>
        </w:rPr>
        <w:t>PROBLEMATIQUE</w:t>
      </w:r>
    </w:p>
    <w:p w14:paraId="0C15AEBB" w14:textId="77777777" w:rsidR="002D1FF6" w:rsidRDefault="000F797E" w:rsidP="00DD33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travaux des </w:t>
      </w:r>
      <w:r w:rsidR="0092101F">
        <w:rPr>
          <w:rFonts w:ascii="Times New Roman" w:hAnsi="Times New Roman" w:cs="Times New Roman"/>
          <w:sz w:val="24"/>
          <w:szCs w:val="24"/>
        </w:rPr>
        <w:t>auteurs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Foerster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B0D4E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AB0D4E">
        <w:rPr>
          <w:rFonts w:ascii="Times New Roman" w:hAnsi="Times New Roman" w:cs="Times New Roman"/>
          <w:sz w:val="24"/>
          <w:szCs w:val="24"/>
        </w:rPr>
        <w:t xml:space="preserve"> dans leur article de 2005</w:t>
      </w:r>
      <w:r w:rsidR="0092101F">
        <w:rPr>
          <w:rFonts w:ascii="Times New Roman" w:hAnsi="Times New Roman" w:cs="Times New Roman"/>
          <w:sz w:val="24"/>
          <w:szCs w:val="24"/>
        </w:rPr>
        <w:t xml:space="preserve"> the Dividend Discount Model in </w:t>
      </w:r>
      <w:r w:rsidR="00602649">
        <w:rPr>
          <w:rFonts w:ascii="Times New Roman" w:hAnsi="Times New Roman" w:cs="Times New Roman"/>
          <w:sz w:val="24"/>
          <w:szCs w:val="24"/>
        </w:rPr>
        <w:t xml:space="preserve">Long-Run : A clinical study </w:t>
      </w:r>
      <w:r w:rsidR="004C0AA0">
        <w:rPr>
          <w:rFonts w:ascii="Times New Roman" w:hAnsi="Times New Roman" w:cs="Times New Roman"/>
          <w:sz w:val="24"/>
          <w:szCs w:val="24"/>
        </w:rPr>
        <w:t xml:space="preserve">mettent en lumière </w:t>
      </w:r>
      <w:r w:rsidR="0070055C">
        <w:rPr>
          <w:rFonts w:ascii="Times New Roman" w:hAnsi="Times New Roman" w:cs="Times New Roman"/>
          <w:sz w:val="24"/>
          <w:szCs w:val="24"/>
        </w:rPr>
        <w:t>et application le</w:t>
      </w:r>
      <w:r w:rsidR="0057248E">
        <w:rPr>
          <w:rFonts w:ascii="Times New Roman" w:hAnsi="Times New Roman" w:cs="Times New Roman"/>
          <w:sz w:val="24"/>
          <w:szCs w:val="24"/>
        </w:rPr>
        <w:t xml:space="preserve"> Dividend Discount model</w:t>
      </w:r>
      <w:r w:rsidR="006F78C9">
        <w:rPr>
          <w:rFonts w:ascii="Times New Roman" w:hAnsi="Times New Roman" w:cs="Times New Roman"/>
          <w:sz w:val="24"/>
          <w:szCs w:val="24"/>
        </w:rPr>
        <w:t>, le Gordon Growth model et le Fed model</w:t>
      </w:r>
      <w:r w:rsidR="001656F5">
        <w:rPr>
          <w:rFonts w:ascii="Times New Roman" w:hAnsi="Times New Roman" w:cs="Times New Roman"/>
          <w:sz w:val="24"/>
          <w:szCs w:val="24"/>
        </w:rPr>
        <w:t>, étant donné que notre étude reprend synthétiquement les travaux des auteurs mais appliqués à une entreprise différente et sur une période différente</w:t>
      </w:r>
      <w:r w:rsidR="005769CB">
        <w:rPr>
          <w:rFonts w:ascii="Times New Roman" w:hAnsi="Times New Roman" w:cs="Times New Roman"/>
          <w:sz w:val="24"/>
          <w:szCs w:val="24"/>
        </w:rPr>
        <w:t xml:space="preserve">, </w:t>
      </w:r>
      <w:r w:rsidR="005769CB">
        <w:rPr>
          <w:rFonts w:ascii="Times New Roman" w:hAnsi="Times New Roman" w:cs="Times New Roman"/>
          <w:sz w:val="24"/>
          <w:szCs w:val="24"/>
        </w:rPr>
        <w:lastRenderedPageBreak/>
        <w:t>la probl</w:t>
      </w:r>
      <w:r w:rsidR="004178A7">
        <w:rPr>
          <w:rFonts w:ascii="Times New Roman" w:hAnsi="Times New Roman" w:cs="Times New Roman"/>
          <w:sz w:val="24"/>
          <w:szCs w:val="24"/>
        </w:rPr>
        <w:t xml:space="preserve">ématique centrale </w:t>
      </w:r>
      <w:r w:rsidR="00552AF6">
        <w:rPr>
          <w:rFonts w:ascii="Times New Roman" w:hAnsi="Times New Roman" w:cs="Times New Roman"/>
          <w:sz w:val="24"/>
          <w:szCs w:val="24"/>
        </w:rPr>
        <w:t>sous-jacente</w:t>
      </w:r>
      <w:r w:rsidR="004178A7">
        <w:rPr>
          <w:rFonts w:ascii="Times New Roman" w:hAnsi="Times New Roman" w:cs="Times New Roman"/>
          <w:sz w:val="24"/>
          <w:szCs w:val="24"/>
        </w:rPr>
        <w:t xml:space="preserve"> est celle savoir </w:t>
      </w:r>
      <w:r w:rsidR="004178A7" w:rsidRPr="0069635E">
        <w:rPr>
          <w:rFonts w:ascii="Times New Roman" w:hAnsi="Times New Roman" w:cs="Times New Roman"/>
          <w:b/>
          <w:bCs/>
          <w:sz w:val="24"/>
          <w:szCs w:val="24"/>
        </w:rPr>
        <w:t>: appliqués à</w:t>
      </w:r>
      <w:r w:rsidR="00CD0761" w:rsidRPr="0069635E">
        <w:rPr>
          <w:rFonts w:ascii="Times New Roman" w:hAnsi="Times New Roman" w:cs="Times New Roman"/>
          <w:b/>
          <w:bCs/>
          <w:sz w:val="24"/>
          <w:szCs w:val="24"/>
        </w:rPr>
        <w:t xml:space="preserve"> la société</w:t>
      </w:r>
      <w:r w:rsidR="004178A7" w:rsidRPr="0069635E">
        <w:rPr>
          <w:rFonts w:ascii="Times New Roman" w:hAnsi="Times New Roman" w:cs="Times New Roman"/>
          <w:b/>
          <w:bCs/>
          <w:sz w:val="24"/>
          <w:szCs w:val="24"/>
        </w:rPr>
        <w:t xml:space="preserve"> AIR LIQUIDE</w:t>
      </w:r>
      <w:r w:rsidR="00DD0A1D" w:rsidRPr="0069635E">
        <w:rPr>
          <w:rFonts w:ascii="Times New Roman" w:hAnsi="Times New Roman" w:cs="Times New Roman"/>
          <w:b/>
          <w:bCs/>
          <w:sz w:val="24"/>
          <w:szCs w:val="24"/>
        </w:rPr>
        <w:t>, quels mod</w:t>
      </w:r>
      <w:r w:rsidR="006A39E4" w:rsidRPr="0069635E">
        <w:rPr>
          <w:rFonts w:ascii="Times New Roman" w:hAnsi="Times New Roman" w:cs="Times New Roman"/>
          <w:b/>
          <w:bCs/>
          <w:sz w:val="24"/>
          <w:szCs w:val="24"/>
        </w:rPr>
        <w:t>èles</w:t>
      </w:r>
      <w:r w:rsidR="00005417" w:rsidRPr="0069635E">
        <w:rPr>
          <w:rFonts w:ascii="Times New Roman" w:hAnsi="Times New Roman" w:cs="Times New Roman"/>
          <w:b/>
          <w:bCs/>
          <w:sz w:val="24"/>
          <w:szCs w:val="24"/>
        </w:rPr>
        <w:t xml:space="preserve"> entre les modèles  d’actualisation basés sur les dividendes et </w:t>
      </w:r>
      <w:r w:rsidR="0069635E" w:rsidRPr="0069635E">
        <w:rPr>
          <w:rFonts w:ascii="Times New Roman" w:hAnsi="Times New Roman" w:cs="Times New Roman"/>
          <w:b/>
          <w:bCs/>
          <w:sz w:val="24"/>
          <w:szCs w:val="24"/>
        </w:rPr>
        <w:t xml:space="preserve">sur les bénéfices </w:t>
      </w:r>
      <w:r w:rsidR="006A39E4" w:rsidRPr="006963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0761" w:rsidRPr="0069635E">
        <w:rPr>
          <w:rFonts w:ascii="Times New Roman" w:hAnsi="Times New Roman" w:cs="Times New Roman"/>
          <w:b/>
          <w:bCs/>
          <w:sz w:val="24"/>
          <w:szCs w:val="24"/>
        </w:rPr>
        <w:t>performent</w:t>
      </w:r>
      <w:r w:rsidR="006A39E4" w:rsidRPr="0069635E">
        <w:rPr>
          <w:rFonts w:ascii="Times New Roman" w:hAnsi="Times New Roman" w:cs="Times New Roman"/>
          <w:b/>
          <w:bCs/>
          <w:sz w:val="24"/>
          <w:szCs w:val="24"/>
        </w:rPr>
        <w:t xml:space="preserve"> le mieux en matière</w:t>
      </w:r>
      <w:r w:rsidR="00CC3525" w:rsidRPr="0069635E">
        <w:rPr>
          <w:rFonts w:ascii="Times New Roman" w:hAnsi="Times New Roman" w:cs="Times New Roman"/>
          <w:b/>
          <w:bCs/>
          <w:sz w:val="24"/>
          <w:szCs w:val="24"/>
        </w:rPr>
        <w:t xml:space="preserve"> de détermination d</w:t>
      </w:r>
      <w:r w:rsidR="00552AF6" w:rsidRPr="0069635E">
        <w:rPr>
          <w:rFonts w:ascii="Times New Roman" w:hAnsi="Times New Roman" w:cs="Times New Roman"/>
          <w:b/>
          <w:bCs/>
          <w:sz w:val="24"/>
          <w:szCs w:val="24"/>
        </w:rPr>
        <w:t>e la valeur de l’entreprise ?</w:t>
      </w:r>
    </w:p>
    <w:p w14:paraId="58125BB3" w14:textId="77777777" w:rsidR="002D1FF6" w:rsidRDefault="002D1FF6" w:rsidP="00DD33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53544" w14:textId="46D7B63D" w:rsidR="001656F5" w:rsidRDefault="002D1FF6" w:rsidP="00DD33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ANALYSE EXPLORATOIRE</w:t>
      </w:r>
      <w:r w:rsidR="006A39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50944" w14:textId="262D83C8" w:rsidR="000317E8" w:rsidRDefault="0010439F" w:rsidP="00DD33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Notre an</w:t>
      </w:r>
      <w:r w:rsidR="00F5314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 w:rsidR="00F5314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se s’applique à la société </w:t>
      </w:r>
      <w:r w:rsidR="00F53149">
        <w:rPr>
          <w:rFonts w:ascii="Times New Roman" w:hAnsi="Times New Roman" w:cs="Times New Roman"/>
          <w:sz w:val="24"/>
          <w:szCs w:val="24"/>
        </w:rPr>
        <w:t xml:space="preserve">française </w:t>
      </w:r>
      <w:r>
        <w:rPr>
          <w:rFonts w:ascii="Times New Roman" w:hAnsi="Times New Roman" w:cs="Times New Roman"/>
          <w:sz w:val="24"/>
          <w:szCs w:val="24"/>
        </w:rPr>
        <w:t>AIR liquide</w:t>
      </w:r>
      <w:r w:rsidR="00C333F5">
        <w:rPr>
          <w:rFonts w:ascii="Times New Roman" w:hAnsi="Times New Roman" w:cs="Times New Roman"/>
          <w:sz w:val="24"/>
          <w:szCs w:val="24"/>
        </w:rPr>
        <w:t xml:space="preserve"> sur une période allant de </w:t>
      </w:r>
      <w:r w:rsidR="007E4CAC">
        <w:rPr>
          <w:rFonts w:ascii="Times New Roman" w:hAnsi="Times New Roman" w:cs="Times New Roman"/>
          <w:sz w:val="24"/>
          <w:szCs w:val="24"/>
        </w:rPr>
        <w:t>1987 à 2020</w:t>
      </w:r>
      <w:r w:rsidR="006427D3">
        <w:rPr>
          <w:rFonts w:ascii="Times New Roman" w:hAnsi="Times New Roman" w:cs="Times New Roman"/>
          <w:sz w:val="24"/>
          <w:szCs w:val="24"/>
        </w:rPr>
        <w:t>, il est question d</w:t>
      </w:r>
      <w:r w:rsidR="00B22EED">
        <w:rPr>
          <w:rFonts w:ascii="Times New Roman" w:hAnsi="Times New Roman" w:cs="Times New Roman"/>
          <w:sz w:val="24"/>
          <w:szCs w:val="24"/>
        </w:rPr>
        <w:t>e comparer les résultats obtenus par</w:t>
      </w:r>
      <w:r w:rsidR="00772817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6427D3">
        <w:rPr>
          <w:rFonts w:ascii="Times New Roman" w:hAnsi="Times New Roman" w:cs="Times New Roman"/>
          <w:sz w:val="24"/>
          <w:szCs w:val="24"/>
        </w:rPr>
        <w:t xml:space="preserve"> </w:t>
      </w:r>
      <w:r w:rsidR="00772817">
        <w:rPr>
          <w:rFonts w:ascii="Times New Roman" w:hAnsi="Times New Roman" w:cs="Times New Roman"/>
          <w:sz w:val="24"/>
          <w:szCs w:val="24"/>
        </w:rPr>
        <w:t>du</w:t>
      </w:r>
      <w:r w:rsidR="00AE6DFA">
        <w:rPr>
          <w:rFonts w:ascii="Times New Roman" w:hAnsi="Times New Roman" w:cs="Times New Roman"/>
          <w:sz w:val="24"/>
          <w:szCs w:val="24"/>
        </w:rPr>
        <w:t xml:space="preserve"> Gordon Growth modèle </w:t>
      </w:r>
      <w:proofErr w:type="gramStart"/>
      <w:r w:rsidR="00AE6DFA">
        <w:rPr>
          <w:rFonts w:ascii="Times New Roman" w:hAnsi="Times New Roman" w:cs="Times New Roman"/>
          <w:sz w:val="24"/>
          <w:szCs w:val="24"/>
        </w:rPr>
        <w:t xml:space="preserve">et </w:t>
      </w:r>
      <w:r w:rsidR="00772817">
        <w:rPr>
          <w:rFonts w:ascii="Times New Roman" w:hAnsi="Times New Roman" w:cs="Times New Roman"/>
          <w:sz w:val="24"/>
          <w:szCs w:val="24"/>
        </w:rPr>
        <w:t xml:space="preserve"> du</w:t>
      </w:r>
      <w:proofErr w:type="gramEnd"/>
      <w:r w:rsidR="00772817">
        <w:rPr>
          <w:rFonts w:ascii="Times New Roman" w:hAnsi="Times New Roman" w:cs="Times New Roman"/>
          <w:sz w:val="24"/>
          <w:szCs w:val="24"/>
        </w:rPr>
        <w:t xml:space="preserve"> </w:t>
      </w:r>
      <w:r w:rsidR="007D081E">
        <w:rPr>
          <w:rFonts w:ascii="Times New Roman" w:hAnsi="Times New Roman" w:cs="Times New Roman"/>
          <w:sz w:val="24"/>
          <w:szCs w:val="24"/>
        </w:rPr>
        <w:t>modèle de la Fed</w:t>
      </w:r>
      <w:r w:rsidR="00772817">
        <w:rPr>
          <w:rFonts w:ascii="Times New Roman" w:hAnsi="Times New Roman" w:cs="Times New Roman"/>
          <w:sz w:val="24"/>
          <w:szCs w:val="24"/>
        </w:rPr>
        <w:t>.</w:t>
      </w:r>
    </w:p>
    <w:p w14:paraId="237E3BE9" w14:textId="77777777" w:rsidR="00772817" w:rsidRDefault="00772817" w:rsidP="00DD33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BC232" w14:textId="77777777" w:rsidR="003C2B1C" w:rsidRDefault="00772817" w:rsidP="00441E2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441E20">
        <w:rPr>
          <w:b/>
          <w:bCs/>
        </w:rPr>
        <w:t>Le modèle de Gordon</w:t>
      </w:r>
    </w:p>
    <w:p w14:paraId="4522C0C8" w14:textId="32E9C64D" w:rsidR="00441E20" w:rsidRPr="004B7E62" w:rsidRDefault="004B7E62" w:rsidP="003C2B1C">
      <w:pPr>
        <w:pStyle w:val="ListParagraph"/>
        <w:jc w:val="both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Pt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bCs/>
                  <w:iCs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E(Dt+1)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rt-gt</m:t>
              </m:r>
            </m:den>
          </m:f>
        </m:oMath>
      </m:oMathPara>
    </w:p>
    <w:p w14:paraId="23594F84" w14:textId="2DD6926C" w:rsidR="00682181" w:rsidRDefault="00682181" w:rsidP="00DD33D3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 : espérance</w:t>
      </w:r>
    </w:p>
    <w:p w14:paraId="134C4EFC" w14:textId="18332F02" w:rsidR="00772817" w:rsidRPr="004B7E62" w:rsidRDefault="00E45B0E" w:rsidP="00DD33D3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B7E62">
        <w:rPr>
          <w:rFonts w:ascii="Times New Roman" w:hAnsi="Times New Roman" w:cs="Times New Roman"/>
          <w:iCs/>
          <w:sz w:val="24"/>
          <w:szCs w:val="24"/>
        </w:rPr>
        <w:t>Pt</w:t>
      </w:r>
      <w:r w:rsidR="004B7E6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E62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4B7E62">
        <w:rPr>
          <w:rFonts w:ascii="Times New Roman" w:hAnsi="Times New Roman" w:cs="Times New Roman"/>
          <w:iCs/>
          <w:sz w:val="24"/>
          <w:szCs w:val="24"/>
        </w:rPr>
        <w:t>rt</w:t>
      </w:r>
      <w:proofErr w:type="spellEnd"/>
      <w:r w:rsidR="002807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E62">
        <w:rPr>
          <w:rFonts w:ascii="Times New Roman" w:hAnsi="Times New Roman" w:cs="Times New Roman"/>
          <w:iCs/>
          <w:sz w:val="24"/>
          <w:szCs w:val="24"/>
        </w:rPr>
        <w:t>-</w:t>
      </w:r>
      <w:r w:rsidR="002807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E62">
        <w:rPr>
          <w:rFonts w:ascii="Times New Roman" w:hAnsi="Times New Roman" w:cs="Times New Roman"/>
          <w:iCs/>
          <w:sz w:val="24"/>
          <w:szCs w:val="24"/>
        </w:rPr>
        <w:t>gt)</w:t>
      </w:r>
      <w:r w:rsidR="002807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E62">
        <w:rPr>
          <w:rFonts w:ascii="Times New Roman" w:hAnsi="Times New Roman" w:cs="Times New Roman"/>
          <w:iCs/>
          <w:sz w:val="24"/>
          <w:szCs w:val="24"/>
        </w:rPr>
        <w:t>=</w:t>
      </w:r>
      <w:r w:rsidR="004B7E6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E62">
        <w:rPr>
          <w:rFonts w:ascii="Times New Roman" w:hAnsi="Times New Roman" w:cs="Times New Roman"/>
          <w:iCs/>
          <w:sz w:val="24"/>
          <w:szCs w:val="24"/>
        </w:rPr>
        <w:t>Dt+1</w:t>
      </w:r>
      <w:r w:rsidR="00682181">
        <w:rPr>
          <w:rFonts w:ascii="Times New Roman" w:hAnsi="Times New Roman" w:cs="Times New Roman"/>
          <w:iCs/>
          <w:sz w:val="24"/>
          <w:szCs w:val="24"/>
        </w:rPr>
        <w:t xml:space="preserve"> … (1)</w:t>
      </w:r>
    </w:p>
    <w:p w14:paraId="7AC67F34" w14:textId="4AC3D44F" w:rsidR="00E45B0E" w:rsidRPr="0028073D" w:rsidRDefault="00294D5E" w:rsidP="00DD33D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 w:rsidRPr="0028073D">
        <w:rPr>
          <w:rFonts w:ascii="Times New Roman" w:hAnsi="Times New Roman" w:cs="Times New Roman"/>
          <w:iCs/>
          <w:sz w:val="24"/>
          <w:szCs w:val="24"/>
        </w:rPr>
        <w:t>r</w:t>
      </w:r>
      <w:r w:rsidR="00A66524" w:rsidRPr="0028073D">
        <w:rPr>
          <w:rFonts w:ascii="Times New Roman" w:hAnsi="Times New Roman" w:cs="Times New Roman"/>
          <w:iCs/>
          <w:sz w:val="24"/>
          <w:szCs w:val="24"/>
        </w:rPr>
        <w:t>t</w:t>
      </w:r>
      <w:proofErr w:type="gramEnd"/>
      <w:r w:rsidR="002807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66524" w:rsidRPr="0028073D">
        <w:rPr>
          <w:rFonts w:ascii="Times New Roman" w:hAnsi="Times New Roman" w:cs="Times New Roman"/>
          <w:iCs/>
          <w:sz w:val="24"/>
          <w:szCs w:val="24"/>
        </w:rPr>
        <w:t>-</w:t>
      </w:r>
      <w:r w:rsidR="002807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66524" w:rsidRPr="0028073D">
        <w:rPr>
          <w:rFonts w:ascii="Times New Roman" w:hAnsi="Times New Roman" w:cs="Times New Roman"/>
          <w:iCs/>
          <w:sz w:val="24"/>
          <w:szCs w:val="24"/>
        </w:rPr>
        <w:t>gt</w:t>
      </w:r>
      <w:r w:rsidR="002807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66524" w:rsidRPr="0028073D">
        <w:rPr>
          <w:rFonts w:ascii="Times New Roman" w:hAnsi="Times New Roman" w:cs="Times New Roman"/>
          <w:iCs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+Ɛt</m:t>
        </m:r>
      </m:oMath>
    </w:p>
    <w:p w14:paraId="6F91F2F5" w14:textId="5DA7284D" w:rsidR="00294D5E" w:rsidRPr="0028073D" w:rsidRDefault="00682181" w:rsidP="00DD33D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=&gt; </w:t>
      </w:r>
      <w:proofErr w:type="spellStart"/>
      <w:r w:rsidR="00294D5E" w:rsidRPr="0028073D">
        <w:rPr>
          <w:rFonts w:ascii="Times New Roman" w:eastAsiaTheme="minorEastAsia" w:hAnsi="Times New Roman" w:cs="Times New Roman"/>
          <w:sz w:val="24"/>
          <w:szCs w:val="24"/>
        </w:rPr>
        <w:t>rt</w:t>
      </w:r>
      <w:proofErr w:type="spellEnd"/>
      <w:r w:rsidR="00F80D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D5E" w:rsidRPr="0028073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80D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D5E" w:rsidRPr="0028073D">
        <w:rPr>
          <w:rFonts w:ascii="Times New Roman" w:eastAsiaTheme="minorEastAsia" w:hAnsi="Times New Roman" w:cs="Times New Roman"/>
          <w:sz w:val="24"/>
          <w:szCs w:val="24"/>
        </w:rPr>
        <w:t>gt-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Ɛt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…. (2)</w:t>
      </w:r>
    </w:p>
    <w:p w14:paraId="23BE55FE" w14:textId="63F6CE7B" w:rsidR="00E7690A" w:rsidRPr="005B35FE" w:rsidRDefault="00F05195" w:rsidP="00DD33D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B35FE">
        <w:rPr>
          <w:rFonts w:ascii="Times New Roman" w:eastAsiaTheme="minorEastAsia" w:hAnsi="Times New Roman" w:cs="Times New Roman"/>
          <w:sz w:val="24"/>
          <w:szCs w:val="24"/>
        </w:rPr>
        <w:t xml:space="preserve">On </w:t>
      </w:r>
      <w:r w:rsidR="005B35FE" w:rsidRPr="005B35FE">
        <w:rPr>
          <w:rFonts w:ascii="Times New Roman" w:eastAsiaTheme="minorEastAsia" w:hAnsi="Times New Roman" w:cs="Times New Roman"/>
          <w:sz w:val="24"/>
          <w:szCs w:val="24"/>
        </w:rPr>
        <w:t>obtient</w:t>
      </w:r>
      <w:r w:rsidRPr="005B35FE">
        <w:rPr>
          <w:rFonts w:ascii="Times New Roman" w:eastAsiaTheme="minorEastAsia" w:hAnsi="Times New Roman" w:cs="Times New Roman"/>
          <w:sz w:val="24"/>
          <w:szCs w:val="24"/>
        </w:rPr>
        <w:t xml:space="preserve"> alors le modèle à estimer suivant</w:t>
      </w:r>
      <w:r w:rsidR="00682181">
        <w:rPr>
          <w:rFonts w:ascii="Times New Roman" w:eastAsiaTheme="minorEastAsia" w:hAnsi="Times New Roman" w:cs="Times New Roman"/>
          <w:sz w:val="24"/>
          <w:szCs w:val="24"/>
        </w:rPr>
        <w:t xml:space="preserve"> (avec (1) et (2))</w:t>
      </w:r>
      <w:r w:rsidRPr="005B35FE">
        <w:rPr>
          <w:rFonts w:ascii="Times New Roman" w:eastAsiaTheme="minorEastAsia" w:hAnsi="Times New Roman" w:cs="Times New Roman"/>
          <w:sz w:val="24"/>
          <w:szCs w:val="24"/>
        </w:rPr>
        <w:t> :</w:t>
      </w:r>
    </w:p>
    <w:p w14:paraId="6B91CF46" w14:textId="366B5F84" w:rsidR="00F05195" w:rsidRPr="004B7E62" w:rsidRDefault="00000000" w:rsidP="00DD33D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Dt+1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-rt+gt=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Ɛt</m:t>
          </m:r>
        </m:oMath>
      </m:oMathPara>
    </w:p>
    <w:p w14:paraId="1DAAD109" w14:textId="10487F74" w:rsidR="00310148" w:rsidRPr="004B7E62" w:rsidRDefault="00000000" w:rsidP="0031014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Dt+1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-rf,t-β(Rmt-rf,t)+gt=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Ɛt</m:t>
          </m:r>
        </m:oMath>
      </m:oMathPara>
    </w:p>
    <w:p w14:paraId="3BA1BF3B" w14:textId="5E61425E" w:rsidR="00294D5E" w:rsidRPr="00155409" w:rsidRDefault="00000000" w:rsidP="00DD33D3">
      <w:p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Dt+1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Pt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-rf,t=β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Rmt-rf,t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-∑ậgt+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Ɛt</m:t>
          </m:r>
        </m:oMath>
      </m:oMathPara>
    </w:p>
    <w:p w14:paraId="6888F5E3" w14:textId="77777777" w:rsidR="00441E20" w:rsidRPr="00441E20" w:rsidRDefault="00441E20" w:rsidP="00441E2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1E20">
        <w:rPr>
          <w:rFonts w:ascii="Times New Roman" w:hAnsi="Times New Roman" w:cs="Times New Roman"/>
          <w:b/>
          <w:bCs/>
          <w:sz w:val="24"/>
          <w:szCs w:val="24"/>
        </w:rPr>
        <w:t>Pt</w:t>
      </w:r>
      <w:r w:rsidRPr="00441E2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41E20">
        <w:rPr>
          <w:rFonts w:ascii="Times New Roman" w:hAnsi="Times New Roman" w:cs="Times New Roman"/>
          <w:sz w:val="24"/>
          <w:szCs w:val="24"/>
        </w:rPr>
        <w:t xml:space="preserve"> le prix au temps t </w:t>
      </w:r>
    </w:p>
    <w:p w14:paraId="694DE1ED" w14:textId="77777777" w:rsidR="00441E20" w:rsidRPr="00441E20" w:rsidRDefault="00441E20" w:rsidP="00441E2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1E20">
        <w:rPr>
          <w:rFonts w:ascii="Times New Roman" w:hAnsi="Times New Roman" w:cs="Times New Roman"/>
          <w:b/>
          <w:bCs/>
          <w:sz w:val="24"/>
          <w:szCs w:val="24"/>
        </w:rPr>
        <w:t>Dt+</w:t>
      </w:r>
      <w:proofErr w:type="gramStart"/>
      <w:r w:rsidRPr="00441E2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41E2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41E20">
        <w:rPr>
          <w:rFonts w:ascii="Times New Roman" w:hAnsi="Times New Roman" w:cs="Times New Roman"/>
          <w:sz w:val="24"/>
          <w:szCs w:val="24"/>
        </w:rPr>
        <w:t xml:space="preserve"> le dividende nominal annuel  attendu payé sur l’action à t+1</w:t>
      </w:r>
    </w:p>
    <w:p w14:paraId="6BE1207B" w14:textId="77777777" w:rsidR="00441E20" w:rsidRDefault="00441E20" w:rsidP="00441E2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1E20">
        <w:rPr>
          <w:rFonts w:ascii="Times New Roman" w:hAnsi="Times New Roman" w:cs="Times New Roman"/>
          <w:b/>
          <w:bCs/>
          <w:sz w:val="24"/>
          <w:szCs w:val="24"/>
        </w:rPr>
        <w:t>rt</w:t>
      </w:r>
      <w:r w:rsidRPr="00441E2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41E20">
        <w:rPr>
          <w:rFonts w:ascii="Times New Roman" w:hAnsi="Times New Roman" w:cs="Times New Roman"/>
          <w:sz w:val="24"/>
          <w:szCs w:val="24"/>
        </w:rPr>
        <w:t xml:space="preserve"> le taux d’actualisation attendu au temps t</w:t>
      </w:r>
    </w:p>
    <w:p w14:paraId="0156D515" w14:textId="2800C296" w:rsidR="00441E20" w:rsidRDefault="00174108" w:rsidP="00441E2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Rm,t</w:t>
      </w:r>
      <w:r w:rsidRPr="00174108">
        <w:rPr>
          <w:rFonts w:ascii="Times New Roman" w:hAnsi="Times New Roman" w:cs="Times New Roman"/>
          <w:sz w:val="24"/>
          <w:szCs w:val="24"/>
        </w:rPr>
        <w:t>-</w:t>
      </w:r>
      <w:r w:rsidR="009A2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rf,t</w:t>
      </w:r>
    </w:p>
    <w:p w14:paraId="1E349013" w14:textId="2CEBB481" w:rsidR="00441E20" w:rsidRDefault="00174108" w:rsidP="001741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Rm,t</w:t>
      </w:r>
      <w:proofErr w:type="gramEnd"/>
      <w:r w:rsidR="00872288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872288" w:rsidRPr="00872288">
        <w:rPr>
          <w:rFonts w:ascii="Times New Roman" w:hAnsi="Times New Roman" w:cs="Times New Roman"/>
          <w:sz w:val="24"/>
          <w:szCs w:val="24"/>
        </w:rPr>
        <w:t>:</w:t>
      </w:r>
      <w:r w:rsidR="00872288">
        <w:rPr>
          <w:rFonts w:ascii="Times New Roman" w:hAnsi="Times New Roman" w:cs="Times New Roman"/>
          <w:sz w:val="24"/>
          <w:szCs w:val="24"/>
        </w:rPr>
        <w:t xml:space="preserve"> la rentabilité du marché</w:t>
      </w:r>
      <w:r w:rsidR="00CC5CDC">
        <w:rPr>
          <w:rFonts w:ascii="Times New Roman" w:hAnsi="Times New Roman" w:cs="Times New Roman"/>
          <w:sz w:val="24"/>
          <w:szCs w:val="24"/>
        </w:rPr>
        <w:t xml:space="preserve"> à un instant t</w:t>
      </w:r>
      <w:r w:rsidR="002A0CEC">
        <w:rPr>
          <w:rFonts w:ascii="Times New Roman" w:hAnsi="Times New Roman" w:cs="Times New Roman"/>
          <w:sz w:val="24"/>
          <w:szCs w:val="24"/>
        </w:rPr>
        <w:t xml:space="preserve"> (</w:t>
      </w:r>
      <w:r w:rsidR="00E53A2B">
        <w:rPr>
          <w:rFonts w:ascii="Times New Roman" w:hAnsi="Times New Roman" w:cs="Times New Roman"/>
          <w:sz w:val="24"/>
          <w:szCs w:val="24"/>
        </w:rPr>
        <w:t>rentabilité de l’indice CAC40 dans notre cas)</w:t>
      </w:r>
    </w:p>
    <w:p w14:paraId="59232ABB" w14:textId="705F5571" w:rsidR="00441E20" w:rsidRDefault="00872288" w:rsidP="001741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rf,t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87228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le taux sans risque </w:t>
      </w:r>
      <w:r w:rsidR="00CC5CDC">
        <w:rPr>
          <w:rFonts w:ascii="Times New Roman" w:hAnsi="Times New Roman" w:cs="Times New Roman"/>
          <w:sz w:val="24"/>
          <w:szCs w:val="24"/>
        </w:rPr>
        <w:t>à un instant t</w:t>
      </w:r>
      <w:r w:rsidR="00AF2243">
        <w:rPr>
          <w:rFonts w:ascii="Times New Roman" w:hAnsi="Times New Roman" w:cs="Times New Roman"/>
          <w:sz w:val="24"/>
          <w:szCs w:val="24"/>
        </w:rPr>
        <w:t xml:space="preserve"> (le taux d’une obligation d’Etat)</w:t>
      </w:r>
    </w:p>
    <w:p w14:paraId="2DBA32AD" w14:textId="3AB21973" w:rsidR="00441E20" w:rsidRPr="00441E20" w:rsidRDefault="00CC5CDC" w:rsidP="001741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β</w:t>
      </w:r>
      <w:proofErr w:type="gramEnd"/>
      <w:r w:rsidR="009A2E01">
        <w:rPr>
          <w:rFonts w:ascii="Calibri" w:hAnsi="Calibri" w:cs="Calibri"/>
          <w:b/>
          <w:bCs/>
          <w:sz w:val="24"/>
          <w:szCs w:val="24"/>
        </w:rPr>
        <w:t> </w:t>
      </w:r>
      <w:r w:rsidR="009A2E0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A2E01" w:rsidRPr="009A2E01">
        <w:rPr>
          <w:rFonts w:ascii="Times New Roman" w:hAnsi="Times New Roman" w:cs="Times New Roman"/>
          <w:sz w:val="24"/>
          <w:szCs w:val="24"/>
        </w:rPr>
        <w:t>sensibilité du titre aux variations du marché</w:t>
      </w:r>
      <w:r w:rsidR="00077382">
        <w:rPr>
          <w:rFonts w:ascii="Times New Roman" w:hAnsi="Times New Roman" w:cs="Times New Roman"/>
          <w:sz w:val="24"/>
          <w:szCs w:val="24"/>
        </w:rPr>
        <w:t xml:space="preserve"> (Béta du marché)</w:t>
      </w:r>
    </w:p>
    <w:p w14:paraId="36A7F14A" w14:textId="77777777" w:rsidR="00441E20" w:rsidRPr="00441E20" w:rsidRDefault="00441E20" w:rsidP="00441E2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1E20">
        <w:rPr>
          <w:rFonts w:ascii="Times New Roman" w:hAnsi="Times New Roman" w:cs="Times New Roman"/>
          <w:b/>
          <w:bCs/>
          <w:sz w:val="24"/>
          <w:szCs w:val="24"/>
        </w:rPr>
        <w:t>gt</w:t>
      </w:r>
      <w:r w:rsidRPr="00441E2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41E20">
        <w:rPr>
          <w:rFonts w:ascii="Times New Roman" w:hAnsi="Times New Roman" w:cs="Times New Roman"/>
          <w:sz w:val="24"/>
          <w:szCs w:val="24"/>
        </w:rPr>
        <w:t xml:space="preserve"> le taux de croissance annuel futur attendu des dividendes du temps t</w:t>
      </w:r>
    </w:p>
    <w:p w14:paraId="2B12F3C1" w14:textId="77777777" w:rsidR="00772817" w:rsidRDefault="00772817" w:rsidP="00DD33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EE2F0" w14:textId="77777777" w:rsidR="00201B88" w:rsidRPr="00201B88" w:rsidRDefault="00201B88" w:rsidP="00DD33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A20BB" w14:textId="73891829" w:rsidR="00521B10" w:rsidRPr="00DD33D3" w:rsidRDefault="00521B10" w:rsidP="00DD33D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1B10" w:rsidRPr="00DD3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22A7"/>
      </v:shape>
    </w:pict>
  </w:numPicBullet>
  <w:abstractNum w:abstractNumId="0" w15:restartNumberingAfterBreak="0">
    <w:nsid w:val="0DD85B05"/>
    <w:multiLevelType w:val="hybridMultilevel"/>
    <w:tmpl w:val="379A74C0"/>
    <w:lvl w:ilvl="0" w:tplc="51128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29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01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C7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C0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A5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4F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4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82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C4584F"/>
    <w:multiLevelType w:val="hybridMultilevel"/>
    <w:tmpl w:val="2FF2DD5A"/>
    <w:lvl w:ilvl="0" w:tplc="5A004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3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69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C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56D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45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EF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602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92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9825C3"/>
    <w:multiLevelType w:val="hybridMultilevel"/>
    <w:tmpl w:val="3E3275C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97996">
    <w:abstractNumId w:val="0"/>
  </w:num>
  <w:num w:numId="2" w16cid:durableId="141390808">
    <w:abstractNumId w:val="1"/>
  </w:num>
  <w:num w:numId="3" w16cid:durableId="1127046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88"/>
    <w:rsid w:val="00005417"/>
    <w:rsid w:val="000317E8"/>
    <w:rsid w:val="00072E91"/>
    <w:rsid w:val="00077382"/>
    <w:rsid w:val="000C34E5"/>
    <w:rsid w:val="000F1603"/>
    <w:rsid w:val="000F55F0"/>
    <w:rsid w:val="000F797E"/>
    <w:rsid w:val="0010439F"/>
    <w:rsid w:val="001179EF"/>
    <w:rsid w:val="00154021"/>
    <w:rsid w:val="00155409"/>
    <w:rsid w:val="001631D6"/>
    <w:rsid w:val="001656F5"/>
    <w:rsid w:val="00174108"/>
    <w:rsid w:val="001B0798"/>
    <w:rsid w:val="001C2332"/>
    <w:rsid w:val="00201B88"/>
    <w:rsid w:val="00241159"/>
    <w:rsid w:val="00245D4B"/>
    <w:rsid w:val="00247833"/>
    <w:rsid w:val="002541AA"/>
    <w:rsid w:val="00260A3C"/>
    <w:rsid w:val="0028073D"/>
    <w:rsid w:val="00285163"/>
    <w:rsid w:val="00292E0B"/>
    <w:rsid w:val="00294D5E"/>
    <w:rsid w:val="00295955"/>
    <w:rsid w:val="002A0CEC"/>
    <w:rsid w:val="002D1FF6"/>
    <w:rsid w:val="002E148E"/>
    <w:rsid w:val="00310148"/>
    <w:rsid w:val="0031509D"/>
    <w:rsid w:val="0037101E"/>
    <w:rsid w:val="00372999"/>
    <w:rsid w:val="003C269C"/>
    <w:rsid w:val="003C2B1C"/>
    <w:rsid w:val="003C6EF3"/>
    <w:rsid w:val="00400BF9"/>
    <w:rsid w:val="004105D8"/>
    <w:rsid w:val="004178A7"/>
    <w:rsid w:val="004228BC"/>
    <w:rsid w:val="0043296C"/>
    <w:rsid w:val="00441E20"/>
    <w:rsid w:val="00471C36"/>
    <w:rsid w:val="004B7E62"/>
    <w:rsid w:val="004C0AA0"/>
    <w:rsid w:val="004C66B9"/>
    <w:rsid w:val="004D7737"/>
    <w:rsid w:val="00501AFE"/>
    <w:rsid w:val="00521B10"/>
    <w:rsid w:val="00552AF6"/>
    <w:rsid w:val="0057248E"/>
    <w:rsid w:val="005769CB"/>
    <w:rsid w:val="005B35FE"/>
    <w:rsid w:val="005F3F52"/>
    <w:rsid w:val="00602649"/>
    <w:rsid w:val="00627095"/>
    <w:rsid w:val="006427D3"/>
    <w:rsid w:val="00653799"/>
    <w:rsid w:val="00682181"/>
    <w:rsid w:val="0069635E"/>
    <w:rsid w:val="006A39E4"/>
    <w:rsid w:val="006F78C9"/>
    <w:rsid w:val="0070055C"/>
    <w:rsid w:val="00711AA2"/>
    <w:rsid w:val="00736621"/>
    <w:rsid w:val="00772817"/>
    <w:rsid w:val="00787832"/>
    <w:rsid w:val="007D081E"/>
    <w:rsid w:val="007E2EF9"/>
    <w:rsid w:val="007E4CAC"/>
    <w:rsid w:val="00833E30"/>
    <w:rsid w:val="00871561"/>
    <w:rsid w:val="00872288"/>
    <w:rsid w:val="008723C3"/>
    <w:rsid w:val="00884260"/>
    <w:rsid w:val="008E1A76"/>
    <w:rsid w:val="008F24E0"/>
    <w:rsid w:val="0090356A"/>
    <w:rsid w:val="0092101F"/>
    <w:rsid w:val="00931ABB"/>
    <w:rsid w:val="00942F95"/>
    <w:rsid w:val="00943302"/>
    <w:rsid w:val="009705B5"/>
    <w:rsid w:val="009735F3"/>
    <w:rsid w:val="009837CF"/>
    <w:rsid w:val="009A2E01"/>
    <w:rsid w:val="009C7871"/>
    <w:rsid w:val="009F0E3B"/>
    <w:rsid w:val="00A228B0"/>
    <w:rsid w:val="00A26861"/>
    <w:rsid w:val="00A431F6"/>
    <w:rsid w:val="00A66524"/>
    <w:rsid w:val="00AB0D4E"/>
    <w:rsid w:val="00AB1843"/>
    <w:rsid w:val="00AC4CB2"/>
    <w:rsid w:val="00AC6414"/>
    <w:rsid w:val="00AD79DF"/>
    <w:rsid w:val="00AE51C0"/>
    <w:rsid w:val="00AE6DFA"/>
    <w:rsid w:val="00AF05EA"/>
    <w:rsid w:val="00AF118C"/>
    <w:rsid w:val="00AF2243"/>
    <w:rsid w:val="00B17F1D"/>
    <w:rsid w:val="00B22EED"/>
    <w:rsid w:val="00B32127"/>
    <w:rsid w:val="00B765F6"/>
    <w:rsid w:val="00BC6C1C"/>
    <w:rsid w:val="00C333F5"/>
    <w:rsid w:val="00C62CCE"/>
    <w:rsid w:val="00CC3525"/>
    <w:rsid w:val="00CC5CDC"/>
    <w:rsid w:val="00CC7CAE"/>
    <w:rsid w:val="00CD0761"/>
    <w:rsid w:val="00CF2EB7"/>
    <w:rsid w:val="00D02C05"/>
    <w:rsid w:val="00D056FB"/>
    <w:rsid w:val="00D20669"/>
    <w:rsid w:val="00D42FB9"/>
    <w:rsid w:val="00D51291"/>
    <w:rsid w:val="00D53A11"/>
    <w:rsid w:val="00D654A8"/>
    <w:rsid w:val="00D7423C"/>
    <w:rsid w:val="00D81CAC"/>
    <w:rsid w:val="00DD0A1D"/>
    <w:rsid w:val="00DD33D3"/>
    <w:rsid w:val="00DD47A8"/>
    <w:rsid w:val="00E151B5"/>
    <w:rsid w:val="00E45B0E"/>
    <w:rsid w:val="00E53A2B"/>
    <w:rsid w:val="00E72C31"/>
    <w:rsid w:val="00E7690A"/>
    <w:rsid w:val="00ED3916"/>
    <w:rsid w:val="00EF70E5"/>
    <w:rsid w:val="00F01146"/>
    <w:rsid w:val="00F05195"/>
    <w:rsid w:val="00F1674B"/>
    <w:rsid w:val="00F3254C"/>
    <w:rsid w:val="00F53149"/>
    <w:rsid w:val="00F8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BEAA"/>
  <w15:chartTrackingRefBased/>
  <w15:docId w15:val="{F6067382-0A72-4DD8-801A-A1076D28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B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73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946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6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4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1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694</Words>
  <Characters>3822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Godfroy Ayissi</dc:creator>
  <cp:keywords/>
  <dc:description/>
  <cp:lastModifiedBy>Edgar Kouajiep</cp:lastModifiedBy>
  <cp:revision>180</cp:revision>
  <dcterms:created xsi:type="dcterms:W3CDTF">2023-07-14T10:56:00Z</dcterms:created>
  <dcterms:modified xsi:type="dcterms:W3CDTF">2023-07-16T21:45:00Z</dcterms:modified>
</cp:coreProperties>
</file>