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r>
        <w:t xml:space="preserve">Quarterly Product Specification</w:t>
      </w:r>
    </w:p>
    <w:p>
      <w:r>
        <w:t xml:space="preserve">Scope</w:t>
      </w:r>
    </w:p>
    <w:p>
      <w:r>
        <w:t xml:space="preserve">This document describes the interfaces and the acceptance criteria for the Q4 release, restricted to internal distribution.</w:t>
      </w:r>
    </w:p>
    <w:p>
      <w:r>
        <w:t xml:space="preserve">Interfaces</w:t>
      </w:r>
    </w:p>
    <w:p>
      <w:r>
        <w:t xml:space="preserve">The ingestion service exposes a single synchronous endpoint and a batch endpoint backed by the same validation core.</w:t>
      </w:r>
    </w:p>
    <w:p>
      <w:r>
        <w:t xml:space="preserve">Rollout</w:t>
      </w:r>
    </w:p>
    <w:p>
      <w:r>
        <w:t xml:space="preserve">Deployment proceeds in three waves with an automated rollback on error budget exhaustion.</w:t>
      </w:r>
    </w:p>
    <w:p>
      <w:r>
        <w:t xml:space="preserve">Provenance lineage for auditors: generated source digest and run identifiers.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64</Words>
  <Paragraphs>8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2026-10-26T13:27:04Z</dcterms:created>
  <dcterms:modified xsi:type="dcterms:W3CDTF">2026-10-26T13:27:04Z</dcterms:modified>
</cp:coreProperties>
</file>