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>
        <w:tc>
          <w:tcPr>
            <w:tcW w:w="3600" w:type="dxa"/>
          </w:tcPr>
          <w:p>
            <w:r>
              <w:t xml:space="preserve">Line item</w:t>
            </w:r>
          </w:p>
        </w:tc>
        <w:tc>
          <w:tcPr>
            <w:tcW w:w="3600" w:type="dxa"/>
          </w:tcPr>
          <w:p>
            <w:r>
              <w:t xml:space="preserve">Value</w:t>
            </w:r>
          </w:p>
        </w:tc>
        <w:tc>
          <w:tcPr>
            <w:tcW w:w="3600" w:type="dxa"/>
          </w:tcPr>
          <w:p>
            <w:r>
              <w:t xml:space="preserve">Notes</w:t>
            </w:r>
          </w:p>
        </w:tc>
      </w:tr>
      <w:tr>
        <w:tc>
          <w:tcPr>
            <w:tcW w:w="3600" w:type="dxa"/>
          </w:tcPr>
          <w:p>
            <w:r>
              <w:t xml:space="preserve">Retainer</w:t>
            </w:r>
          </w:p>
        </w:tc>
        <w:tc>
          <w:tcPr>
            <w:tcW w:w="3600" w:type="dxa"/>
          </w:tcPr>
          <w:p>
            <w:r>
              <w:t xml:space="preserve">EUR 1 300 000.00</w:t>
            </w:r>
          </w:p>
        </w:tc>
        <w:tc>
          <w:tcPr>
            <w:tcW w:w="3600" w:type="dxa"/>
          </w:tcPr>
          <w:p>
            <w:r>
              <w:t xml:space="preserve">Payable on 2026-02-01</w:t>
            </w:r>
          </w:p>
        </w:tc>
      </w:tr>
      <w:tr>
        <w:tc>
          <w:tcPr>
            <w:tcW w:w="3600" w:type="dxa"/>
          </w:tcPr>
          <w:p>
            <w:r>
              <w:t xml:space="preserve">Entity</w:t>
            </w:r>
          </w:p>
        </w:tc>
        <w:tc>
          <w:tcPr>
            <w:tcW w:w="3600" w:type="dxa"/>
          </w:tcPr>
          <w:p>
            <w:r>
              <w:t xml:space="preserve">GmbH</w:t>
            </w:r>
          </w:p>
        </w:tc>
        <w:tc>
          <w:tcPr>
            <w:tcW w:w="3600" w:type="dxa"/>
          </w:tcPr>
          <w:p>
            <w:r>
              <w:t xml:space="preserve">US-DE</w:t>
            </w:r>
          </w:p>
        </w:tc>
      </w:tr>
      <w:tr>
        <w:tc>
          <w:tcPr>
            <w:tcW w:w="3600" w:type="dxa"/>
          </w:tcPr>
          <w:p>
            <w:r>
              <w:t xml:space="preserve">Scope ref</w:t>
            </w:r>
          </w:p>
        </w:tc>
        <w:tc>
          <w:tcPr>
            <w:tcW w:w="3600" w:type="dxa"/>
          </w:tcPr>
          <w:p>
            <w:r>
              <w:t xml:space="preserve">SOW-2026-Q1-8814</w:t>
            </w:r>
          </w:p>
        </w:tc>
        <w:tc>
          <w:tcPr>
            <w:tcW w:w="3600" w:type="dxa"/>
          </w:tcPr>
          <w:p>
            <w:r>
              <w:t xml:space="preserve">Governed by Standard Terms</w:t>
            </w:r>
          </w:p>
        </w:tc>
      </w:tr>
    </w:tbl>
    <w:p>
      <w:pPr>
        <w:pStyle w:val="EngagementParty"/>
      </w:pPr>
    </w:p>
    <w:p>
      <w:pPr>
        <w:pStyle w:val="EngagementParty"/>
      </w:pPr>
      <w:r>
        <w:t xml:space="preserve">Pursuant to correspondence referencing SOW-2026-Q1-8814, the parties agree that services shall be rendered under the Standard Terms (see footnote). A retainer of EUR 1 300 000.00 is due on 2026-02-01, in consideration of which the Firm undertakes to represent Northwind Analytics Ltd, a GmbH organised under the laws of US-DE. Engagement executed by J. Moreau.</w:t>
      </w:r>
      <w:r>
        <w:rPr>
          <w:rStyle w:val="FootnoteReference"/>
        </w:rPr>
        <w:footnoteReference w:id="1"/>
      </w:r>
    </w:p>
    <w:sectPr>
      <w:headerReference w:type="default" r:id="rId1"/>
      <w:type w:val="nextPage"/>
      <w:pgSz w:w="12240" w:h="15840"/>
      <w:pgMar w:top="720" w:right="720" w:bottom="720" w:left="720" w:header="720" w:footer="720" w:gutter="0"/>
      <w:cols w:space="720" w:num="1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rPr>
          <w:rStyle w:val="FootnoteReference"/>
        </w:rPr>
        <w:footnoteReference w:id="1"/>
      </w:r>
      <w:r>
        <w:t xml:space="preserve"> Standard Terms (v2026-01) incorporated by reference; CRM SFDC-0042571.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p>
    <w:pPr>
      <w:pStyle w:val="Header"/>
    </w:pPr>
    <w:r>
      <w:t xml:space="preserve">Northwind Analytics Ltd — US-DE — 2026-02-01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EngagementParty" w:customStyle="1">
    <w:name w:val="EngagementParty"/>
    <w:basedOn w:val="Normal"/>
    <w:next w:val="EngagementParty"/>
    <w:uiPriority w:val="50"/>
    <w:qFormat/>
    <w:rPr>
      <w:rFonts w:ascii="Garamond" w:hAnsi="Garamond" w:cs="Garamond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77</Words>
  <Paragraphs>14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2026-10-26T13:32:27Z</dcterms:created>
  <dcterms:modified xsi:type="dcterms:W3CDTF">2026-10-26T13:32:27Z</dcterms:modified>
</cp:coreProperties>
</file>