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sz w:val="32"/>
          <w:szCs w:val="32"/>
          <w:b w:val="1"/>
          <w:bCs w:val="1"/>
        </w:rPr>
        <w:t xml:space="preserve">Propuesta Integral Profesional</w:t>
      </w:r>
    </w:p>
    <w:p>
      <w:pPr>
        <w:pStyle w:val="Heading1"/>
      </w:pPr>
      <w:bookmarkStart w:id="0" w:name="_Toc0"/>
      <w:r>
        <w:t>Conversión a Ejecutable (.exe), Arquitectura y Proceso de Desarrollo</w:t>
      </w:r>
      <w:bookmarkEnd w:id="0"/>
    </w:p>
    <w:p>
      <w:pPr>
        <w:jc w:val="center"/>
        <w:spacing w:after="30"/>
      </w:pPr>
      <w:r>
        <w:rPr>
          <w:sz w:val="24"/>
          <w:szCs w:val="24"/>
        </w:rPr>
        <w:t xml:space="preserve">Proyecto: Sistema Biométrico de Asistencia</w:t>
      </w:r>
    </w:p>
    <w:p>
      <w:pPr>
        <w:jc w:val="center"/>
        <w:spacing w:after="260"/>
      </w:pPr>
      <w:r>
        <w:rPr>
          <w:sz w:val="22"/>
          <w:szCs w:val="22"/>
          <w:i w:val="1"/>
          <w:iCs w:val="1"/>
        </w:rPr>
        <w:t xml:space="preserve">Fecha: 05 de marzo de 2026</w:t>
      </w:r>
    </w:p>
    <w:p>
      <w:pPr>
        <w:pStyle w:val="Heading2"/>
      </w:pPr>
      <w:bookmarkStart w:id="1" w:name="_Toc1"/>
      <w:r>
        <w:t>1. Resumen Ejecutivo</w:t>
      </w:r>
      <w:bookmarkEnd w:id="1"/>
    </w:p>
    <w:p>
      <w:pPr/>
      <w:r>
        <w:rPr/>
        <w:t xml:space="preserve">Sí es viable operar el sistema como aplicación instalable en Windows (.exe) sin depender de instalación manual de Nginx/PHP.</w:t>
      </w:r>
    </w:p>
    <w:p>
      <w:pPr/>
      <w:r>
        <w:rPr/>
        <w:t xml:space="preserve">La estrategia recomendada es empaquetado con runtime embebido y proceso formal de desarrollo basado en arquitectura y SDLC.</w:t>
      </w:r>
    </w:p>
    <w:p>
      <w:pPr>
        <w:pStyle w:val="Heading2"/>
      </w:pPr>
      <w:bookmarkStart w:id="2" w:name="_Toc2"/>
      <w:r>
        <w:t>2. Recomendación Técnica Principal</w:t>
      </w:r>
      <w:bookmarkEnd w:id="2"/>
    </w:p>
    <w:p>
      <w:pPr>
        <w:numPr>
          <w:ilvl w:val="0"/>
          <w:numId w:val="4"/>
        </w:numPr>
      </w:pPr>
      <w:r>
        <w:rPr/>
        <w:t xml:space="preserve">No compilar PHP “puro” a EXE como estrategia principal.</w:t>
      </w:r>
    </w:p>
    <w:p>
      <w:pPr>
        <w:numPr>
          <w:ilvl w:val="0"/>
          <w:numId w:val="4"/>
        </w:numPr>
      </w:pPr>
      <w:r>
        <w:rPr/>
        <w:t xml:space="preserve">Sí empaquetar aplicación + runtime (servidor/PHP/dependencias) en instalador corporativo.</w:t>
      </w:r>
    </w:p>
    <w:p>
      <w:pPr>
        <w:numPr>
          <w:ilvl w:val="0"/>
          <w:numId w:val="4"/>
        </w:numPr>
      </w:pPr>
      <w:r>
        <w:rPr/>
        <w:t xml:space="preserve">Mantener trazabilidad de reglas de negocio en BD y backend.</w:t>
      </w:r>
    </w:p>
    <w:p>
      <w:pPr>
        <w:pStyle w:val="Heading2"/>
      </w:pPr>
      <w:bookmarkStart w:id="3" w:name="_Toc3"/>
      <w:r>
        <w:t>3. Arquitectura Objetivo</w:t>
      </w:r>
      <w:bookmarkEnd w:id="3"/>
    </w:p>
    <w:p>
      <w:pPr>
        <w:numPr>
          <w:ilvl w:val="0"/>
          <w:numId w:val="4"/>
        </w:numPr>
      </w:pPr>
      <w:r>
        <w:rPr/>
        <w:t xml:space="preserve">Presentación: interfaz web/desktop embebida.</w:t>
      </w:r>
    </w:p>
    <w:p>
      <w:pPr>
        <w:numPr>
          <w:ilvl w:val="0"/>
          <w:numId w:val="4"/>
        </w:numPr>
      </w:pPr>
      <w:r>
        <w:rPr/>
        <w:t xml:space="preserve">Aplicación: controladores y casos de uso.</w:t>
      </w:r>
    </w:p>
    <w:p>
      <w:pPr>
        <w:numPr>
          <w:ilvl w:val="0"/>
          <w:numId w:val="4"/>
        </w:numPr>
      </w:pPr>
      <w:r>
        <w:rPr/>
        <w:t xml:space="preserve">Dominio: reglas de asistencia, incidencias, validación de jefes.</w:t>
      </w:r>
    </w:p>
    <w:p>
      <w:pPr>
        <w:numPr>
          <w:ilvl w:val="0"/>
          <w:numId w:val="4"/>
        </w:numPr>
      </w:pPr>
      <w:r>
        <w:rPr/>
        <w:t xml:space="preserve">Persistencia: modelos, migraciones y catálogos explícitos.</w:t>
      </w:r>
    </w:p>
    <w:p>
      <w:pPr>
        <w:numPr>
          <w:ilvl w:val="0"/>
          <w:numId w:val="4"/>
        </w:numPr>
      </w:pPr>
      <w:r>
        <w:rPr/>
        <w:t xml:space="preserve">Operación: logs, respaldos, recuperación y actualización.</w:t>
      </w:r>
    </w:p>
    <w:p>
      <w:pPr>
        <w:pStyle w:val="Heading2"/>
      </w:pPr>
      <w:bookmarkStart w:id="4" w:name="_Toc4"/>
      <w:r>
        <w:t>4. Proceso de Generación y Desarrollo (SDLC)</w:t>
      </w:r>
      <w:bookmarkEnd w:id="4"/>
    </w:p>
    <w:p>
      <w:pPr>
        <w:pStyle w:val="Heading3"/>
      </w:pPr>
      <w:bookmarkStart w:id="5" w:name="_Toc5"/>
      <w:r>
        <w:t>4.1 Análisis</w:t>
      </w:r>
      <w:bookmarkEnd w:id="5"/>
    </w:p>
    <w:p>
      <w:pPr>
        <w:numPr>
          <w:ilvl w:val="0"/>
          <w:numId w:val="4"/>
        </w:numPr>
      </w:pPr>
      <w:r>
        <w:rPr/>
        <w:t xml:space="preserve">Requerimientos por rol y criterios de aceptación.</w:t>
      </w:r>
    </w:p>
    <w:p>
      <w:pPr>
        <w:numPr>
          <w:ilvl w:val="0"/>
          <w:numId w:val="4"/>
        </w:numPr>
      </w:pPr>
      <w:r>
        <w:rPr/>
        <w:t xml:space="preserve">Mapa de riesgos técnicos/operativos.</w:t>
      </w:r>
    </w:p>
    <w:p>
      <w:pPr>
        <w:pStyle w:val="Heading3"/>
      </w:pPr>
      <w:bookmarkStart w:id="6" w:name="_Toc6"/>
      <w:r>
        <w:t>4.2 Diseño</w:t>
      </w:r>
      <w:bookmarkEnd w:id="6"/>
    </w:p>
    <w:p>
      <w:pPr>
        <w:numPr>
          <w:ilvl w:val="0"/>
          <w:numId w:val="4"/>
        </w:numPr>
      </w:pPr>
      <w:r>
        <w:rPr/>
        <w:t xml:space="preserve">Diseño de arquitectura y contratos entre capas.</w:t>
      </w:r>
    </w:p>
    <w:p>
      <w:pPr>
        <w:numPr>
          <w:ilvl w:val="0"/>
          <w:numId w:val="4"/>
        </w:numPr>
      </w:pPr>
      <w:r>
        <w:rPr/>
        <w:t xml:space="preserve">Diseño de catálogo de justificaciones por tipo_incidencia.</w:t>
      </w:r>
    </w:p>
    <w:p>
      <w:pPr>
        <w:pStyle w:val="Heading3"/>
      </w:pPr>
      <w:bookmarkStart w:id="7" w:name="_Toc7"/>
      <w:r>
        <w:t>4.3 Construcción</w:t>
      </w:r>
      <w:bookmarkEnd w:id="7"/>
    </w:p>
    <w:p>
      <w:pPr>
        <w:numPr>
          <w:ilvl w:val="0"/>
          <w:numId w:val="4"/>
        </w:numPr>
      </w:pPr>
      <w:r>
        <w:rPr/>
        <w:t xml:space="preserve">Implementación incremental con migraciones versionadas.</w:t>
      </w:r>
    </w:p>
    <w:p>
      <w:pPr>
        <w:numPr>
          <w:ilvl w:val="0"/>
          <w:numId w:val="4"/>
        </w:numPr>
      </w:pPr>
      <w:r>
        <w:rPr/>
        <w:t xml:space="preserve">Control de acceso por rol en UI y backend.</w:t>
      </w:r>
    </w:p>
    <w:p>
      <w:pPr>
        <w:pStyle w:val="Heading3"/>
      </w:pPr>
      <w:bookmarkStart w:id="8" w:name="_Toc8"/>
      <w:r>
        <w:t>4.4 Pruebas</w:t>
      </w:r>
      <w:bookmarkEnd w:id="8"/>
    </w:p>
    <w:p>
      <w:pPr>
        <w:numPr>
          <w:ilvl w:val="0"/>
          <w:numId w:val="4"/>
        </w:numPr>
      </w:pPr>
      <w:r>
        <w:rPr/>
        <w:t xml:space="preserve">Unitarias de reglas críticas.</w:t>
      </w:r>
    </w:p>
    <w:p>
      <w:pPr>
        <w:numPr>
          <w:ilvl w:val="0"/>
          <w:numId w:val="4"/>
        </w:numPr>
      </w:pPr>
      <w:r>
        <w:rPr/>
        <w:t xml:space="preserve">Funcionales E2E del flujo completo.</w:t>
      </w:r>
    </w:p>
    <w:p>
      <w:pPr>
        <w:numPr>
          <w:ilvl w:val="0"/>
          <w:numId w:val="4"/>
        </w:numPr>
      </w:pPr>
      <w:r>
        <w:rPr/>
        <w:t xml:space="preserve">Regresión y pruebas de permisos.</w:t>
      </w:r>
    </w:p>
    <w:p>
      <w:pPr>
        <w:pStyle w:val="Heading3"/>
      </w:pPr>
      <w:bookmarkStart w:id="9" w:name="_Toc9"/>
      <w:r>
        <w:t>4.5 Despliegue y Operación</w:t>
      </w:r>
      <w:bookmarkEnd w:id="9"/>
    </w:p>
    <w:p>
      <w:pPr>
        <w:numPr>
          <w:ilvl w:val="0"/>
          <w:numId w:val="4"/>
        </w:numPr>
      </w:pPr>
      <w:r>
        <w:rPr/>
        <w:t xml:space="preserve">Despliegue por fases con respaldo y rollback.</w:t>
      </w:r>
    </w:p>
    <w:p>
      <w:pPr>
        <w:numPr>
          <w:ilvl w:val="0"/>
          <w:numId w:val="4"/>
        </w:numPr>
      </w:pPr>
      <w:r>
        <w:rPr/>
        <w:t xml:space="preserve">Monitoreo post-liberación y hardening.</w:t>
      </w:r>
    </w:p>
    <w:p>
      <w:pPr>
        <w:pStyle w:val="Heading2"/>
      </w:pPr>
      <w:bookmarkStart w:id="10" w:name="_Toc10"/>
      <w:r>
        <w:t>5. Plan de Implementación para .exe</w:t>
      </w:r>
      <w:bookmarkEnd w:id="10"/>
    </w:p>
    <w:p>
      <w:pPr/>
      <w:r>
        <w:rPr/>
        <w:t xml:space="preserve">Fase 1 (1-2 semanas): preparación de configuración y dependencias.</w:t>
      </w:r>
    </w:p>
    <w:p>
      <w:pPr/>
      <w:r>
        <w:rPr/>
        <w:t xml:space="preserve">Fase 2 (2-3 semanas): empaquetado y bootstrap del instalador.</w:t>
      </w:r>
    </w:p>
    <w:p>
      <w:pPr/>
      <w:r>
        <w:rPr/>
        <w:t xml:space="preserve">Fase 3 (1-2 semanas): pruebas UAT, rendimiento, actualización y recuperación.</w:t>
      </w:r>
    </w:p>
    <w:p>
      <w:pPr/>
      <w:r>
        <w:rPr/>
        <w:t xml:space="preserve">Fase 4 (1 semana): salida controlada a producción y estabilización.</w:t>
      </w:r>
    </w:p>
    <w:p>
      <w:pPr>
        <w:pStyle w:val="Heading2"/>
      </w:pPr>
      <w:bookmarkStart w:id="11" w:name="_Toc11"/>
      <w:r>
        <w:t>6. Riesgos y Mitigaciones</w:t>
      </w:r>
      <w:bookmarkEnd w:id="11"/>
    </w:p>
    <w:p>
      <w:pPr>
        <w:numPr>
          <w:ilvl w:val="0"/>
          <w:numId w:val="4"/>
        </w:numPr>
      </w:pPr>
      <w:r>
        <w:rPr/>
        <w:t xml:space="preserve">Conflicto de puertos: detección automática y fallback.</w:t>
      </w:r>
    </w:p>
    <w:p>
      <w:pPr>
        <w:numPr>
          <w:ilvl w:val="0"/>
          <w:numId w:val="4"/>
        </w:numPr>
      </w:pPr>
      <w:r>
        <w:rPr/>
        <w:t xml:space="preserve">Antivirus/EDR: firma de código y política TI.</w:t>
      </w:r>
    </w:p>
    <w:p>
      <w:pPr>
        <w:numPr>
          <w:ilvl w:val="0"/>
          <w:numId w:val="4"/>
        </w:numPr>
      </w:pPr>
      <w:r>
        <w:rPr/>
        <w:t xml:space="preserve">BD local: respaldos automáticos y restauración asistida.</w:t>
      </w:r>
    </w:p>
    <w:p>
      <w:pPr>
        <w:numPr>
          <w:ilvl w:val="0"/>
          <w:numId w:val="4"/>
        </w:numPr>
      </w:pPr>
      <w:r>
        <w:rPr/>
        <w:t xml:space="preserve">Cambios de reglas: gobernanza y pruebas de regresión.</w:t>
      </w:r>
    </w:p>
    <w:p>
      <w:pPr>
        <w:pStyle w:val="Heading2"/>
      </w:pPr>
      <w:bookmarkStart w:id="12" w:name="_Toc12"/>
      <w:r>
        <w:t>7. Entregables</w:t>
      </w:r>
      <w:bookmarkEnd w:id="12"/>
    </w:p>
    <w:p>
      <w:pPr>
        <w:numPr>
          <w:ilvl w:val="0"/>
          <w:numId w:val="4"/>
        </w:numPr>
      </w:pPr>
      <w:r>
        <w:rPr/>
        <w:t xml:space="preserve">Documento funcional y técnico.</w:t>
      </w:r>
    </w:p>
    <w:p>
      <w:pPr>
        <w:numPr>
          <w:ilvl w:val="0"/>
          <w:numId w:val="4"/>
        </w:numPr>
      </w:pPr>
      <w:r>
        <w:rPr/>
        <w:t xml:space="preserve">Código, migraciones y scripts de despliegue.</w:t>
      </w:r>
    </w:p>
    <w:p>
      <w:pPr>
        <w:numPr>
          <w:ilvl w:val="0"/>
          <w:numId w:val="4"/>
        </w:numPr>
      </w:pPr>
      <w:r>
        <w:rPr/>
        <w:t xml:space="preserve">Instalador .exe (piloto y productivo).</w:t>
      </w:r>
    </w:p>
    <w:p>
      <w:pPr>
        <w:numPr>
          <w:ilvl w:val="0"/>
          <w:numId w:val="4"/>
        </w:numPr>
      </w:pPr>
      <w:r>
        <w:rPr/>
        <w:t xml:space="preserve">Evidencia de pruebas y manual operativo.</w:t>
      </w:r>
    </w:p>
    <w:p>
      <w:pPr>
        <w:pStyle w:val="Heading2"/>
      </w:pPr>
      <w:bookmarkStart w:id="13" w:name="_Toc13"/>
      <w:r>
        <w:t>8. Conclusión</w:t>
      </w:r>
      <w:bookmarkEnd w:id="13"/>
    </w:p>
    <w:p>
      <w:pPr/>
      <w:r>
        <w:rPr/>
        <w:t xml:space="preserve">La conversión a .exe es viable y recomendable bajo un enfoque de empaquetado profesional con arquitectura clara y proceso SDLC disciplinado.</w:t>
      </w:r>
    </w:p>
    <w:p>
      <w:pPr/>
      <w:r>
        <w:rPr/>
        <w:t xml:space="preserve">Este enfoque reduce dependencia operativa, mejora soporte y permite evolución controlada del sistema.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ACD9B85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60"/>
    </w:pPr>
    <w:rPr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40"/>
    </w:pPr>
    <w:rPr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10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2026-03-05T06:03:45+00:00</dcterms:created>
  <dcterms:modified xsi:type="dcterms:W3CDTF">2026-03-05T06:03:45+00:00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