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0E0" w:rsidRPr="003F1628" w:rsidRDefault="006260E0" w:rsidP="00FE56D1">
      <w:pPr>
        <w:jc w:val="both"/>
        <w:rPr>
          <w:rFonts w:ascii="Arial" w:hAnsi="Arial" w:cs="Arial"/>
          <w:b/>
          <w:sz w:val="20"/>
          <w:lang w:val="es-ES_tradnl"/>
        </w:rPr>
      </w:pPr>
      <w:r w:rsidRPr="003F1628">
        <w:rPr>
          <w:rFonts w:ascii="Arial" w:hAnsi="Arial" w:cs="Arial"/>
          <w:b/>
          <w:sz w:val="20"/>
          <w:lang w:val="es-ES_tradnl"/>
        </w:rPr>
        <w:t>Pontificia Universidad Católica de Valparaíso</w:t>
      </w:r>
    </w:p>
    <w:p w:rsidR="006260E0" w:rsidRPr="003F1628" w:rsidRDefault="006260E0" w:rsidP="00FE56D1">
      <w:pPr>
        <w:jc w:val="both"/>
        <w:rPr>
          <w:rFonts w:ascii="Arial" w:hAnsi="Arial" w:cs="Arial"/>
          <w:b/>
          <w:sz w:val="20"/>
          <w:lang w:val="es-ES_tradnl"/>
        </w:rPr>
      </w:pPr>
      <w:r w:rsidRPr="003F1628">
        <w:rPr>
          <w:rFonts w:ascii="Arial" w:hAnsi="Arial" w:cs="Arial"/>
          <w:b/>
          <w:sz w:val="20"/>
          <w:lang w:val="es-ES_tradnl"/>
        </w:rPr>
        <w:t>Escuela de Ingeniería Bioquímica</w:t>
      </w:r>
    </w:p>
    <w:p w:rsidR="006260E0" w:rsidRPr="003F1628" w:rsidRDefault="006260E0" w:rsidP="00FE56D1">
      <w:pPr>
        <w:jc w:val="both"/>
        <w:rPr>
          <w:rFonts w:ascii="Arial" w:hAnsi="Arial" w:cs="Arial"/>
          <w:b/>
          <w:sz w:val="20"/>
          <w:lang w:val="es-ES_tradnl"/>
        </w:rPr>
      </w:pPr>
      <w:r w:rsidRPr="003F1628">
        <w:rPr>
          <w:rFonts w:ascii="Arial" w:hAnsi="Arial" w:cs="Arial"/>
          <w:b/>
          <w:sz w:val="20"/>
          <w:lang w:val="es-ES_tradnl"/>
        </w:rPr>
        <w:t>EIB827 Modelamiento computacional del metabolismo microbiano</w:t>
      </w:r>
    </w:p>
    <w:p w:rsidR="006260E0" w:rsidRPr="003F1628" w:rsidRDefault="006260E0" w:rsidP="00FE56D1">
      <w:pPr>
        <w:jc w:val="both"/>
        <w:rPr>
          <w:rFonts w:ascii="Arial" w:hAnsi="Arial" w:cs="Arial"/>
          <w:b/>
          <w:sz w:val="20"/>
          <w:lang w:val="es-ES_tradnl"/>
        </w:rPr>
      </w:pPr>
      <w:r w:rsidRPr="003F1628">
        <w:rPr>
          <w:rFonts w:ascii="Arial" w:hAnsi="Arial" w:cs="Arial"/>
          <w:b/>
          <w:sz w:val="20"/>
          <w:lang w:val="es-ES_tradnl"/>
        </w:rPr>
        <w:t xml:space="preserve">Nombre: </w:t>
      </w:r>
      <w:r w:rsidRPr="00AA329F">
        <w:rPr>
          <w:rFonts w:ascii="Arial" w:hAnsi="Arial" w:cs="Arial"/>
          <w:sz w:val="20"/>
          <w:lang w:val="es-ES_tradnl"/>
        </w:rPr>
        <w:t>Edgar Velastegui González</w:t>
      </w:r>
    </w:p>
    <w:p w:rsidR="006260E0" w:rsidRPr="003F1628" w:rsidRDefault="006260E0" w:rsidP="00FE56D1">
      <w:pPr>
        <w:jc w:val="both"/>
        <w:rPr>
          <w:rFonts w:ascii="Arial" w:hAnsi="Arial" w:cs="Arial"/>
          <w:b/>
          <w:sz w:val="20"/>
          <w:lang w:val="es-ES_tradnl"/>
        </w:rPr>
      </w:pPr>
      <w:bookmarkStart w:id="0" w:name="_GoBack"/>
      <w:bookmarkEnd w:id="0"/>
    </w:p>
    <w:p w:rsidR="006260E0" w:rsidRPr="003F1628" w:rsidRDefault="006260E0" w:rsidP="00FE56D1">
      <w:pPr>
        <w:jc w:val="both"/>
        <w:rPr>
          <w:rFonts w:ascii="Arial" w:hAnsi="Arial" w:cs="Arial"/>
          <w:b/>
          <w:sz w:val="20"/>
          <w:lang w:val="es-ES_tradnl"/>
        </w:rPr>
      </w:pPr>
      <w:r w:rsidRPr="003F1628">
        <w:rPr>
          <w:rFonts w:ascii="Arial" w:hAnsi="Arial" w:cs="Arial"/>
          <w:b/>
          <w:sz w:val="20"/>
          <w:lang w:val="es-ES_tradnl"/>
        </w:rPr>
        <w:t>Tarea 1</w:t>
      </w:r>
    </w:p>
    <w:p w:rsidR="00FE56D1" w:rsidRDefault="00FE56D1" w:rsidP="00FE56D1">
      <w:pPr>
        <w:jc w:val="both"/>
        <w:rPr>
          <w:rFonts w:ascii="Arial" w:hAnsi="Arial" w:cs="Arial"/>
          <w:sz w:val="20"/>
          <w:lang w:val="es-ES_tradnl"/>
        </w:rPr>
      </w:pPr>
      <w:r>
        <w:rPr>
          <w:rFonts w:ascii="Arial" w:hAnsi="Arial" w:cs="Arial"/>
          <w:sz w:val="20"/>
          <w:lang w:val="es-ES_tradnl"/>
        </w:rPr>
        <w:t xml:space="preserve">La levadura </w:t>
      </w:r>
      <w:proofErr w:type="spellStart"/>
      <w:r w:rsidR="006B2F8D">
        <w:rPr>
          <w:rFonts w:ascii="Arial" w:hAnsi="Arial" w:cs="Arial"/>
          <w:sz w:val="20"/>
          <w:lang w:val="es-ES_tradnl"/>
        </w:rPr>
        <w:t>metanotrófica</w:t>
      </w:r>
      <w:proofErr w:type="spellEnd"/>
      <w:r>
        <w:rPr>
          <w:rFonts w:ascii="Arial" w:hAnsi="Arial" w:cs="Arial"/>
          <w:sz w:val="20"/>
          <w:lang w:val="es-ES_tradnl"/>
        </w:rPr>
        <w:t xml:space="preserve"> </w:t>
      </w:r>
      <w:proofErr w:type="spellStart"/>
      <w:r>
        <w:rPr>
          <w:rFonts w:ascii="Arial" w:hAnsi="Arial" w:cs="Arial"/>
          <w:i/>
          <w:sz w:val="20"/>
          <w:lang w:val="es-ES_tradnl"/>
        </w:rPr>
        <w:t>Pichia</w:t>
      </w:r>
      <w:proofErr w:type="spellEnd"/>
      <w:r>
        <w:rPr>
          <w:rFonts w:ascii="Arial" w:hAnsi="Arial" w:cs="Arial"/>
          <w:i/>
          <w:sz w:val="20"/>
          <w:lang w:val="es-ES_tradnl"/>
        </w:rPr>
        <w:t xml:space="preserve"> </w:t>
      </w:r>
      <w:proofErr w:type="spellStart"/>
      <w:r>
        <w:rPr>
          <w:rFonts w:ascii="Arial" w:hAnsi="Arial" w:cs="Arial"/>
          <w:i/>
          <w:sz w:val="20"/>
          <w:lang w:val="es-ES_tradnl"/>
        </w:rPr>
        <w:t>pastoris</w:t>
      </w:r>
      <w:proofErr w:type="spellEnd"/>
      <w:r>
        <w:rPr>
          <w:rFonts w:ascii="Arial" w:hAnsi="Arial" w:cs="Arial"/>
          <w:i/>
          <w:sz w:val="20"/>
          <w:lang w:val="es-ES_tradnl"/>
        </w:rPr>
        <w:t xml:space="preserve"> </w:t>
      </w:r>
      <w:r>
        <w:rPr>
          <w:rFonts w:ascii="Arial" w:hAnsi="Arial" w:cs="Arial"/>
          <w:sz w:val="20"/>
          <w:lang w:val="es-ES_tradnl"/>
        </w:rPr>
        <w:t xml:space="preserve">es un sistema de expresión de proteínas recombinantes </w:t>
      </w:r>
      <w:r>
        <w:rPr>
          <w:rFonts w:ascii="Arial" w:hAnsi="Arial" w:cs="Arial"/>
          <w:sz w:val="20"/>
          <w:lang w:val="es-ES_tradnl"/>
        </w:rPr>
        <w:fldChar w:fldCharType="begin" w:fldLock="1"/>
      </w:r>
      <w:r w:rsidR="00B67325">
        <w:rPr>
          <w:rFonts w:ascii="Arial" w:hAnsi="Arial" w:cs="Arial"/>
          <w:sz w:val="20"/>
          <w:lang w:val="es-ES_tradnl"/>
        </w:rPr>
        <w:instrText>ADDIN CSL_CITATION {"citationItems":[{"id":"ITEM-1","itemData":{"DOI":"10.1002/jctb.2292","ISBN":"0268-2575","ISSN":"02682575","abstract":"BACKGROUND: The influence of methanol feed rate on recombinant human growth hormone (rhGH) production by Pichia pastoris hGH-Mut+ in medium containing sorbitol was investigated at three different specific growth rates (µ), namely, 0.02 (MS-0.02), 0.03 (MS-0.03), and 0.04 (MS-0.04). RESULTS: Increasing methanol feed rate above MS-0.03 did not affect sorbitol consumption, showing that µ = 0.03 h−1 is a threshold limiting value, above which sorbitol utilization became independent of methanol feed rate.Moreover, when sorbitol was consumed, nofurther cell growthwas observed. Increase inmethanol feed rate triggered cell synthesisand the highest cell concentrationwas obtained at MS-0.04 as 48 g L−1 (t = 18 h);whereas, the highest rhGHproduction, 270mgL−1,was obtained at MS-0.03 as a consequenceof lowerextracellularproteaseproduction andhigherAOXactivity (41Ug−1 CDW).Oxygenuptake rate increased with increasing µ, having the maximum value, 76.6 mmolm−3 s−1, at MS-0.04. KLa had a tendency to increase withµ, having a maximumvalue of 0.15 s−1 at MS-0.04 (t = 15 h). CONCLUSION: By considering rhGH concentration and oxygen transfer characteristics, the bioprocess can be improved by a two-stage feeding strategy, operating atMS-0.04 at the beginning of fermentation, and thereafter shifting toMS-0.03. ?2009 Society of Chemical Industry","author":[{"dropping-particle":"","family":"Çalik","given":"Pinar","non-dropping-particle":"","parse-names":false,"suffix":""},{"dropping-particle":"","family":"Inankur","given":"Bahar","non-dropping-particle":"","parse-names":false,"suffix":""},{"dropping-particle":"","family":"Soyaslan","given":"Elif Ş","non-dropping-particle":"","parse-names":false,"suffix":""},{"dropping-particle":"","family":"Şahin","given":"Merve","non-dropping-particle":"","parse-names":false,"suffix":""},{"dropping-particle":"","family":"Taşpinar","given":"Hatice","non-dropping-particle":"","parse-names":false,"suffix":""},{"dropping-particle":"","family":"Açik","given":"Eda","non-dropping-particle":"","parse-names":false,"suffix":""},{"dropping-particle":"","family":"Bayraktar","given":"Eda","non-dropping-particle":"","parse-names":false,"suffix":""}],"container-title":"Journal of Chemical Technology and Biotechnology","id":"ITEM-1","issue":"2","issued":{"date-parts":[["2010"]]},"page":"226-233","title":"Fermentation and oxygen transfer characteristics in recombinant human growth hormone production by Pichia pastoris in sorbitol batch and methanol fed-batch operation","type":"article-journal","volume":"85"},"uris":["http://www.mendeley.com/documents/?uuid=47d01c14-5c00-4905-af29-8fb5d15d902c"]}],"mendeley":{"formattedCitation":"(Çalik et al., 2010)","plainTextFormattedCitation":"(Çalik et al., 2010)","previouslyFormattedCitation":"(Çalik et al., 2010)"},"properties":{"noteIndex":0},"schema":"https://github.com/citation-style-language/schema/raw/master/csl-citation.json"}</w:instrText>
      </w:r>
      <w:r>
        <w:rPr>
          <w:rFonts w:ascii="Arial" w:hAnsi="Arial" w:cs="Arial"/>
          <w:sz w:val="20"/>
          <w:lang w:val="es-ES_tradnl"/>
        </w:rPr>
        <w:fldChar w:fldCharType="separate"/>
      </w:r>
      <w:r w:rsidRPr="00FE56D1">
        <w:rPr>
          <w:rFonts w:ascii="Arial" w:hAnsi="Arial" w:cs="Arial"/>
          <w:noProof/>
          <w:sz w:val="20"/>
          <w:lang w:val="es-ES_tradnl"/>
        </w:rPr>
        <w:t>(Çalik et al., 2010)</w:t>
      </w:r>
      <w:r>
        <w:rPr>
          <w:rFonts w:ascii="Arial" w:hAnsi="Arial" w:cs="Arial"/>
          <w:sz w:val="20"/>
          <w:lang w:val="es-ES_tradnl"/>
        </w:rPr>
        <w:fldChar w:fldCharType="end"/>
      </w:r>
      <w:r>
        <w:rPr>
          <w:rFonts w:ascii="Arial" w:hAnsi="Arial" w:cs="Arial"/>
          <w:sz w:val="20"/>
          <w:lang w:val="es-ES_tradnl"/>
        </w:rPr>
        <w:t xml:space="preserve">. Su uso ha sido extendido debido al nivel considerable de biomasa obtenido en una fermentación. Adicionalmente a esto, </w:t>
      </w:r>
      <w:proofErr w:type="spellStart"/>
      <w:r>
        <w:rPr>
          <w:rFonts w:ascii="Arial" w:hAnsi="Arial" w:cs="Arial"/>
          <w:i/>
          <w:sz w:val="20"/>
          <w:lang w:val="es-ES_tradnl"/>
        </w:rPr>
        <w:t>Pichia</w:t>
      </w:r>
      <w:proofErr w:type="spellEnd"/>
      <w:r>
        <w:rPr>
          <w:rFonts w:ascii="Arial" w:hAnsi="Arial" w:cs="Arial"/>
          <w:i/>
          <w:sz w:val="20"/>
          <w:lang w:val="es-ES_tradnl"/>
        </w:rPr>
        <w:t xml:space="preserve"> </w:t>
      </w:r>
      <w:proofErr w:type="spellStart"/>
      <w:r>
        <w:rPr>
          <w:rFonts w:ascii="Arial" w:hAnsi="Arial" w:cs="Arial"/>
          <w:i/>
          <w:sz w:val="20"/>
          <w:lang w:val="es-ES_tradnl"/>
        </w:rPr>
        <w:t>pastoris</w:t>
      </w:r>
      <w:proofErr w:type="spellEnd"/>
      <w:r>
        <w:rPr>
          <w:rFonts w:ascii="Arial" w:hAnsi="Arial" w:cs="Arial"/>
          <w:i/>
          <w:sz w:val="20"/>
          <w:lang w:val="es-ES_tradnl"/>
        </w:rPr>
        <w:t xml:space="preserve"> </w:t>
      </w:r>
      <w:r>
        <w:rPr>
          <w:rFonts w:ascii="Arial" w:hAnsi="Arial" w:cs="Arial"/>
          <w:sz w:val="20"/>
          <w:lang w:val="es-ES_tradnl"/>
        </w:rPr>
        <w:t xml:space="preserve">por ser un organismo eucariota, posee una buena maquinaria de procesamiento de proteínas que lleva a cabo complejas modificaciones postraduccionales (Plegamiento, formación de puentes disulfuro, acetilación, metilación y glicosilación) </w:t>
      </w:r>
      <w:r>
        <w:rPr>
          <w:rFonts w:ascii="Arial" w:hAnsi="Arial" w:cs="Arial"/>
          <w:sz w:val="20"/>
          <w:lang w:val="es-ES_tradnl"/>
        </w:rPr>
        <w:fldChar w:fldCharType="begin" w:fldLock="1"/>
      </w:r>
      <w:r w:rsidR="00B67325">
        <w:rPr>
          <w:rFonts w:ascii="Arial" w:hAnsi="Arial" w:cs="Arial"/>
          <w:sz w:val="20"/>
          <w:lang w:val="es-ES_tradnl"/>
        </w:rPr>
        <w:instrText>ADDIN CSL_CITATION {"citationItems":[{"id":"ITEM-1","itemData":{"DOI":"10.1016/j.biotechadv.2015.05.008","ISBN":"0734-9750","ISSN":"07349750","PMID":"26027890","abstract":"Pichia pastoris, a methylotrophic yeast, is an established system for the production of heterologous proteins, particularly biopharmaceuticals and industrial enzymes. To maximise and optimise the production of recombinant products, recent molecular research has focused on numerous issues including the design of expression vectors, optimisation of gene copy number, co-expression of secretory proteins such as chaperones, engineering of glycosylation and secretory pathways, etc. However, the physiological effects of different cultivation strategies are often difficult to separate from the molecular effects of the gene construct (e.g., cellular stress through over-expression or incorrect post-translational processing). Hence, overall system optimisation is difficult, even though it is urgently required in order to describe and understand the behaviour of new molecular constructs. This review focuses on particular aspects of recombinant protein production related to variations in biomass growth and their implications for strain design and screening, as well as on the concept of rational comparisons between cultivation systems for the development of specific production processes in bioreactors. The relationship between specific formation rates of secreted recombinant proteins, qp, and specific growth rates, ??, has been analysed in a conceptual attempt to compare different systems, particularly those based on AOX1/methanol and GAP/glucose, and this has now evolved into a pivotal concept for bioprocess engineering of P. pastoris.","author":[{"dropping-particle":"","family":"Looser","given":"V.","non-dropping-particle":"","parse-names":false,"suffix":""},{"dropping-particle":"","family":"Bruhlmann","given":"B.","non-dropping-particle":"","parse-names":false,"suffix":""},{"dropping-particle":"","family":"Bumbak","given":"F.","non-dropping-particle":"","parse-names":false,"suffix":""},{"dropping-particle":"","family":"Stenger","given":"C.","non-dropping-particle":"","parse-names":false,"suffix":""},{"dropping-particle":"","family":"Costa","given":"M.","non-dropping-particle":"","parse-names":false,"suffix":""},{"dropping-particle":"","family":"Camattari","given":"A.","non-dropping-particle":"","parse-names":false,"suffix":""},{"dropping-particle":"","family":"Fotiadis","given":"D.","non-dropping-particle":"","parse-names":false,"suffix":""},{"dropping-particle":"","family":"Kovar","given":"K.","non-dropping-particle":"","parse-names":false,"suffix":""}],"container-title":"Biotechnology Advances","id":"ITEM-1","issue":"6","issued":{"date-parts":[["2014"]]},"page":"1177-1193","publisher":"Elsevier B.V.","title":"Cultivation strategies to enhance productivity of Pichia pastoris: A review","type":"article-journal","volume":"33"},"uris":["http://www.mendeley.com/documents/?uuid=ae469d77-bb04-4ffb-9c90-efae76e0170b"]}],"mendeley":{"formattedCitation":"(Looser et al., 2014)","plainTextFormattedCitation":"(Looser et al., 2014)","previouslyFormattedCitation":"(Looser et al., 2014)"},"properties":{"noteIndex":0},"schema":"https://github.com/citation-style-language/schema/raw/master/csl-citation.json"}</w:instrText>
      </w:r>
      <w:r>
        <w:rPr>
          <w:rFonts w:ascii="Arial" w:hAnsi="Arial" w:cs="Arial"/>
          <w:sz w:val="20"/>
          <w:lang w:val="es-ES_tradnl"/>
        </w:rPr>
        <w:fldChar w:fldCharType="separate"/>
      </w:r>
      <w:r w:rsidRPr="00FE56D1">
        <w:rPr>
          <w:rFonts w:ascii="Arial" w:hAnsi="Arial" w:cs="Arial"/>
          <w:noProof/>
          <w:sz w:val="20"/>
          <w:lang w:val="es-ES_tradnl"/>
        </w:rPr>
        <w:t>(Looser et al., 2014)</w:t>
      </w:r>
      <w:r>
        <w:rPr>
          <w:rFonts w:ascii="Arial" w:hAnsi="Arial" w:cs="Arial"/>
          <w:sz w:val="20"/>
          <w:lang w:val="es-ES_tradnl"/>
        </w:rPr>
        <w:fldChar w:fldCharType="end"/>
      </w:r>
      <w:r>
        <w:rPr>
          <w:rFonts w:ascii="Arial" w:hAnsi="Arial" w:cs="Arial"/>
          <w:sz w:val="20"/>
          <w:lang w:val="es-ES_tradnl"/>
        </w:rPr>
        <w:t>.</w:t>
      </w:r>
    </w:p>
    <w:p w:rsidR="00B67325" w:rsidRDefault="00B67325" w:rsidP="00FE56D1">
      <w:pPr>
        <w:jc w:val="both"/>
        <w:rPr>
          <w:rFonts w:ascii="Arial" w:hAnsi="Arial" w:cs="Arial"/>
          <w:sz w:val="20"/>
          <w:lang w:val="es-ES_tradnl"/>
        </w:rPr>
      </w:pPr>
    </w:p>
    <w:p w:rsidR="00B67325" w:rsidRDefault="00B67325" w:rsidP="00FE56D1">
      <w:pPr>
        <w:jc w:val="both"/>
        <w:rPr>
          <w:rFonts w:ascii="Arial" w:hAnsi="Arial" w:cs="Arial"/>
          <w:sz w:val="20"/>
          <w:lang w:val="es-ES_tradnl"/>
        </w:rPr>
      </w:pPr>
      <w:r>
        <w:rPr>
          <w:rFonts w:ascii="Arial" w:hAnsi="Arial" w:cs="Arial"/>
          <w:sz w:val="20"/>
          <w:lang w:val="es-ES_tradnl"/>
        </w:rPr>
        <w:t xml:space="preserve">Se ha empleado varios promotores para la expresión de proteínas recombinantes que pueden clasificarse en: Promotores constitutivos (Ruta GAP) y promotores inducibles (Ruta MUT), siendo los promotores inducibles los más empleados </w:t>
      </w:r>
      <w:r>
        <w:rPr>
          <w:rFonts w:ascii="Arial" w:hAnsi="Arial" w:cs="Arial"/>
          <w:sz w:val="20"/>
          <w:lang w:val="es-ES_tradnl"/>
        </w:rPr>
        <w:fldChar w:fldCharType="begin" w:fldLock="1"/>
      </w:r>
      <w:r w:rsidR="000F69E3">
        <w:rPr>
          <w:rFonts w:ascii="Arial" w:hAnsi="Arial" w:cs="Arial"/>
          <w:sz w:val="20"/>
          <w:lang w:val="es-ES_tradnl"/>
        </w:rPr>
        <w:instrText>ADDIN CSL_CITATION {"citationItems":[{"id":"ITEM-1","itemData":{"DOI":"10.1016/j.biotechadv.2015.05.008","ISBN":"0734-9750","ISSN":"07349750","PMID":"26027890","abstract":"Pichia pastoris, a methylotrophic yeast, is an established system for the production of heterologous proteins, particularly biopharmaceuticals and industrial enzymes. To maximise and optimise the production of recombinant products, recent molecular research has focused on numerous issues including the design of expression vectors, optimisation of gene copy number, co-expression of secretory proteins such as chaperones, engineering of glycosylation and secretory pathways, etc. However, the physiological effects of different cultivation strategies are often difficult to separate from the molecular effects of the gene construct (e.g., cellular stress through over-expression or incorrect post-translational processing). Hence, overall system optimisation is difficult, even though it is urgently required in order to describe and understand the behaviour of new molecular constructs. This review focuses on particular aspects of recombinant protein production related to variations in biomass growth and their implications for strain design and screening, as well as on the concept of rational comparisons between cultivation systems for the development of specific production processes in bioreactors. The relationship between specific formation rates of secreted recombinant proteins, qp, and specific growth rates, ??, has been analysed in a conceptual attempt to compare different systems, particularly those based on AOX1/methanol and GAP/glucose, and this has now evolved into a pivotal concept for bioprocess engineering of P. pastoris.","author":[{"dropping-particle":"","family":"Looser","given":"V.","non-dropping-particle":"","parse-names":false,"suffix":""},{"dropping-particle":"","family":"Bruhlmann","given":"B.","non-dropping-particle":"","parse-names":false,"suffix":""},{"dropping-particle":"","family":"Bumbak","given":"F.","non-dropping-particle":"","parse-names":false,"suffix":""},{"dropping-particle":"","family":"Stenger","given":"C.","non-dropping-particle":"","parse-names":false,"suffix":""},{"dropping-particle":"","family":"Costa","given":"M.","non-dropping-particle":"","parse-names":false,"suffix":""},{"dropping-particle":"","family":"Camattari","given":"A.","non-dropping-particle":"","parse-names":false,"suffix":""},{"dropping-particle":"","family":"Fotiadis","given":"D.","non-dropping-particle":"","parse-names":false,"suffix":""},{"dropping-particle":"","family":"Kovar","given":"K.","non-dropping-particle":"","parse-names":false,"suffix":""}],"container-title":"Biotechnology Advances","id":"ITEM-1","issue":"6","issued":{"date-parts":[["2014"]]},"page":"1177-1193","publisher":"Elsevier B.V.","title":"Cultivation strategies to enhance productivity of Pichia pastoris: A review","type":"article-journal","volume":"33"},"uris":["http://www.mendeley.com/documents/?uuid=ae469d77-bb04-4ffb-9c90-efae76e0170b"]}],"mendeley":{"formattedCitation":"(Looser et al., 2014)","plainTextFormattedCitation":"(Looser et al., 2014)","previouslyFormattedCitation":"(Looser et al., 2014)"},"properties":{"noteIndex":0},"schema":"https://github.com/citation-style-language/schema/raw/master/csl-citation.json"}</w:instrText>
      </w:r>
      <w:r>
        <w:rPr>
          <w:rFonts w:ascii="Arial" w:hAnsi="Arial" w:cs="Arial"/>
          <w:sz w:val="20"/>
          <w:lang w:val="es-ES_tradnl"/>
        </w:rPr>
        <w:fldChar w:fldCharType="separate"/>
      </w:r>
      <w:r w:rsidRPr="00B67325">
        <w:rPr>
          <w:rFonts w:ascii="Arial" w:hAnsi="Arial" w:cs="Arial"/>
          <w:noProof/>
          <w:sz w:val="20"/>
          <w:lang w:val="es-ES_tradnl"/>
        </w:rPr>
        <w:t>(Looser et al., 2014)</w:t>
      </w:r>
      <w:r>
        <w:rPr>
          <w:rFonts w:ascii="Arial" w:hAnsi="Arial" w:cs="Arial"/>
          <w:sz w:val="20"/>
          <w:lang w:val="es-ES_tradnl"/>
        </w:rPr>
        <w:fldChar w:fldCharType="end"/>
      </w:r>
      <w:r>
        <w:rPr>
          <w:rFonts w:ascii="Arial" w:hAnsi="Arial" w:cs="Arial"/>
          <w:sz w:val="20"/>
          <w:lang w:val="es-ES_tradnl"/>
        </w:rPr>
        <w:t>.</w:t>
      </w:r>
    </w:p>
    <w:p w:rsidR="00B67325" w:rsidRDefault="00B67325" w:rsidP="00FE56D1">
      <w:pPr>
        <w:jc w:val="both"/>
        <w:rPr>
          <w:rFonts w:ascii="Arial" w:hAnsi="Arial" w:cs="Arial"/>
          <w:sz w:val="20"/>
          <w:lang w:val="es-ES_tradnl"/>
        </w:rPr>
      </w:pPr>
    </w:p>
    <w:p w:rsidR="000F69E3" w:rsidRDefault="000F69E3" w:rsidP="000F69E3">
      <w:pPr>
        <w:jc w:val="both"/>
        <w:rPr>
          <w:rFonts w:ascii="Arial" w:hAnsi="Arial" w:cs="Arial"/>
          <w:sz w:val="20"/>
          <w:lang w:val="es-ES_tradnl"/>
        </w:rPr>
      </w:pPr>
      <w:r>
        <w:rPr>
          <w:rFonts w:ascii="Arial" w:hAnsi="Arial" w:cs="Arial"/>
          <w:sz w:val="20"/>
          <w:lang w:val="es-ES_tradnl"/>
        </w:rPr>
        <w:t xml:space="preserve">Los organismos </w:t>
      </w:r>
      <w:proofErr w:type="spellStart"/>
      <w:r>
        <w:rPr>
          <w:rFonts w:ascii="Arial" w:hAnsi="Arial" w:cs="Arial"/>
          <w:sz w:val="20"/>
          <w:lang w:val="es-ES_tradnl"/>
        </w:rPr>
        <w:t>metanotróficos</w:t>
      </w:r>
      <w:proofErr w:type="spellEnd"/>
      <w:r>
        <w:rPr>
          <w:rFonts w:ascii="Arial" w:hAnsi="Arial" w:cs="Arial"/>
          <w:sz w:val="20"/>
          <w:lang w:val="es-ES_tradnl"/>
        </w:rPr>
        <w:t xml:space="preserve"> comparten la capacidad de obtener toda la energía y el carbono de moléculas reducidas que presenten un enlace C-C (metanol). En procariotas, las especies </w:t>
      </w:r>
      <w:proofErr w:type="spellStart"/>
      <w:r>
        <w:rPr>
          <w:rFonts w:ascii="Arial" w:hAnsi="Arial" w:cs="Arial"/>
          <w:sz w:val="20"/>
          <w:lang w:val="es-ES_tradnl"/>
        </w:rPr>
        <w:t>metanotróficas</w:t>
      </w:r>
      <w:proofErr w:type="spellEnd"/>
      <w:r>
        <w:rPr>
          <w:rFonts w:ascii="Arial" w:hAnsi="Arial" w:cs="Arial"/>
          <w:sz w:val="20"/>
          <w:lang w:val="es-ES_tradnl"/>
        </w:rPr>
        <w:t xml:space="preserve"> son capaces de metabolizar compuestos C1 tales como metanol, </w:t>
      </w:r>
      <w:proofErr w:type="spellStart"/>
      <w:r>
        <w:rPr>
          <w:rFonts w:ascii="Arial" w:hAnsi="Arial" w:cs="Arial"/>
          <w:sz w:val="20"/>
          <w:lang w:val="es-ES_tradnl"/>
        </w:rPr>
        <w:t>metilamina</w:t>
      </w:r>
      <w:proofErr w:type="spellEnd"/>
      <w:r>
        <w:rPr>
          <w:rFonts w:ascii="Arial" w:hAnsi="Arial" w:cs="Arial"/>
          <w:sz w:val="20"/>
          <w:lang w:val="es-ES_tradnl"/>
        </w:rPr>
        <w:t xml:space="preserve"> y metano; mientras que los eucariotas </w:t>
      </w:r>
      <w:proofErr w:type="spellStart"/>
      <w:r>
        <w:rPr>
          <w:rFonts w:ascii="Arial" w:hAnsi="Arial" w:cs="Arial"/>
          <w:sz w:val="20"/>
          <w:lang w:val="es-ES_tradnl"/>
        </w:rPr>
        <w:t>metanotróficos</w:t>
      </w:r>
      <w:proofErr w:type="spellEnd"/>
      <w:r>
        <w:rPr>
          <w:rFonts w:ascii="Arial" w:hAnsi="Arial" w:cs="Arial"/>
          <w:sz w:val="20"/>
          <w:lang w:val="es-ES_tradnl"/>
        </w:rPr>
        <w:t xml:space="preserve"> se limitan al consumo de metano</w:t>
      </w:r>
      <w:r>
        <w:rPr>
          <w:rFonts w:ascii="Arial" w:hAnsi="Arial" w:cs="Arial"/>
          <w:sz w:val="20"/>
          <w:lang w:val="es-ES_tradnl"/>
        </w:rPr>
        <w:fldChar w:fldCharType="begin" w:fldLock="1"/>
      </w:r>
      <w:r>
        <w:rPr>
          <w:rFonts w:ascii="Arial" w:hAnsi="Arial" w:cs="Arial"/>
          <w:sz w:val="20"/>
          <w:lang w:val="es-ES_tradnl"/>
        </w:rPr>
        <w:instrText>ADDIN CSL_CITATION {"citationItems":[{"id":"ITEM-1","itemData":{"DOI":"10.1016/j.bbamcr.2006.07.016","ISBN":"0167-4889","ISSN":"01674889","PMID":"17023065","abstract":"The capacity to use methanol as sole source of carbon and energy is restricted to relatively few yeast species. This may be related to the low efficiency of methanol metabolism in yeast, relative to that of prokaryotes. This contribution describes the details of methanol metabolism in yeast and focuses on the significance of compartmentalization of this metabolic pathway in peroxisomes. © 2006 Elsevier B.V. All rights reserved.","author":[{"dropping-particle":"","family":"Klei","given":"Ida J.","non-dropping-particle":"van der","parse-names":false,"suffix":""},{"dropping-particle":"","family":"Yurimoto","given":"Hiroya","non-dropping-particle":"","parse-names":false,"suffix":""},{"dropping-particle":"","family":"Sakai","given":"Yasuyoshi","non-dropping-particle":"","parse-names":false,"suffix":""},{"dropping-particle":"","family":"Veenhuis","given":"Marten","non-dropping-particle":"","parse-names":false,"suffix":""}],"container-title":"Biochimica et Biophysica Acta - Molecular Cell Research","id":"ITEM-1","issue":"12","issued":{"date-parts":[["2006"]]},"page":"1453-1462","title":"The significance of peroxisomes in methanol metabolism in methylotrophic yeast","type":"article-journal","volume":"1763"},"uris":["http://www.mendeley.com/documents/?uuid=eb89b0b4-fbdf-43a0-a80e-2b1a5ffc3331"]}],"mendeley":{"formattedCitation":"(van der Klei, Yurimoto, Sakai, &amp; Veenhuis, 2006)","plainTextFormattedCitation":"(van der Klei, Yurimoto, Sakai, &amp; Veenhuis, 2006)","previouslyFormattedCitation":"(van der Klei, Yurimoto, Sakai, &amp; Veenhuis, 2006)"},"properties":{"noteIndex":0},"schema":"https://github.com/citation-style-language/schema/raw/master/csl-citation.json"}</w:instrText>
      </w:r>
      <w:r>
        <w:rPr>
          <w:rFonts w:ascii="Arial" w:hAnsi="Arial" w:cs="Arial"/>
          <w:sz w:val="20"/>
          <w:lang w:val="es-ES_tradnl"/>
        </w:rPr>
        <w:fldChar w:fldCharType="separate"/>
      </w:r>
      <w:r w:rsidRPr="000F69E3">
        <w:rPr>
          <w:rFonts w:ascii="Arial" w:hAnsi="Arial" w:cs="Arial"/>
          <w:noProof/>
          <w:sz w:val="20"/>
          <w:lang w:val="es-ES_tradnl"/>
        </w:rPr>
        <w:t>(van der Klei, Yurimoto, Sakai, &amp; Veenhuis, 2006)</w:t>
      </w:r>
      <w:r>
        <w:rPr>
          <w:rFonts w:ascii="Arial" w:hAnsi="Arial" w:cs="Arial"/>
          <w:sz w:val="20"/>
          <w:lang w:val="es-ES_tradnl"/>
        </w:rPr>
        <w:fldChar w:fldCharType="end"/>
      </w:r>
      <w:r>
        <w:rPr>
          <w:rFonts w:ascii="Arial" w:hAnsi="Arial" w:cs="Arial"/>
          <w:sz w:val="20"/>
          <w:lang w:val="es-ES_tradnl"/>
        </w:rPr>
        <w:t>.</w:t>
      </w:r>
    </w:p>
    <w:p w:rsidR="000F69E3" w:rsidRDefault="000F69E3" w:rsidP="00FE56D1">
      <w:pPr>
        <w:jc w:val="both"/>
        <w:rPr>
          <w:rFonts w:ascii="Arial" w:hAnsi="Arial" w:cs="Arial"/>
          <w:sz w:val="20"/>
          <w:lang w:val="es-ES_tradnl"/>
        </w:rPr>
      </w:pPr>
    </w:p>
    <w:p w:rsidR="00B67325" w:rsidRDefault="00B67325" w:rsidP="00FE56D1">
      <w:pPr>
        <w:jc w:val="both"/>
        <w:rPr>
          <w:rFonts w:ascii="Arial" w:hAnsi="Arial" w:cs="Arial"/>
          <w:sz w:val="20"/>
          <w:lang w:val="es-ES_tradnl"/>
        </w:rPr>
      </w:pPr>
      <w:r>
        <w:rPr>
          <w:rFonts w:ascii="Arial" w:hAnsi="Arial" w:cs="Arial"/>
          <w:sz w:val="20"/>
          <w:lang w:val="es-ES_tradnl"/>
        </w:rPr>
        <w:t xml:space="preserve">La expresión de la ruta MUT es fuertemente regulada a nivel de la transcripción. Dado que se lleva a cabo enteramente en el peroxisoma, este organelo ocupa hasta un 80% del espacio citoplasmático. En el primer paso de la metabolización del metanol, el metanol se oxida y se genera formaldehido por medio </w:t>
      </w:r>
      <w:proofErr w:type="gramStart"/>
      <w:r>
        <w:rPr>
          <w:rFonts w:ascii="Arial" w:hAnsi="Arial" w:cs="Arial"/>
          <w:sz w:val="20"/>
          <w:lang w:val="es-ES_tradnl"/>
        </w:rPr>
        <w:t>de las alcohol</w:t>
      </w:r>
      <w:proofErr w:type="gramEnd"/>
      <w:r>
        <w:rPr>
          <w:rFonts w:ascii="Arial" w:hAnsi="Arial" w:cs="Arial"/>
          <w:sz w:val="20"/>
          <w:lang w:val="es-ES_tradnl"/>
        </w:rPr>
        <w:t xml:space="preserve"> oxidasas (AOX).</w:t>
      </w:r>
    </w:p>
    <w:p w:rsidR="00B67325" w:rsidRDefault="00B67325" w:rsidP="00FE56D1">
      <w:pPr>
        <w:jc w:val="both"/>
        <w:rPr>
          <w:rFonts w:ascii="Arial" w:hAnsi="Arial" w:cs="Arial"/>
          <w:sz w:val="20"/>
          <w:lang w:val="es-ES_tradnl"/>
        </w:rPr>
      </w:pPr>
    </w:p>
    <w:p w:rsidR="00B67325" w:rsidRDefault="00B67325" w:rsidP="00FE56D1">
      <w:pPr>
        <w:jc w:val="both"/>
        <w:rPr>
          <w:rFonts w:ascii="Arial" w:hAnsi="Arial" w:cs="Arial"/>
          <w:sz w:val="20"/>
          <w:lang w:val="es-ES_tradnl"/>
        </w:rPr>
      </w:pPr>
      <w:r>
        <w:rPr>
          <w:rFonts w:ascii="Arial" w:hAnsi="Arial" w:cs="Arial"/>
          <w:sz w:val="20"/>
          <w:lang w:val="es-ES_tradnl"/>
        </w:rPr>
        <w:t xml:space="preserve">El formaldehído es oxidado por 2 reacciones de deshidrogenación subsecuentes (Ruta </w:t>
      </w:r>
      <w:proofErr w:type="spellStart"/>
      <w:r>
        <w:rPr>
          <w:rFonts w:ascii="Arial" w:hAnsi="Arial" w:cs="Arial"/>
          <w:sz w:val="20"/>
          <w:lang w:val="es-ES_tradnl"/>
        </w:rPr>
        <w:t>disimilativa</w:t>
      </w:r>
      <w:proofErr w:type="spellEnd"/>
      <w:r>
        <w:rPr>
          <w:rFonts w:ascii="Arial" w:hAnsi="Arial" w:cs="Arial"/>
          <w:sz w:val="20"/>
          <w:lang w:val="es-ES_tradnl"/>
        </w:rPr>
        <w:t xml:space="preserve">) o asimilado en el metabolismo central mediante condensación con la </w:t>
      </w:r>
      <w:proofErr w:type="spellStart"/>
      <w:r>
        <w:rPr>
          <w:rFonts w:ascii="Arial" w:hAnsi="Arial" w:cs="Arial"/>
          <w:sz w:val="20"/>
          <w:lang w:val="es-ES_tradnl"/>
        </w:rPr>
        <w:t>xilulosa</w:t>
      </w:r>
      <w:proofErr w:type="spellEnd"/>
      <w:r>
        <w:rPr>
          <w:rFonts w:ascii="Arial" w:hAnsi="Arial" w:cs="Arial"/>
          <w:sz w:val="20"/>
          <w:lang w:val="es-ES_tradnl"/>
        </w:rPr>
        <w:t xml:space="preserve"> 5 fosfato (Xu5P). La última reacción de condensación es catalizada</w:t>
      </w:r>
      <w:r w:rsidR="000F69E3">
        <w:rPr>
          <w:rFonts w:ascii="Arial" w:hAnsi="Arial" w:cs="Arial"/>
          <w:sz w:val="20"/>
          <w:lang w:val="es-ES_tradnl"/>
        </w:rPr>
        <w:t xml:space="preserve"> por una </w:t>
      </w:r>
      <w:proofErr w:type="spellStart"/>
      <w:r w:rsidR="000F69E3">
        <w:rPr>
          <w:rFonts w:ascii="Arial" w:hAnsi="Arial" w:cs="Arial"/>
          <w:sz w:val="20"/>
          <w:lang w:val="es-ES_tradnl"/>
        </w:rPr>
        <w:t>trasketolasa</w:t>
      </w:r>
      <w:proofErr w:type="spellEnd"/>
      <w:r w:rsidR="000F69E3">
        <w:rPr>
          <w:rFonts w:ascii="Arial" w:hAnsi="Arial" w:cs="Arial"/>
          <w:sz w:val="20"/>
          <w:lang w:val="es-ES_tradnl"/>
        </w:rPr>
        <w:t xml:space="preserve"> especial (DAS), la cual convierte Xu5P y formaldehído en dihidroxiacetona (DHA) y gliceraldehído-3-fosfato (GAP), los cuales son metabolizados en el citosol (Figura 1) </w:t>
      </w:r>
      <w:r w:rsidR="000F69E3">
        <w:rPr>
          <w:rFonts w:ascii="Arial" w:hAnsi="Arial" w:cs="Arial"/>
          <w:sz w:val="20"/>
          <w:lang w:val="es-ES_tradnl"/>
        </w:rPr>
        <w:fldChar w:fldCharType="begin" w:fldLock="1"/>
      </w:r>
      <w:r w:rsidR="00A45ADA">
        <w:rPr>
          <w:rFonts w:ascii="Arial" w:hAnsi="Arial" w:cs="Arial"/>
          <w:sz w:val="20"/>
          <w:lang w:val="es-ES_tradnl"/>
        </w:rPr>
        <w:instrText>ADDIN CSL_CITATION {"citationItems":[{"id":"ITEM-1","itemData":{"DOI":"10.1186/1475-2859-5-39","ISBN":"1475-2859 (Electronic)\\r1475-2859 (Linking)","ISSN":"1475-2859","PMID":"17169150","abstract":"Methylotrophic yeasts such as Candida boidinii, Hansenula polymorpha, Pichia methanolica and Pichia pastoris are an emerging group of eukaryotic hosts for recombinant protein production with an ever increasing number of applications during the last 30 years. Their applications are linked to the use of strong methanol-inducible promoters derived from genes of the methanol utilisation pathway. These promoters are tightly regulated, highly repressed in presence of non-limiting concentrations of glucose in the medium and strongly induced if methanol is used as carbon source. Several factors involved in this tight control and their regulatory effects have been described so far. This review summarises available data about the regulation of promoters from methanol utilisation pathway genes. Furthermore, the role of cis and trans acting factors (e.g. transcription factors, glucose processing enzymes) in the expression of methanol utilisation pathway genes is reviewed both in the context of the native cell environment as well as in heterologous hosts.","author":[{"dropping-particle":"","family":"Hartner","given":"Franz S","non-dropping-particle":"","parse-names":false,"suffix":""},{"dropping-particle":"","family":"Glieder","given":"Anton","non-dropping-particle":"","parse-names":false,"suffix":""}],"container-title":"Microbial cell factories","id":"ITEM-1","issue":"1","issued":{"date-parts":[["2006"]]},"page":"39","title":"Regulation of methanol utilisation pathway genes in yeasts.","type":"article-journal","volume":"5"},"uris":["http://www.mendeley.com/documents/?uuid=903aa8a2-f2ce-4b61-899a-a0147c2d1925"]}],"mendeley":{"formattedCitation":"(Hartner &amp; Glieder, 2006)","plainTextFormattedCitation":"(Hartner &amp; Glieder, 2006)","previouslyFormattedCitation":"(Hartner &amp; Glieder, 2006)"},"properties":{"noteIndex":0},"schema":"https://github.com/citation-style-language/schema/raw/master/csl-citation.json"}</w:instrText>
      </w:r>
      <w:r w:rsidR="000F69E3">
        <w:rPr>
          <w:rFonts w:ascii="Arial" w:hAnsi="Arial" w:cs="Arial"/>
          <w:sz w:val="20"/>
          <w:lang w:val="es-ES_tradnl"/>
        </w:rPr>
        <w:fldChar w:fldCharType="separate"/>
      </w:r>
      <w:r w:rsidR="000F69E3" w:rsidRPr="000F69E3">
        <w:rPr>
          <w:rFonts w:ascii="Arial" w:hAnsi="Arial" w:cs="Arial"/>
          <w:noProof/>
          <w:sz w:val="20"/>
          <w:lang w:val="es-ES_tradnl"/>
        </w:rPr>
        <w:t>(Hartner &amp; Glieder, 2006)</w:t>
      </w:r>
      <w:r w:rsidR="000F69E3">
        <w:rPr>
          <w:rFonts w:ascii="Arial" w:hAnsi="Arial" w:cs="Arial"/>
          <w:sz w:val="20"/>
          <w:lang w:val="es-ES_tradnl"/>
        </w:rPr>
        <w:fldChar w:fldCharType="end"/>
      </w:r>
      <w:r w:rsidR="000F69E3">
        <w:rPr>
          <w:rFonts w:ascii="Arial" w:hAnsi="Arial" w:cs="Arial"/>
          <w:sz w:val="20"/>
          <w:lang w:val="es-ES_tradnl"/>
        </w:rPr>
        <w:t>.</w:t>
      </w:r>
    </w:p>
    <w:p w:rsidR="00FE56D1" w:rsidRDefault="00FE56D1" w:rsidP="00FE56D1">
      <w:pPr>
        <w:jc w:val="both"/>
        <w:rPr>
          <w:rFonts w:ascii="Arial" w:hAnsi="Arial" w:cs="Arial"/>
          <w:sz w:val="20"/>
          <w:lang w:val="es-ES_tradnl"/>
        </w:rPr>
      </w:pPr>
    </w:p>
    <w:p w:rsidR="000F69E3" w:rsidRDefault="000F69E3" w:rsidP="00E02588">
      <w:pPr>
        <w:jc w:val="center"/>
        <w:rPr>
          <w:rFonts w:ascii="Arial" w:hAnsi="Arial" w:cs="Arial"/>
          <w:sz w:val="20"/>
          <w:lang w:val="es-ES_tradnl"/>
        </w:rPr>
      </w:pPr>
      <w:r>
        <w:rPr>
          <w:noProof/>
        </w:rPr>
        <w:drawing>
          <wp:inline distT="0" distB="0" distL="0" distR="0" wp14:anchorId="22DAD730" wp14:editId="20FDF55E">
            <wp:extent cx="2430952" cy="30251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04" t="2289" r="7328"/>
                    <a:stretch/>
                  </pic:blipFill>
                  <pic:spPr bwMode="auto">
                    <a:xfrm>
                      <a:off x="0" y="0"/>
                      <a:ext cx="2520144" cy="3136133"/>
                    </a:xfrm>
                    <a:prstGeom prst="rect">
                      <a:avLst/>
                    </a:prstGeom>
                    <a:ln>
                      <a:noFill/>
                    </a:ln>
                    <a:extLst>
                      <a:ext uri="{53640926-AAD7-44D8-BBD7-CCE9431645EC}">
                        <a14:shadowObscured xmlns:a14="http://schemas.microsoft.com/office/drawing/2010/main"/>
                      </a:ext>
                    </a:extLst>
                  </pic:spPr>
                </pic:pic>
              </a:graphicData>
            </a:graphic>
          </wp:inline>
        </w:drawing>
      </w:r>
    </w:p>
    <w:p w:rsidR="000F69E3" w:rsidRDefault="000F69E3" w:rsidP="000F69E3">
      <w:pPr>
        <w:rPr>
          <w:rFonts w:ascii="Arial" w:hAnsi="Arial" w:cs="Arial"/>
          <w:i/>
          <w:sz w:val="20"/>
          <w:lang w:val="es-ES_tradnl"/>
        </w:rPr>
      </w:pPr>
      <w:r w:rsidRPr="00F53584">
        <w:rPr>
          <w:rFonts w:ascii="Arial" w:hAnsi="Arial" w:cs="Arial"/>
          <w:b/>
          <w:sz w:val="20"/>
          <w:lang w:val="es-ES_tradnl"/>
        </w:rPr>
        <w:t>Figura 1:</w:t>
      </w:r>
      <w:r>
        <w:rPr>
          <w:rFonts w:ascii="Arial" w:hAnsi="Arial" w:cs="Arial"/>
          <w:sz w:val="20"/>
          <w:lang w:val="es-ES_tradnl"/>
        </w:rPr>
        <w:t xml:space="preserve"> Ruta MUT</w:t>
      </w:r>
      <w:r w:rsidR="00E02588">
        <w:rPr>
          <w:rFonts w:ascii="Arial" w:hAnsi="Arial" w:cs="Arial"/>
          <w:sz w:val="20"/>
          <w:lang w:val="es-ES_tradnl"/>
        </w:rPr>
        <w:t xml:space="preserve"> responsable del meta</w:t>
      </w:r>
      <w:r w:rsidR="00641099">
        <w:rPr>
          <w:rFonts w:ascii="Arial" w:hAnsi="Arial" w:cs="Arial"/>
          <w:sz w:val="20"/>
          <w:lang w:val="es-ES_tradnl"/>
        </w:rPr>
        <w:t>b</w:t>
      </w:r>
      <w:r w:rsidR="00E02588">
        <w:rPr>
          <w:rFonts w:ascii="Arial" w:hAnsi="Arial" w:cs="Arial"/>
          <w:sz w:val="20"/>
          <w:lang w:val="es-ES_tradnl"/>
        </w:rPr>
        <w:t>olismo de metanol en</w:t>
      </w:r>
      <w:r>
        <w:rPr>
          <w:rFonts w:ascii="Arial" w:hAnsi="Arial" w:cs="Arial"/>
          <w:sz w:val="20"/>
          <w:lang w:val="es-ES_tradnl"/>
        </w:rPr>
        <w:t xml:space="preserve"> de </w:t>
      </w:r>
      <w:proofErr w:type="spellStart"/>
      <w:r>
        <w:rPr>
          <w:rFonts w:ascii="Arial" w:hAnsi="Arial" w:cs="Arial"/>
          <w:i/>
          <w:sz w:val="20"/>
          <w:lang w:val="es-ES_tradnl"/>
        </w:rPr>
        <w:t>Pichia</w:t>
      </w:r>
      <w:proofErr w:type="spellEnd"/>
      <w:r>
        <w:rPr>
          <w:rFonts w:ascii="Arial" w:hAnsi="Arial" w:cs="Arial"/>
          <w:i/>
          <w:sz w:val="20"/>
          <w:lang w:val="es-ES_tradnl"/>
        </w:rPr>
        <w:t xml:space="preserve"> </w:t>
      </w:r>
      <w:proofErr w:type="spellStart"/>
      <w:r>
        <w:rPr>
          <w:rFonts w:ascii="Arial" w:hAnsi="Arial" w:cs="Arial"/>
          <w:i/>
          <w:sz w:val="20"/>
          <w:lang w:val="es-ES_tradnl"/>
        </w:rPr>
        <w:t>pastoris</w:t>
      </w:r>
      <w:proofErr w:type="spellEnd"/>
    </w:p>
    <w:p w:rsidR="00E02588" w:rsidRDefault="001E2D15" w:rsidP="006260E0">
      <w:pPr>
        <w:jc w:val="both"/>
        <w:rPr>
          <w:rFonts w:ascii="Arial" w:hAnsi="Arial" w:cs="Arial"/>
          <w:sz w:val="20"/>
          <w:lang w:val="es-ES_tradnl"/>
        </w:rPr>
      </w:pPr>
      <w:r>
        <w:rPr>
          <w:rFonts w:ascii="Arial" w:hAnsi="Arial" w:cs="Arial"/>
          <w:sz w:val="20"/>
          <w:lang w:val="es-ES_tradnl"/>
        </w:rPr>
        <w:lastRenderedPageBreak/>
        <w:t>De la importancia que supone el análisis del metabolismo, dilucidando así la “caja negra”, surgen conceptos y herramientas que se engloban en una disciplina denominada la biología de sistemas.</w:t>
      </w:r>
      <w:r w:rsidR="00A45ADA">
        <w:rPr>
          <w:rFonts w:ascii="Arial" w:hAnsi="Arial" w:cs="Arial"/>
          <w:sz w:val="20"/>
          <w:lang w:val="es-ES_tradnl"/>
        </w:rPr>
        <w:t xml:space="preserve"> Ahora, es posible reconstruir redes a escala genómica basados en la información del proteoma y transcriptoma disponibles hoy en día. Dado que estas redes se conceptualizan como una serie de conexiones </w:t>
      </w:r>
      <w:r w:rsidR="00640F09">
        <w:rPr>
          <w:rFonts w:ascii="Arial" w:hAnsi="Arial" w:cs="Arial"/>
          <w:sz w:val="20"/>
          <w:lang w:val="es-ES_tradnl"/>
        </w:rPr>
        <w:t>de</w:t>
      </w:r>
      <w:r w:rsidR="00A45ADA">
        <w:rPr>
          <w:rFonts w:ascii="Arial" w:hAnsi="Arial" w:cs="Arial"/>
          <w:sz w:val="20"/>
          <w:lang w:val="es-ES_tradnl"/>
        </w:rPr>
        <w:t xml:space="preserve"> reacciones bioquímicas, el conjunto de estas puede ser </w:t>
      </w:r>
      <w:r w:rsidR="00640F09">
        <w:rPr>
          <w:rFonts w:ascii="Arial" w:hAnsi="Arial" w:cs="Arial"/>
          <w:sz w:val="20"/>
          <w:lang w:val="es-ES_tradnl"/>
        </w:rPr>
        <w:t>interpretado</w:t>
      </w:r>
      <w:r w:rsidR="00A45ADA">
        <w:rPr>
          <w:rFonts w:ascii="Arial" w:hAnsi="Arial" w:cs="Arial"/>
          <w:sz w:val="20"/>
          <w:lang w:val="es-ES_tradnl"/>
        </w:rPr>
        <w:t xml:space="preserve"> por una matriz estequiométrica, la cual es una representación matemática concisa de una red reconstruida </w:t>
      </w:r>
      <w:r w:rsidR="00A45ADA">
        <w:rPr>
          <w:rFonts w:ascii="Arial" w:hAnsi="Arial" w:cs="Arial"/>
          <w:sz w:val="20"/>
          <w:lang w:val="es-ES_tradnl"/>
        </w:rPr>
        <w:fldChar w:fldCharType="begin" w:fldLock="1"/>
      </w:r>
      <w:r w:rsidR="00FB03D6">
        <w:rPr>
          <w:rFonts w:ascii="Arial" w:hAnsi="Arial" w:cs="Arial"/>
          <w:sz w:val="20"/>
          <w:lang w:val="es-ES_tradnl"/>
        </w:rPr>
        <w:instrText>ADDIN CSL_CITATION {"citationItems":[{"id":"ITEM-1","itemData":{"ISBN":"9780521859035","author":[{"dropping-particle":"","family":"Palsson","given":"Bernhard Ø","non-dropping-particle":"","parse-names":false,"suffix":""}],"id":"ITEM-1","issued":{"date-parts":[["2006"]]},"publisher":"Cambridge University Press","publisher-place":"New York","title":"Systems Biology: Properties of reconstructed Networks","type":"book"},"uris":["http://www.mendeley.com/documents/?uuid=ce933dd9-f7c5-4806-92fe-0b9decdcaa6b"]}],"mendeley":{"formattedCitation":"(Palsson, 2006)","plainTextFormattedCitation":"(Palsson, 2006)","previouslyFormattedCitation":"(Palsson, 2006)"},"properties":{"noteIndex":0},"schema":"https://github.com/citation-style-language/schema/raw/master/csl-citation.json"}</w:instrText>
      </w:r>
      <w:r w:rsidR="00A45ADA">
        <w:rPr>
          <w:rFonts w:ascii="Arial" w:hAnsi="Arial" w:cs="Arial"/>
          <w:sz w:val="20"/>
          <w:lang w:val="es-ES_tradnl"/>
        </w:rPr>
        <w:fldChar w:fldCharType="separate"/>
      </w:r>
      <w:r w:rsidR="00A45ADA" w:rsidRPr="00A45ADA">
        <w:rPr>
          <w:rFonts w:ascii="Arial" w:hAnsi="Arial" w:cs="Arial"/>
          <w:noProof/>
          <w:sz w:val="20"/>
          <w:lang w:val="es-ES_tradnl"/>
        </w:rPr>
        <w:t>(Palsson, 2006)</w:t>
      </w:r>
      <w:r w:rsidR="00A45ADA">
        <w:rPr>
          <w:rFonts w:ascii="Arial" w:hAnsi="Arial" w:cs="Arial"/>
          <w:sz w:val="20"/>
          <w:lang w:val="es-ES_tradnl"/>
        </w:rPr>
        <w:fldChar w:fldCharType="end"/>
      </w:r>
      <w:r w:rsidR="00A45ADA">
        <w:rPr>
          <w:rFonts w:ascii="Arial" w:hAnsi="Arial" w:cs="Arial"/>
          <w:sz w:val="20"/>
          <w:lang w:val="es-ES_tradnl"/>
        </w:rPr>
        <w:t>.</w:t>
      </w:r>
    </w:p>
    <w:p w:rsidR="00FB03D6" w:rsidRDefault="00FB03D6" w:rsidP="006260E0">
      <w:pPr>
        <w:jc w:val="both"/>
        <w:rPr>
          <w:rFonts w:ascii="Arial" w:hAnsi="Arial" w:cs="Arial"/>
          <w:sz w:val="20"/>
          <w:lang w:val="es-ES_tradnl"/>
        </w:rPr>
      </w:pPr>
      <w:r>
        <w:rPr>
          <w:rFonts w:ascii="Arial" w:hAnsi="Arial" w:cs="Arial"/>
          <w:sz w:val="20"/>
          <w:lang w:val="es-ES_tradnl"/>
        </w:rPr>
        <w:t xml:space="preserve">Para poder analizar el metabolismo usando esta matriz estequiométrica, se han propuesto herramientas matemáticas por ejemplo la optimización lineal. Esto ha dado surgimiento a un problema específico de la programación lineal llamado FBA (Flux Balance </w:t>
      </w:r>
      <w:proofErr w:type="spellStart"/>
      <w:r>
        <w:rPr>
          <w:rFonts w:ascii="Arial" w:hAnsi="Arial" w:cs="Arial"/>
          <w:sz w:val="20"/>
          <w:lang w:val="es-ES_tradnl"/>
        </w:rPr>
        <w:t>Analysis</w:t>
      </w:r>
      <w:proofErr w:type="spellEnd"/>
      <w:r>
        <w:rPr>
          <w:rFonts w:ascii="Arial" w:hAnsi="Arial" w:cs="Arial"/>
          <w:sz w:val="20"/>
          <w:lang w:val="es-ES_tradnl"/>
        </w:rPr>
        <w:t xml:space="preserve">), el cual no es más que un problema de optimización lineal sujeto a restricciones que tiene como objetivo la maximización de la velocidad específica de crecimiento del microorganismo. La consideración de la maximización de µ se debe a argumentos evolutivos que aseguran que el microorganismo maximizará su µ si se le provee suficientes nutrientes </w:t>
      </w:r>
      <w:r>
        <w:rPr>
          <w:rFonts w:ascii="Arial" w:hAnsi="Arial" w:cs="Arial"/>
          <w:sz w:val="20"/>
          <w:lang w:val="es-ES_tradnl"/>
        </w:rPr>
        <w:fldChar w:fldCharType="begin" w:fldLock="1"/>
      </w:r>
      <w:r w:rsidR="00F53584">
        <w:rPr>
          <w:rFonts w:ascii="Arial" w:hAnsi="Arial" w:cs="Arial"/>
          <w:sz w:val="20"/>
          <w:lang w:val="es-ES_tradnl"/>
        </w:rPr>
        <w:instrText>ADDIN CSL_CITATION {"citationItems":[{"id":"ITEM-1","itemData":{"DOI":"10.1002/bit.24748","ISBN":"1617258504","ISSN":"00063592","PMID":"23055276","abstract":"Dynamic flux balance analysis (DFBA) provides a platform for detailed design, control and optimization of biochemical process technologies. It is a promising modeling framework that combines genome-scale metabolic network analysis with dynamic simulation of the extracellular environment. Dynamic flux balance analysis assumes that the intracellular species concentrations are in equilibrium with the extracellular environment. The resulting underdetermined stoichiometric model is solved under the assumption of a biochemical objective such as growth rate maximization. The model of the metabolism is coupled with the dynamic mass balance equations of the extracellular environment via expressions for the rates of substrate uptake and product excretion, which imposes additional constraints on the linear program (LP) defined by growth rate maximization of the metabolism. The linear program is embedded into the dynamic model of the bioreactor, and together with the additional constraints this provides an accurate model of the substrate consumption, product secretion, and biomass production during operation. A DFBA model consists of a system of ordinary differential equations for which the evaluation of the right-hand side requires not only function evaluations, but also the solution of one or more linear programs. The numerical tool presented here accurately and efficiently simulates large-scale dynamic flux balance models. The main advantages that this approach has over existing implementation are that the integration scheme has a variable step size, that the linear program only has to be solved when qualitative changes in the optimal flux distribution of the metabolic network occur, and that it can reliably simulate behavior near the boundary of the domain where the model is defined. This is illustrated through large-scale examples taken from the literature.","author":[{"dropping-particle":"","family":"Höffner","given":"K.","non-dropping-particle":"","parse-names":false,"suffix":""},{"dropping-particle":"","family":"Harwood","given":"S. M.","non-dropping-particle":"","parse-names":false,"suffix":""},{"dropping-particle":"","family":"Barton","given":"P. I.","non-dropping-particle":"","parse-names":false,"suffix":""}],"container-title":"Biotechnology and Bioengineering","id":"ITEM-1","issue":"3","issued":{"date-parts":[["2013"]]},"page":"792-802","title":"A reliable simulator for dynamic flux balance analysis","type":"article-journal","volume":"110"},"uris":["http://www.mendeley.com/documents/?uuid=50128cf6-3b6d-4582-b23a-2155fd7bfa9b"]}],"mendeley":{"formattedCitation":"(Höffner, Harwood, &amp; Barton, 2013)","plainTextFormattedCitation":"(Höffner, Harwood, &amp; Barton, 2013)","previouslyFormattedCitation":"(Höffner, Harwood, &amp; Barton, 2013)"},"properties":{"noteIndex":0},"schema":"https://github.com/citation-style-language/schema/raw/master/csl-citation.json"}</w:instrText>
      </w:r>
      <w:r>
        <w:rPr>
          <w:rFonts w:ascii="Arial" w:hAnsi="Arial" w:cs="Arial"/>
          <w:sz w:val="20"/>
          <w:lang w:val="es-ES_tradnl"/>
        </w:rPr>
        <w:fldChar w:fldCharType="separate"/>
      </w:r>
      <w:r w:rsidRPr="00FB03D6">
        <w:rPr>
          <w:rFonts w:ascii="Arial" w:hAnsi="Arial" w:cs="Arial"/>
          <w:noProof/>
          <w:sz w:val="20"/>
          <w:lang w:val="es-ES_tradnl"/>
        </w:rPr>
        <w:t>(Höffner, Harwood, &amp; Barton, 2013)</w:t>
      </w:r>
      <w:r>
        <w:rPr>
          <w:rFonts w:ascii="Arial" w:hAnsi="Arial" w:cs="Arial"/>
          <w:sz w:val="20"/>
          <w:lang w:val="es-ES_tradnl"/>
        </w:rPr>
        <w:fldChar w:fldCharType="end"/>
      </w:r>
      <w:r>
        <w:rPr>
          <w:rFonts w:ascii="Arial" w:hAnsi="Arial" w:cs="Arial"/>
          <w:sz w:val="20"/>
          <w:lang w:val="es-ES_tradnl"/>
        </w:rPr>
        <w:t xml:space="preserve">. </w:t>
      </w:r>
    </w:p>
    <w:p w:rsidR="00F53584" w:rsidRDefault="00F53584" w:rsidP="006260E0">
      <w:pPr>
        <w:jc w:val="both"/>
        <w:rPr>
          <w:rFonts w:ascii="Arial" w:hAnsi="Arial" w:cs="Arial"/>
          <w:sz w:val="20"/>
          <w:lang w:val="es-ES_tradnl"/>
        </w:rPr>
      </w:pPr>
    </w:p>
    <w:p w:rsidR="00F53584" w:rsidRDefault="00F53584" w:rsidP="006260E0">
      <w:pPr>
        <w:jc w:val="both"/>
        <w:rPr>
          <w:rFonts w:ascii="Arial" w:hAnsi="Arial" w:cs="Arial"/>
          <w:sz w:val="20"/>
          <w:lang w:val="es-ES_tradnl"/>
        </w:rPr>
      </w:pPr>
      <w:r>
        <w:rPr>
          <w:rFonts w:ascii="Arial" w:hAnsi="Arial" w:cs="Arial"/>
          <w:sz w:val="20"/>
          <w:lang w:val="es-ES_tradnl"/>
        </w:rPr>
        <w:t xml:space="preserve">La tarea encomendada consiste en proponer un modelo a escala genómica de un microorganismo a elección y analizar algunos aspectos inherentes a este modelo. </w:t>
      </w:r>
      <w:proofErr w:type="gramStart"/>
      <w:r>
        <w:rPr>
          <w:rFonts w:ascii="Arial" w:hAnsi="Arial" w:cs="Arial"/>
          <w:sz w:val="20"/>
          <w:lang w:val="es-ES_tradnl"/>
        </w:rPr>
        <w:t>Las preguntas a responder</w:t>
      </w:r>
      <w:proofErr w:type="gramEnd"/>
      <w:r>
        <w:rPr>
          <w:rFonts w:ascii="Arial" w:hAnsi="Arial" w:cs="Arial"/>
          <w:sz w:val="20"/>
          <w:lang w:val="es-ES_tradnl"/>
        </w:rPr>
        <w:t xml:space="preserve"> son: </w:t>
      </w:r>
    </w:p>
    <w:p w:rsidR="00F53584" w:rsidRDefault="00F53584" w:rsidP="00F53584">
      <w:pPr>
        <w:pStyle w:val="Prrafodelista"/>
        <w:numPr>
          <w:ilvl w:val="0"/>
          <w:numId w:val="1"/>
        </w:numPr>
        <w:jc w:val="both"/>
        <w:rPr>
          <w:rFonts w:ascii="Arial" w:hAnsi="Arial" w:cs="Arial"/>
          <w:sz w:val="20"/>
          <w:lang w:val="es-ES_tradnl"/>
        </w:rPr>
      </w:pPr>
      <w:r>
        <w:rPr>
          <w:rFonts w:ascii="Arial" w:hAnsi="Arial" w:cs="Arial"/>
          <w:sz w:val="20"/>
          <w:lang w:val="es-ES_tradnl"/>
        </w:rPr>
        <w:t>¿Cómo varía la velocidad específica de crecimiento cuando varían los sustratos limitantes?</w:t>
      </w:r>
    </w:p>
    <w:p w:rsidR="00F53584" w:rsidRDefault="00F53584" w:rsidP="00F53584">
      <w:pPr>
        <w:pStyle w:val="Prrafodelista"/>
        <w:numPr>
          <w:ilvl w:val="0"/>
          <w:numId w:val="1"/>
        </w:numPr>
        <w:jc w:val="both"/>
        <w:rPr>
          <w:rFonts w:ascii="Arial" w:hAnsi="Arial" w:cs="Arial"/>
          <w:sz w:val="20"/>
          <w:lang w:val="es-ES_tradnl"/>
        </w:rPr>
      </w:pPr>
      <w:r>
        <w:rPr>
          <w:rFonts w:ascii="Arial" w:hAnsi="Arial" w:cs="Arial"/>
          <w:sz w:val="20"/>
          <w:lang w:val="es-ES_tradnl"/>
        </w:rPr>
        <w:t>¡Los datos generados por la optimización del modelo es consistente con la información reportada en literatura?</w:t>
      </w:r>
    </w:p>
    <w:p w:rsidR="00F53584" w:rsidRDefault="00F53584" w:rsidP="00F53584">
      <w:pPr>
        <w:jc w:val="both"/>
        <w:rPr>
          <w:rFonts w:ascii="Arial" w:hAnsi="Arial" w:cs="Arial"/>
          <w:sz w:val="20"/>
          <w:lang w:val="es-ES_tradnl"/>
        </w:rPr>
      </w:pPr>
    </w:p>
    <w:p w:rsidR="00F53584" w:rsidRDefault="00F53584" w:rsidP="00F53584">
      <w:pPr>
        <w:jc w:val="both"/>
        <w:rPr>
          <w:rFonts w:ascii="Arial" w:hAnsi="Arial" w:cs="Arial"/>
          <w:sz w:val="20"/>
          <w:lang w:val="es-ES_tradnl"/>
        </w:rPr>
      </w:pPr>
      <w:r>
        <w:rPr>
          <w:rFonts w:ascii="Arial" w:hAnsi="Arial" w:cs="Arial"/>
          <w:sz w:val="20"/>
          <w:lang w:val="es-ES_tradnl"/>
        </w:rPr>
        <w:t xml:space="preserve">Para el presente trabajo, se empleó el modelo publicado por </w:t>
      </w:r>
      <w:r>
        <w:rPr>
          <w:rFonts w:ascii="Arial" w:hAnsi="Arial" w:cs="Arial"/>
          <w:sz w:val="20"/>
          <w:lang w:val="es-ES_tradnl"/>
        </w:rPr>
        <w:fldChar w:fldCharType="begin" w:fldLock="1"/>
      </w:r>
      <w:r w:rsidR="009039FD">
        <w:rPr>
          <w:rFonts w:ascii="Arial" w:hAnsi="Arial" w:cs="Arial"/>
          <w:sz w:val="20"/>
          <w:lang w:val="es-ES_tradnl"/>
        </w:rPr>
        <w:instrText>ADDIN CSL_CITATION {"citationItems":[{"id":"ITEM-1","itemData":{"DOI":"10.1111/1751-7915.12871","author":[{"dropping-particle":"","family":"Tomàs-Gamisans","given":"Màrius","non-dropping-particle":"","parse-names":false,"suffix":""},{"dropping-particle":"","family":"Ferrer","given":"Pau","non-dropping-particle":"","parse-names":false,"suffix":""},{"dropping-particle":"","family":"Albiol","given":"Joan","non-dropping-particle":"","parse-names":false,"suffix":""}],"container-title":"Microbi","id":"ITEM-1","issued":{"date-parts":[["2018"]]},"page":"224-237","title":"Fine-tuning the P . pastoris iMT1026 genome-scale metabolic model for improved prediction of growth on methanol or glycerol as sole carbon sources","type":"article-journal","volume":"11"},"uris":["http://www.mendeley.com/documents/?uuid=c6f1e55e-c623-4694-9f57-754808fee3be"]}],"mendeley":{"formattedCitation":"(Tomàs-Gamisans, Ferrer, &amp; Albiol, 2018)","manualFormatting":"Tomàs-Gamisans, Ferrer, &amp; Albiol, (2018)","plainTextFormattedCitation":"(Tomàs-Gamisans, Ferrer, &amp; Albiol, 2018)","previouslyFormattedCitation":"(Tomàs-Gamisans, Ferrer, &amp; Albiol, 2018)"},"properties":{"noteIndex":0},"schema":"https://github.com/citation-style-language/schema/raw/master/csl-citation.json"}</w:instrText>
      </w:r>
      <w:r>
        <w:rPr>
          <w:rFonts w:ascii="Arial" w:hAnsi="Arial" w:cs="Arial"/>
          <w:sz w:val="20"/>
          <w:lang w:val="es-ES_tradnl"/>
        </w:rPr>
        <w:fldChar w:fldCharType="separate"/>
      </w:r>
      <w:r w:rsidRPr="00F53584">
        <w:rPr>
          <w:rFonts w:ascii="Arial" w:hAnsi="Arial" w:cs="Arial"/>
          <w:noProof/>
          <w:sz w:val="20"/>
          <w:lang w:val="es-ES_tradnl"/>
        </w:rPr>
        <w:t xml:space="preserve">Tomàs-Gamisans, Ferrer, &amp; Albiol, </w:t>
      </w:r>
      <w:r w:rsidR="009039FD">
        <w:rPr>
          <w:rFonts w:ascii="Arial" w:hAnsi="Arial" w:cs="Arial"/>
          <w:noProof/>
          <w:sz w:val="20"/>
          <w:lang w:val="es-ES_tradnl"/>
        </w:rPr>
        <w:t>(</w:t>
      </w:r>
      <w:r w:rsidRPr="00F53584">
        <w:rPr>
          <w:rFonts w:ascii="Arial" w:hAnsi="Arial" w:cs="Arial"/>
          <w:noProof/>
          <w:sz w:val="20"/>
          <w:lang w:val="es-ES_tradnl"/>
        </w:rPr>
        <w:t>2018)</w:t>
      </w:r>
      <w:r>
        <w:rPr>
          <w:rFonts w:ascii="Arial" w:hAnsi="Arial" w:cs="Arial"/>
          <w:sz w:val="20"/>
          <w:lang w:val="es-ES_tradnl"/>
        </w:rPr>
        <w:fldChar w:fldCharType="end"/>
      </w:r>
      <w:r w:rsidR="009039FD">
        <w:rPr>
          <w:rFonts w:ascii="Arial" w:hAnsi="Arial" w:cs="Arial"/>
          <w:sz w:val="20"/>
          <w:lang w:val="es-ES_tradnl"/>
        </w:rPr>
        <w:t xml:space="preserve">, referente al metabolismo de </w:t>
      </w:r>
      <w:proofErr w:type="spellStart"/>
      <w:r w:rsidR="009039FD">
        <w:rPr>
          <w:rFonts w:ascii="Arial" w:hAnsi="Arial" w:cs="Arial"/>
          <w:i/>
          <w:sz w:val="20"/>
          <w:lang w:val="es-ES_tradnl"/>
        </w:rPr>
        <w:t>Pichia</w:t>
      </w:r>
      <w:proofErr w:type="spellEnd"/>
      <w:r w:rsidR="009039FD">
        <w:rPr>
          <w:rFonts w:ascii="Arial" w:hAnsi="Arial" w:cs="Arial"/>
          <w:i/>
          <w:sz w:val="20"/>
          <w:lang w:val="es-ES_tradnl"/>
        </w:rPr>
        <w:t xml:space="preserve"> </w:t>
      </w:r>
      <w:proofErr w:type="spellStart"/>
      <w:r w:rsidR="009039FD">
        <w:rPr>
          <w:rFonts w:ascii="Arial" w:hAnsi="Arial" w:cs="Arial"/>
          <w:i/>
          <w:sz w:val="20"/>
          <w:lang w:val="es-ES_tradnl"/>
        </w:rPr>
        <w:t>pastoris</w:t>
      </w:r>
      <w:proofErr w:type="spellEnd"/>
      <w:r w:rsidR="009039FD">
        <w:rPr>
          <w:rFonts w:ascii="Arial" w:hAnsi="Arial" w:cs="Arial"/>
          <w:sz w:val="20"/>
          <w:lang w:val="es-ES_tradnl"/>
        </w:rPr>
        <w:t xml:space="preserve">. El modelo comprende un total de 2237 reacciones y 1706 metabolitos. Las mejoras presentadas </w:t>
      </w:r>
      <w:proofErr w:type="gramStart"/>
      <w:r w:rsidR="009039FD">
        <w:rPr>
          <w:rFonts w:ascii="Arial" w:hAnsi="Arial" w:cs="Arial"/>
          <w:sz w:val="20"/>
          <w:lang w:val="es-ES_tradnl"/>
        </w:rPr>
        <w:t>en relación a</w:t>
      </w:r>
      <w:proofErr w:type="gramEnd"/>
      <w:r w:rsidR="009039FD">
        <w:rPr>
          <w:rFonts w:ascii="Arial" w:hAnsi="Arial" w:cs="Arial"/>
          <w:sz w:val="20"/>
          <w:lang w:val="es-ES_tradnl"/>
        </w:rPr>
        <w:t xml:space="preserve"> modelos anteriores es la inclusión de reacciones concernientes al </w:t>
      </w:r>
      <w:proofErr w:type="spellStart"/>
      <w:r w:rsidR="009039FD">
        <w:rPr>
          <w:rFonts w:ascii="Arial" w:hAnsi="Arial" w:cs="Arial"/>
          <w:sz w:val="20"/>
          <w:lang w:val="es-ES_tradnl"/>
        </w:rPr>
        <w:t>lipidoma</w:t>
      </w:r>
      <w:proofErr w:type="spellEnd"/>
      <w:r w:rsidR="009039FD">
        <w:rPr>
          <w:rFonts w:ascii="Arial" w:hAnsi="Arial" w:cs="Arial"/>
          <w:sz w:val="20"/>
          <w:lang w:val="es-ES_tradnl"/>
        </w:rPr>
        <w:t xml:space="preserve"> de la célula, la glicosilación de proteínas recombinantes (</w:t>
      </w:r>
      <w:proofErr w:type="spellStart"/>
      <w:r w:rsidR="009039FD">
        <w:rPr>
          <w:rFonts w:ascii="Arial" w:hAnsi="Arial" w:cs="Arial"/>
          <w:sz w:val="20"/>
          <w:lang w:val="es-ES_tradnl"/>
        </w:rPr>
        <w:t>Fragment</w:t>
      </w:r>
      <w:proofErr w:type="spellEnd"/>
      <w:r w:rsidR="009039FD">
        <w:rPr>
          <w:rFonts w:ascii="Arial" w:hAnsi="Arial" w:cs="Arial"/>
          <w:sz w:val="20"/>
          <w:lang w:val="es-ES_tradnl"/>
        </w:rPr>
        <w:t xml:space="preserve"> </w:t>
      </w:r>
      <w:proofErr w:type="spellStart"/>
      <w:r w:rsidR="009039FD">
        <w:rPr>
          <w:rFonts w:ascii="Arial" w:hAnsi="Arial" w:cs="Arial"/>
          <w:sz w:val="20"/>
          <w:lang w:val="es-ES_tradnl"/>
        </w:rPr>
        <w:t>Antigen</w:t>
      </w:r>
      <w:proofErr w:type="spellEnd"/>
      <w:r w:rsidR="009039FD">
        <w:rPr>
          <w:rFonts w:ascii="Arial" w:hAnsi="Arial" w:cs="Arial"/>
          <w:sz w:val="20"/>
          <w:lang w:val="es-ES_tradnl"/>
        </w:rPr>
        <w:t xml:space="preserve"> </w:t>
      </w:r>
      <w:proofErr w:type="spellStart"/>
      <w:r w:rsidR="009039FD">
        <w:rPr>
          <w:rFonts w:ascii="Arial" w:hAnsi="Arial" w:cs="Arial"/>
          <w:sz w:val="20"/>
          <w:lang w:val="es-ES_tradnl"/>
        </w:rPr>
        <w:t>Binding</w:t>
      </w:r>
      <w:proofErr w:type="spellEnd"/>
      <w:r w:rsidR="003F1628">
        <w:rPr>
          <w:rFonts w:ascii="Arial" w:hAnsi="Arial" w:cs="Arial"/>
          <w:sz w:val="20"/>
          <w:lang w:val="es-ES_tradnl"/>
        </w:rPr>
        <w:t xml:space="preserve"> FAB</w:t>
      </w:r>
      <w:r w:rsidR="009039FD">
        <w:rPr>
          <w:rFonts w:ascii="Arial" w:hAnsi="Arial" w:cs="Arial"/>
          <w:sz w:val="20"/>
          <w:lang w:val="es-ES_tradnl"/>
        </w:rPr>
        <w:t xml:space="preserve"> y </w:t>
      </w:r>
      <w:proofErr w:type="spellStart"/>
      <w:r w:rsidR="009039FD">
        <w:rPr>
          <w:rFonts w:ascii="Arial" w:hAnsi="Arial" w:cs="Arial"/>
          <w:i/>
          <w:sz w:val="20"/>
          <w:lang w:val="es-ES_tradnl"/>
        </w:rPr>
        <w:t>Rhizopus</w:t>
      </w:r>
      <w:proofErr w:type="spellEnd"/>
      <w:r w:rsidR="009039FD">
        <w:rPr>
          <w:rFonts w:ascii="Arial" w:hAnsi="Arial" w:cs="Arial"/>
          <w:i/>
          <w:sz w:val="20"/>
          <w:lang w:val="es-ES_tradnl"/>
        </w:rPr>
        <w:t xml:space="preserve"> </w:t>
      </w:r>
      <w:proofErr w:type="spellStart"/>
      <w:r w:rsidR="009039FD">
        <w:rPr>
          <w:rFonts w:ascii="Arial" w:hAnsi="Arial" w:cs="Arial"/>
          <w:i/>
          <w:sz w:val="20"/>
          <w:lang w:val="es-ES_tradnl"/>
        </w:rPr>
        <w:t>oryzae</w:t>
      </w:r>
      <w:proofErr w:type="spellEnd"/>
      <w:r w:rsidR="009039FD">
        <w:rPr>
          <w:rFonts w:ascii="Arial" w:hAnsi="Arial" w:cs="Arial"/>
          <w:sz w:val="20"/>
          <w:lang w:val="es-ES_tradnl"/>
        </w:rPr>
        <w:t xml:space="preserve"> </w:t>
      </w:r>
      <w:proofErr w:type="spellStart"/>
      <w:r w:rsidR="009039FD">
        <w:rPr>
          <w:rFonts w:ascii="Arial" w:hAnsi="Arial" w:cs="Arial"/>
          <w:sz w:val="20"/>
          <w:lang w:val="es-ES_tradnl"/>
        </w:rPr>
        <w:t>lipase</w:t>
      </w:r>
      <w:proofErr w:type="spellEnd"/>
      <w:r w:rsidR="003F1628">
        <w:rPr>
          <w:rFonts w:ascii="Arial" w:hAnsi="Arial" w:cs="Arial"/>
          <w:sz w:val="20"/>
          <w:lang w:val="es-ES_tradnl"/>
        </w:rPr>
        <w:t xml:space="preserve"> ROL</w:t>
      </w:r>
      <w:r w:rsidR="009039FD">
        <w:rPr>
          <w:rFonts w:ascii="Arial" w:hAnsi="Arial" w:cs="Arial"/>
          <w:sz w:val="20"/>
          <w:lang w:val="es-ES_tradnl"/>
        </w:rPr>
        <w:t>).</w:t>
      </w:r>
    </w:p>
    <w:p w:rsidR="009039FD" w:rsidRDefault="009039FD" w:rsidP="00F53584">
      <w:pPr>
        <w:jc w:val="both"/>
        <w:rPr>
          <w:rFonts w:ascii="Arial" w:hAnsi="Arial" w:cs="Arial"/>
          <w:sz w:val="20"/>
          <w:lang w:val="es-ES_tradnl"/>
        </w:rPr>
      </w:pPr>
    </w:p>
    <w:p w:rsidR="009039FD" w:rsidRDefault="009039FD" w:rsidP="00275E5F">
      <w:pPr>
        <w:jc w:val="both"/>
        <w:rPr>
          <w:rFonts w:ascii="Arial" w:hAnsi="Arial" w:cs="Arial"/>
          <w:sz w:val="20"/>
          <w:lang w:val="es-ES_tradnl"/>
        </w:rPr>
      </w:pPr>
      <w:r>
        <w:rPr>
          <w:rFonts w:ascii="Arial" w:hAnsi="Arial" w:cs="Arial"/>
          <w:sz w:val="20"/>
          <w:lang w:val="es-ES_tradnl"/>
        </w:rPr>
        <w:t xml:space="preserve">Como se mencionó anteriormente, </w:t>
      </w:r>
      <w:proofErr w:type="spellStart"/>
      <w:r>
        <w:rPr>
          <w:rFonts w:ascii="Arial" w:hAnsi="Arial" w:cs="Arial"/>
          <w:i/>
          <w:sz w:val="20"/>
          <w:lang w:val="es-ES_tradnl"/>
        </w:rPr>
        <w:t>Pichia</w:t>
      </w:r>
      <w:proofErr w:type="spellEnd"/>
      <w:r>
        <w:rPr>
          <w:rFonts w:ascii="Arial" w:hAnsi="Arial" w:cs="Arial"/>
          <w:i/>
          <w:sz w:val="20"/>
          <w:lang w:val="es-ES_tradnl"/>
        </w:rPr>
        <w:t xml:space="preserve"> </w:t>
      </w:r>
      <w:proofErr w:type="spellStart"/>
      <w:r>
        <w:rPr>
          <w:rFonts w:ascii="Arial" w:hAnsi="Arial" w:cs="Arial"/>
          <w:i/>
          <w:sz w:val="20"/>
          <w:lang w:val="es-ES_tradnl"/>
        </w:rPr>
        <w:t>pastoris</w:t>
      </w:r>
      <w:proofErr w:type="spellEnd"/>
      <w:r>
        <w:rPr>
          <w:rFonts w:ascii="Arial" w:hAnsi="Arial" w:cs="Arial"/>
          <w:i/>
          <w:sz w:val="20"/>
          <w:lang w:val="es-ES_tradnl"/>
        </w:rPr>
        <w:t xml:space="preserve"> </w:t>
      </w:r>
      <w:r>
        <w:rPr>
          <w:rFonts w:ascii="Arial" w:hAnsi="Arial" w:cs="Arial"/>
          <w:sz w:val="20"/>
          <w:lang w:val="es-ES_tradnl"/>
        </w:rPr>
        <w:t xml:space="preserve">es capaz de usar metanol como fuente de carbono y energía. Sin embargo, el consumo del miso supone altos niveles de consumo de oxígeno para la célula; y junto con intermediarios tóxicos generados del catabolismo del metanol, genera problemas para la célula. Por tal razón, se ha propuesto estrategias dirigidas a la disminución del consumo de metanol sin disminuir productividades y rendimientos como son el uso de </w:t>
      </w:r>
      <w:proofErr w:type="spellStart"/>
      <w:r>
        <w:rPr>
          <w:rFonts w:ascii="Arial" w:hAnsi="Arial" w:cs="Arial"/>
          <w:sz w:val="20"/>
          <w:lang w:val="es-ES_tradnl"/>
        </w:rPr>
        <w:t>co-sustratos</w:t>
      </w:r>
      <w:proofErr w:type="spellEnd"/>
      <w:r>
        <w:rPr>
          <w:rFonts w:ascii="Arial" w:hAnsi="Arial" w:cs="Arial"/>
          <w:sz w:val="20"/>
          <w:lang w:val="es-ES_tradnl"/>
        </w:rPr>
        <w:t xml:space="preserve"> </w:t>
      </w:r>
      <w:r>
        <w:rPr>
          <w:rFonts w:ascii="Arial" w:hAnsi="Arial" w:cs="Arial"/>
          <w:sz w:val="20"/>
          <w:lang w:val="es-ES_tradnl"/>
        </w:rPr>
        <w:fldChar w:fldCharType="begin" w:fldLock="1"/>
      </w:r>
      <w:r w:rsidR="00640F09">
        <w:rPr>
          <w:rFonts w:ascii="Arial" w:hAnsi="Arial" w:cs="Arial"/>
          <w:sz w:val="20"/>
          <w:lang w:val="es-ES_tradnl"/>
        </w:rPr>
        <w:instrText>ADDIN CSL_CITATION {"citationItems":[{"id":"ITEM-1","itemData":{"DOI":"10.1007/s10295-015-1722-6","ISSN":"14765535","abstract":"allowed cells to adapt to oxygen transient limitations that often occur at industrial scale with reduced effect on pAOX1 induction. The optimal feeding rate tested here was 6.6 mmol C (DCW h) −1 at an OTR of 8.28 g O 2 (L h) −1 with over fivefold pAOX1 induction (probably directly associated with target protein productivity) compared with previous work.","author":[{"dropping-particle":"","family":"Carly","given":"F.","non-dropping-particle":"","parse-names":false,"suffix":""},{"dropping-particle":"","family":"Niu","given":"H.","non-dropping-particle":"","parse-names":false,"suffix":""},{"dropping-particle":"","family":"Delvigne","given":"F.","non-dropping-particle":"","parse-names":false,"suffix":""},{"dropping-particle":"","family":"Fickers","given":"P.","non-dropping-particle":"","parse-names":false,"suffix":""}],"container-title":"Journal of Industrial Microbiology and Biotechnology","id":"ITEM-1","issue":"4","issued":{"date-parts":[["2016"]]},"page":"517-523","publisher":"Springer Berlin Heidelberg","title":"Influence of methanol/sorbitol co-feeding rate on pAOX1 induction in a Pichia pastoris Mut+ strain in bioreactor with limited oxygen transfer rate","type":"article-journal","volume":"43"},"uris":["http://www.mendeley.com/documents/?uuid=d1850a16-4889-41aa-8571-9d8192665f3d"]}],"mendeley":{"formattedCitation":"(Carly, Niu, Delvigne, &amp; Fickers, 2016)","plainTextFormattedCitation":"(Carly, Niu, Delvigne, &amp; Fickers, 2016)","previouslyFormattedCitation":"(Carly, Niu, Delvigne, &amp; Fickers, 2016)"},"properties":{"noteIndex":0},"schema":"https://github.com/citation-style-language/schema/raw/master/csl-citation.json"}</w:instrText>
      </w:r>
      <w:r>
        <w:rPr>
          <w:rFonts w:ascii="Arial" w:hAnsi="Arial" w:cs="Arial"/>
          <w:sz w:val="20"/>
          <w:lang w:val="es-ES_tradnl"/>
        </w:rPr>
        <w:fldChar w:fldCharType="separate"/>
      </w:r>
      <w:r w:rsidRPr="009039FD">
        <w:rPr>
          <w:rFonts w:ascii="Arial" w:hAnsi="Arial" w:cs="Arial"/>
          <w:noProof/>
          <w:sz w:val="20"/>
          <w:lang w:val="es-ES_tradnl"/>
        </w:rPr>
        <w:t>(Carly, Niu, Delvigne, &amp; Fickers, 2016)</w:t>
      </w:r>
      <w:r>
        <w:rPr>
          <w:rFonts w:ascii="Arial" w:hAnsi="Arial" w:cs="Arial"/>
          <w:sz w:val="20"/>
          <w:lang w:val="es-ES_tradnl"/>
        </w:rPr>
        <w:fldChar w:fldCharType="end"/>
      </w:r>
      <w:r>
        <w:rPr>
          <w:rFonts w:ascii="Arial" w:hAnsi="Arial" w:cs="Arial"/>
          <w:sz w:val="20"/>
          <w:lang w:val="es-ES_tradnl"/>
        </w:rPr>
        <w:t>.</w:t>
      </w:r>
    </w:p>
    <w:p w:rsidR="009039FD" w:rsidRDefault="009039FD" w:rsidP="00275E5F">
      <w:pPr>
        <w:jc w:val="both"/>
        <w:rPr>
          <w:rFonts w:ascii="Arial" w:hAnsi="Arial" w:cs="Arial"/>
          <w:sz w:val="20"/>
          <w:lang w:val="es-ES_tradnl"/>
        </w:rPr>
      </w:pPr>
    </w:p>
    <w:p w:rsidR="009039FD" w:rsidRDefault="009039FD" w:rsidP="00275E5F">
      <w:pPr>
        <w:jc w:val="both"/>
        <w:rPr>
          <w:rFonts w:ascii="Arial" w:hAnsi="Arial" w:cs="Arial"/>
          <w:sz w:val="20"/>
          <w:lang w:val="es-ES_tradnl"/>
        </w:rPr>
      </w:pPr>
      <w:r>
        <w:rPr>
          <w:rFonts w:ascii="Arial" w:hAnsi="Arial" w:cs="Arial"/>
          <w:sz w:val="20"/>
          <w:lang w:val="es-ES_tradnl"/>
        </w:rPr>
        <w:t xml:space="preserve">Dos sustratos se han propuesto </w:t>
      </w:r>
      <w:r w:rsidR="00640F09">
        <w:rPr>
          <w:rFonts w:ascii="Arial" w:hAnsi="Arial" w:cs="Arial"/>
          <w:sz w:val="20"/>
          <w:lang w:val="es-ES_tradnl"/>
        </w:rPr>
        <w:t xml:space="preserve">como </w:t>
      </w:r>
      <w:proofErr w:type="spellStart"/>
      <w:r w:rsidR="00640F09">
        <w:rPr>
          <w:rFonts w:ascii="Arial" w:hAnsi="Arial" w:cs="Arial"/>
          <w:sz w:val="20"/>
          <w:lang w:val="es-ES_tradnl"/>
        </w:rPr>
        <w:t>co-sustratos</w:t>
      </w:r>
      <w:proofErr w:type="spellEnd"/>
      <w:r w:rsidR="00640F09">
        <w:rPr>
          <w:rFonts w:ascii="Arial" w:hAnsi="Arial" w:cs="Arial"/>
          <w:sz w:val="20"/>
          <w:lang w:val="es-ES_tradnl"/>
        </w:rPr>
        <w:t xml:space="preserve"> dado que reprimen muy poco (glicerol) o no reprimen (sorbitol) la expresión del gen AOX, responsable de la expresión de proteínas recombinantes </w:t>
      </w:r>
      <w:r w:rsidR="00640F09">
        <w:rPr>
          <w:rFonts w:ascii="Arial" w:hAnsi="Arial" w:cs="Arial"/>
          <w:sz w:val="20"/>
          <w:lang w:val="es-ES_tradnl"/>
        </w:rPr>
        <w:fldChar w:fldCharType="begin" w:fldLock="1"/>
      </w:r>
      <w:r w:rsidR="003222ED">
        <w:rPr>
          <w:rFonts w:ascii="Arial" w:hAnsi="Arial" w:cs="Arial"/>
          <w:sz w:val="20"/>
          <w:lang w:val="es-ES_tradnl"/>
        </w:rPr>
        <w:instrText>ADDIN CSL_CITATION {"citationItems":[{"id":"ITEM-1","itemData":{"DOI":"10.1007/s10295-016-1895-7","ISBN":"1029501618957","ISSN":"1367-5435","author":[{"dropping-particle":"","family":"Berrios","given":"Julio","non-dropping-particle":"","parse-names":false,"suffix":""},{"dropping-particle":"","family":"Flores","given":"María-Olga","non-dropping-particle":"","parse-names":false,"suffix":""},{"dropping-particle":"","family":"Díaz-Barrera","given":"Alvaro","non-dropping-particle":"","parse-names":false,"suffix":""},{"dropping-particle":"","family":"Altamirano","given":"Claudia","non-dropping-particle":"","parse-names":false,"suffix":""},{"dropping-particle":"","family":"Martínez","given":"Irene","non-dropping-particle":"","parse-names":false,"suffix":""},{"dropping-particle":"","family":"Cabrera","given":"Zaida","non-dropping-particle":"","parse-names":false,"suffix":""}],"container-title":"Journal of Industrial Microbiology &amp; Biotechnology","id":"ITEM-1","issue":"3","issued":{"date-parts":[["2016"]]},"page":"407-411","publisher":"Springer Berlin Heidelberg","title":"A comparative study of glycerol and sorbitol as co-substrates in methanol-induced cultures of Pichia pastoris: temperature effect and scale-up simulation","type":"article-journal","volume":"44"},"uris":["http://www.mendeley.com/documents/?uuid=32e3969a-b85d-4802-9e29-8f0886ebca11"]}],"mendeley":{"formattedCitation":"(Berrios et al., 2016)","plainTextFormattedCitation":"(Berrios et al., 2016)","previouslyFormattedCitation":"(Berrios et al., 2016)"},"properties":{"noteIndex":0},"schema":"https://github.com/citation-style-language/schema/raw/master/csl-citation.json"}</w:instrText>
      </w:r>
      <w:r w:rsidR="00640F09">
        <w:rPr>
          <w:rFonts w:ascii="Arial" w:hAnsi="Arial" w:cs="Arial"/>
          <w:sz w:val="20"/>
          <w:lang w:val="es-ES_tradnl"/>
        </w:rPr>
        <w:fldChar w:fldCharType="separate"/>
      </w:r>
      <w:r w:rsidR="00640F09" w:rsidRPr="00640F09">
        <w:rPr>
          <w:rFonts w:ascii="Arial" w:hAnsi="Arial" w:cs="Arial"/>
          <w:noProof/>
          <w:sz w:val="20"/>
          <w:lang w:val="es-ES_tradnl"/>
        </w:rPr>
        <w:t>(Berrios et al., 2016)</w:t>
      </w:r>
      <w:r w:rsidR="00640F09">
        <w:rPr>
          <w:rFonts w:ascii="Arial" w:hAnsi="Arial" w:cs="Arial"/>
          <w:sz w:val="20"/>
          <w:lang w:val="es-ES_tradnl"/>
        </w:rPr>
        <w:fldChar w:fldCharType="end"/>
      </w:r>
      <w:r w:rsidR="00640F09">
        <w:rPr>
          <w:rFonts w:ascii="Arial" w:hAnsi="Arial" w:cs="Arial"/>
          <w:sz w:val="20"/>
          <w:lang w:val="es-ES_tradnl"/>
        </w:rPr>
        <w:t>.</w:t>
      </w:r>
    </w:p>
    <w:p w:rsidR="00640F09" w:rsidRDefault="00640F09" w:rsidP="00275E5F">
      <w:pPr>
        <w:jc w:val="both"/>
        <w:rPr>
          <w:rFonts w:ascii="Arial" w:hAnsi="Arial" w:cs="Arial"/>
          <w:sz w:val="20"/>
          <w:lang w:val="es-ES_tradnl"/>
        </w:rPr>
      </w:pPr>
    </w:p>
    <w:p w:rsidR="00640F09" w:rsidRPr="009039FD" w:rsidRDefault="003F1628" w:rsidP="00275E5F">
      <w:pPr>
        <w:jc w:val="both"/>
        <w:rPr>
          <w:rFonts w:ascii="Arial" w:hAnsi="Arial" w:cs="Arial"/>
          <w:sz w:val="20"/>
          <w:lang w:val="es-ES_tradnl"/>
        </w:rPr>
      </w:pPr>
      <w:r>
        <w:rPr>
          <w:rFonts w:ascii="Arial" w:hAnsi="Arial" w:cs="Arial"/>
          <w:sz w:val="20"/>
          <w:lang w:val="es-ES_tradnl"/>
        </w:rPr>
        <w:t xml:space="preserve">En el presente trabajo se representará a fermentaciones de </w:t>
      </w:r>
      <w:proofErr w:type="spellStart"/>
      <w:r>
        <w:rPr>
          <w:rFonts w:ascii="Arial" w:hAnsi="Arial" w:cs="Arial"/>
          <w:i/>
          <w:sz w:val="20"/>
          <w:lang w:val="es-ES_tradnl"/>
        </w:rPr>
        <w:t>Pichia</w:t>
      </w:r>
      <w:proofErr w:type="spellEnd"/>
      <w:r>
        <w:rPr>
          <w:rFonts w:ascii="Arial" w:hAnsi="Arial" w:cs="Arial"/>
          <w:i/>
          <w:sz w:val="20"/>
          <w:lang w:val="es-ES_tradnl"/>
        </w:rPr>
        <w:t xml:space="preserve"> </w:t>
      </w:r>
      <w:proofErr w:type="spellStart"/>
      <w:r>
        <w:rPr>
          <w:rFonts w:ascii="Arial" w:hAnsi="Arial" w:cs="Arial"/>
          <w:i/>
          <w:sz w:val="20"/>
          <w:lang w:val="es-ES_tradnl"/>
        </w:rPr>
        <w:t>pastoris</w:t>
      </w:r>
      <w:proofErr w:type="spellEnd"/>
      <w:r>
        <w:rPr>
          <w:rFonts w:ascii="Arial" w:hAnsi="Arial" w:cs="Arial"/>
          <w:sz w:val="20"/>
          <w:lang w:val="es-ES_tradnl"/>
        </w:rPr>
        <w:t xml:space="preserve"> productora de ROL</w:t>
      </w:r>
      <w:r>
        <w:rPr>
          <w:rFonts w:ascii="Arial" w:hAnsi="Arial" w:cs="Arial"/>
          <w:i/>
          <w:sz w:val="20"/>
          <w:lang w:val="es-ES_tradnl"/>
        </w:rPr>
        <w:t xml:space="preserve"> </w:t>
      </w:r>
      <w:r>
        <w:rPr>
          <w:rFonts w:ascii="Arial" w:hAnsi="Arial" w:cs="Arial"/>
          <w:sz w:val="20"/>
          <w:lang w:val="es-ES_tradnl"/>
        </w:rPr>
        <w:t xml:space="preserve">empleando metanol como </w:t>
      </w:r>
      <w:r w:rsidR="00057BF4">
        <w:rPr>
          <w:rFonts w:ascii="Arial" w:hAnsi="Arial" w:cs="Arial"/>
          <w:sz w:val="20"/>
          <w:lang w:val="es-ES_tradnl"/>
        </w:rPr>
        <w:t xml:space="preserve">única </w:t>
      </w:r>
      <w:r>
        <w:rPr>
          <w:rFonts w:ascii="Arial" w:hAnsi="Arial" w:cs="Arial"/>
          <w:sz w:val="20"/>
          <w:lang w:val="es-ES_tradnl"/>
        </w:rPr>
        <w:t>fuente de carbono.</w:t>
      </w:r>
      <w:r w:rsidR="00B97394">
        <w:rPr>
          <w:rFonts w:ascii="Arial" w:hAnsi="Arial" w:cs="Arial"/>
          <w:sz w:val="20"/>
          <w:lang w:val="es-ES_tradnl"/>
        </w:rPr>
        <w:t xml:space="preserve"> </w:t>
      </w:r>
      <w:r>
        <w:rPr>
          <w:rFonts w:ascii="Arial" w:hAnsi="Arial" w:cs="Arial"/>
          <w:sz w:val="20"/>
          <w:lang w:val="es-ES_tradnl"/>
        </w:rPr>
        <w:t>Por tal razón, el primer paso llevado a cabo en el análisis del modelo fue redefinir ciertos “</w:t>
      </w:r>
      <w:proofErr w:type="spellStart"/>
      <w:r>
        <w:rPr>
          <w:rFonts w:ascii="Arial" w:hAnsi="Arial" w:cs="Arial"/>
          <w:sz w:val="20"/>
          <w:lang w:val="es-ES_tradnl"/>
        </w:rPr>
        <w:t>bounds</w:t>
      </w:r>
      <w:proofErr w:type="spellEnd"/>
      <w:r>
        <w:rPr>
          <w:rFonts w:ascii="Arial" w:hAnsi="Arial" w:cs="Arial"/>
          <w:sz w:val="20"/>
          <w:lang w:val="es-ES_tradnl"/>
        </w:rPr>
        <w:t xml:space="preserve">” y hacerlos 0 (como en el caso de glucosa, </w:t>
      </w:r>
      <w:r w:rsidR="00057BF4">
        <w:rPr>
          <w:rFonts w:ascii="Arial" w:hAnsi="Arial" w:cs="Arial"/>
          <w:sz w:val="20"/>
          <w:lang w:val="es-ES_tradnl"/>
        </w:rPr>
        <w:t>glicerol y sorbitol</w:t>
      </w:r>
      <w:r>
        <w:rPr>
          <w:rFonts w:ascii="Arial" w:hAnsi="Arial" w:cs="Arial"/>
          <w:sz w:val="20"/>
          <w:lang w:val="es-ES_tradnl"/>
        </w:rPr>
        <w:t xml:space="preserve">). También se redefinió los </w:t>
      </w:r>
      <w:proofErr w:type="spellStart"/>
      <w:r>
        <w:rPr>
          <w:rFonts w:ascii="Arial" w:hAnsi="Arial" w:cs="Arial"/>
          <w:sz w:val="20"/>
          <w:lang w:val="es-ES_tradnl"/>
        </w:rPr>
        <w:t>bounds</w:t>
      </w:r>
      <w:proofErr w:type="spellEnd"/>
      <w:r>
        <w:rPr>
          <w:rFonts w:ascii="Arial" w:hAnsi="Arial" w:cs="Arial"/>
          <w:sz w:val="20"/>
          <w:lang w:val="es-ES_tradnl"/>
        </w:rPr>
        <w:t xml:space="preserve"> de metanol </w:t>
      </w:r>
      <w:r w:rsidR="00057BF4">
        <w:rPr>
          <w:rFonts w:ascii="Arial" w:hAnsi="Arial" w:cs="Arial"/>
          <w:sz w:val="20"/>
          <w:lang w:val="es-ES_tradnl"/>
        </w:rPr>
        <w:t xml:space="preserve">y oxígeno </w:t>
      </w:r>
      <w:r>
        <w:rPr>
          <w:rFonts w:ascii="Arial" w:hAnsi="Arial" w:cs="Arial"/>
          <w:sz w:val="20"/>
          <w:lang w:val="es-ES_tradnl"/>
        </w:rPr>
        <w:t>(lb=</w:t>
      </w:r>
      <w:r w:rsidR="00CB331B">
        <w:rPr>
          <w:rFonts w:ascii="Arial" w:hAnsi="Arial" w:cs="Arial"/>
          <w:sz w:val="20"/>
          <w:lang w:val="es-ES_tradnl"/>
        </w:rPr>
        <w:t>-</w:t>
      </w:r>
      <w:r w:rsidR="00057BF4">
        <w:rPr>
          <w:rFonts w:ascii="Arial" w:hAnsi="Arial" w:cs="Arial"/>
          <w:sz w:val="20"/>
          <w:lang w:val="es-ES_tradnl"/>
        </w:rPr>
        <w:t>10</w:t>
      </w:r>
      <w:r w:rsidR="00CB331B">
        <w:rPr>
          <w:rFonts w:ascii="Arial" w:hAnsi="Arial" w:cs="Arial"/>
          <w:sz w:val="20"/>
          <w:lang w:val="es-ES_tradnl"/>
        </w:rPr>
        <w:t>; up=0</w:t>
      </w:r>
      <w:r>
        <w:rPr>
          <w:rFonts w:ascii="Arial" w:hAnsi="Arial" w:cs="Arial"/>
          <w:sz w:val="20"/>
          <w:lang w:val="es-ES_tradnl"/>
        </w:rPr>
        <w:t>)</w:t>
      </w:r>
      <w:r w:rsidR="00B97394">
        <w:rPr>
          <w:rFonts w:ascii="Arial" w:hAnsi="Arial" w:cs="Arial"/>
          <w:sz w:val="20"/>
          <w:lang w:val="es-ES_tradnl"/>
        </w:rPr>
        <w:t xml:space="preserve"> </w:t>
      </w:r>
      <w:r w:rsidR="00057BF4">
        <w:rPr>
          <w:rFonts w:ascii="Arial" w:hAnsi="Arial" w:cs="Arial"/>
          <w:sz w:val="20"/>
          <w:lang w:val="es-ES_tradnl"/>
        </w:rPr>
        <w:t>para así obtener valores coherentes de µ.</w:t>
      </w:r>
    </w:p>
    <w:p w:rsidR="00F53584" w:rsidRDefault="00F53584" w:rsidP="00275E5F">
      <w:pPr>
        <w:jc w:val="both"/>
        <w:rPr>
          <w:rFonts w:ascii="Arial" w:hAnsi="Arial" w:cs="Arial"/>
          <w:sz w:val="20"/>
          <w:lang w:val="es-ES_tradnl"/>
        </w:rPr>
      </w:pPr>
    </w:p>
    <w:p w:rsidR="00B97394" w:rsidRDefault="00B97394" w:rsidP="00275E5F">
      <w:pPr>
        <w:jc w:val="both"/>
        <w:rPr>
          <w:rFonts w:ascii="Arial" w:hAnsi="Arial" w:cs="Arial"/>
          <w:sz w:val="20"/>
          <w:lang w:val="es-ES_tradnl"/>
        </w:rPr>
      </w:pPr>
      <w:r>
        <w:rPr>
          <w:rFonts w:ascii="Arial" w:hAnsi="Arial" w:cs="Arial"/>
          <w:sz w:val="20"/>
          <w:lang w:val="es-ES_tradnl"/>
        </w:rPr>
        <w:t xml:space="preserve">Se llevó a cabo la construcción de un plano de fases fenotípico, usando valores de </w:t>
      </w:r>
      <w:proofErr w:type="spellStart"/>
      <w:r>
        <w:rPr>
          <w:rFonts w:ascii="Arial" w:hAnsi="Arial" w:cs="Arial"/>
          <w:sz w:val="20"/>
          <w:lang w:val="es-ES_tradnl"/>
        </w:rPr>
        <w:t>qmet</w:t>
      </w:r>
      <w:proofErr w:type="spellEnd"/>
      <w:r>
        <w:rPr>
          <w:rFonts w:ascii="Arial" w:hAnsi="Arial" w:cs="Arial"/>
          <w:sz w:val="20"/>
          <w:lang w:val="es-ES_tradnl"/>
        </w:rPr>
        <w:t xml:space="preserve"> </w:t>
      </w:r>
      <w:r w:rsidR="00F13963">
        <w:rPr>
          <w:rFonts w:ascii="Arial" w:hAnsi="Arial" w:cs="Arial"/>
          <w:sz w:val="20"/>
          <w:lang w:val="es-ES_tradnl"/>
        </w:rPr>
        <w:t>y qO</w:t>
      </w:r>
      <w:r w:rsidR="00F13963" w:rsidRPr="00F13963">
        <w:rPr>
          <w:rFonts w:ascii="Arial" w:hAnsi="Arial" w:cs="Arial"/>
          <w:sz w:val="20"/>
          <w:vertAlign w:val="subscript"/>
          <w:lang w:val="es-ES_tradnl"/>
        </w:rPr>
        <w:t>2</w:t>
      </w:r>
      <w:r w:rsidR="00F13963">
        <w:rPr>
          <w:rFonts w:ascii="Arial" w:hAnsi="Arial" w:cs="Arial"/>
          <w:sz w:val="20"/>
          <w:lang w:val="es-ES_tradnl"/>
        </w:rPr>
        <w:t xml:space="preserve"> </w:t>
      </w:r>
      <w:r>
        <w:rPr>
          <w:rFonts w:ascii="Arial" w:hAnsi="Arial" w:cs="Arial"/>
          <w:sz w:val="20"/>
          <w:lang w:val="es-ES_tradnl"/>
        </w:rPr>
        <w:t xml:space="preserve">que varían entre 0 y </w:t>
      </w:r>
      <w:r w:rsidR="00057BF4">
        <w:rPr>
          <w:rFonts w:ascii="Arial" w:hAnsi="Arial" w:cs="Arial"/>
          <w:sz w:val="20"/>
          <w:lang w:val="es-ES_tradnl"/>
        </w:rPr>
        <w:t>10</w:t>
      </w:r>
      <w:r>
        <w:rPr>
          <w:rFonts w:ascii="Arial" w:hAnsi="Arial" w:cs="Arial"/>
          <w:sz w:val="20"/>
          <w:lang w:val="es-ES_tradnl"/>
        </w:rPr>
        <w:t xml:space="preserve"> mmol</w:t>
      </w:r>
      <w:r w:rsidR="00F13963">
        <w:rPr>
          <w:rFonts w:ascii="Arial" w:hAnsi="Arial" w:cs="Arial"/>
          <w:sz w:val="20"/>
          <w:lang w:val="es-ES_tradnl"/>
        </w:rPr>
        <w:t>/</w:t>
      </w:r>
      <w:proofErr w:type="spellStart"/>
      <w:r w:rsidR="00F13963">
        <w:rPr>
          <w:rFonts w:ascii="Arial" w:hAnsi="Arial" w:cs="Arial"/>
          <w:sz w:val="20"/>
          <w:lang w:val="es-ES_tradnl"/>
        </w:rPr>
        <w:t>gDCW</w:t>
      </w:r>
      <w:proofErr w:type="spellEnd"/>
      <w:r w:rsidR="00F13963">
        <w:rPr>
          <w:rFonts w:ascii="Arial" w:hAnsi="Arial" w:cs="Arial"/>
          <w:sz w:val="20"/>
          <w:lang w:val="es-ES_tradnl"/>
        </w:rPr>
        <w:t xml:space="preserve"> h (Fig.2 y 3). </w:t>
      </w:r>
    </w:p>
    <w:p w:rsidR="00FB03D6" w:rsidRDefault="00FB03D6" w:rsidP="00275E5F">
      <w:pPr>
        <w:jc w:val="both"/>
        <w:rPr>
          <w:rFonts w:ascii="Arial" w:hAnsi="Arial" w:cs="Arial"/>
          <w:sz w:val="20"/>
          <w:lang w:val="es-ES_tradnl"/>
        </w:rPr>
      </w:pPr>
    </w:p>
    <w:p w:rsidR="00737AAB" w:rsidRDefault="0054775B" w:rsidP="006260E0">
      <w:pPr>
        <w:jc w:val="both"/>
        <w:rPr>
          <w:rFonts w:ascii="Arial" w:hAnsi="Arial" w:cs="Arial"/>
          <w:sz w:val="20"/>
          <w:lang w:val="es-ES_tradnl"/>
        </w:rPr>
      </w:pPr>
      <w:r>
        <w:rPr>
          <w:noProof/>
        </w:rPr>
        <w:lastRenderedPageBreak/>
        <w:drawing>
          <wp:inline distT="0" distB="0" distL="0" distR="0" wp14:anchorId="67EC0560" wp14:editId="64971CB3">
            <wp:extent cx="4572000" cy="2743200"/>
            <wp:effectExtent l="0" t="0" r="0" b="0"/>
            <wp:docPr id="4" name="Gráfico 4">
              <a:extLst xmlns:a="http://schemas.openxmlformats.org/drawingml/2006/main">
                <a:ext uri="{FF2B5EF4-FFF2-40B4-BE49-F238E27FC236}">
                  <a16:creationId xmlns:a16="http://schemas.microsoft.com/office/drawing/2014/main" id="{30C03E28-9E14-4049-9042-B57C28AAE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57BF4" w:rsidRDefault="00057BF4" w:rsidP="006260E0">
      <w:pPr>
        <w:jc w:val="both"/>
        <w:rPr>
          <w:rFonts w:ascii="Arial" w:hAnsi="Arial" w:cs="Arial"/>
          <w:sz w:val="20"/>
          <w:lang w:val="es-ES_tradnl"/>
        </w:rPr>
      </w:pPr>
      <w:r w:rsidRPr="00057BF4">
        <w:rPr>
          <w:rFonts w:ascii="Arial" w:hAnsi="Arial" w:cs="Arial"/>
          <w:b/>
          <w:sz w:val="20"/>
          <w:lang w:val="es-ES_tradnl"/>
        </w:rPr>
        <w:t>Figura 2:</w:t>
      </w:r>
      <w:r>
        <w:rPr>
          <w:rFonts w:ascii="Arial" w:hAnsi="Arial" w:cs="Arial"/>
          <w:sz w:val="20"/>
          <w:lang w:val="es-ES_tradnl"/>
        </w:rPr>
        <w:t xml:space="preserve"> Superficie de respuesta que representa el valor resultando de la optimización por medio de FBA con diferentes condiciones de entrada de oxígeno y metanol</w:t>
      </w:r>
    </w:p>
    <w:p w:rsidR="00B97394" w:rsidRDefault="00B97394" w:rsidP="006260E0">
      <w:pPr>
        <w:jc w:val="both"/>
        <w:rPr>
          <w:noProof/>
        </w:rPr>
      </w:pPr>
    </w:p>
    <w:p w:rsidR="00737AAB" w:rsidRDefault="00737AAB" w:rsidP="006260E0">
      <w:pPr>
        <w:jc w:val="both"/>
        <w:rPr>
          <w:rFonts w:ascii="Arial" w:hAnsi="Arial" w:cs="Arial"/>
          <w:sz w:val="20"/>
          <w:lang w:val="es-ES_tradnl"/>
        </w:rPr>
      </w:pPr>
    </w:p>
    <w:p w:rsidR="00B97394" w:rsidRDefault="0054775B" w:rsidP="006260E0">
      <w:pPr>
        <w:jc w:val="both"/>
        <w:rPr>
          <w:rFonts w:ascii="Arial" w:hAnsi="Arial" w:cs="Arial"/>
          <w:sz w:val="20"/>
          <w:lang w:val="es-ES_tradnl"/>
        </w:rPr>
      </w:pPr>
      <w:r>
        <w:rPr>
          <w:noProof/>
        </w:rPr>
        <w:drawing>
          <wp:inline distT="0" distB="0" distL="0" distR="0" wp14:anchorId="253EC377" wp14:editId="73DD8159">
            <wp:extent cx="4572000" cy="2743200"/>
            <wp:effectExtent l="0" t="0" r="0" b="0"/>
            <wp:docPr id="5" name="Gráfico 5">
              <a:extLst xmlns:a="http://schemas.openxmlformats.org/drawingml/2006/main">
                <a:ext uri="{FF2B5EF4-FFF2-40B4-BE49-F238E27FC236}">
                  <a16:creationId xmlns:a16="http://schemas.microsoft.com/office/drawing/2014/main" id="{30C03E28-9E14-4049-9042-B57C28AAE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7BF4" w:rsidRDefault="00057BF4" w:rsidP="006260E0">
      <w:pPr>
        <w:jc w:val="both"/>
        <w:rPr>
          <w:rFonts w:ascii="Arial" w:hAnsi="Arial" w:cs="Arial"/>
          <w:sz w:val="20"/>
          <w:lang w:val="es-ES_tradnl"/>
        </w:rPr>
      </w:pPr>
      <w:r w:rsidRPr="00057BF4">
        <w:rPr>
          <w:rFonts w:ascii="Arial" w:hAnsi="Arial" w:cs="Arial"/>
          <w:b/>
          <w:sz w:val="20"/>
          <w:lang w:val="es-ES_tradnl"/>
        </w:rPr>
        <w:t>Figura 3:</w:t>
      </w:r>
      <w:r>
        <w:rPr>
          <w:rFonts w:ascii="Arial" w:hAnsi="Arial" w:cs="Arial"/>
          <w:sz w:val="20"/>
          <w:lang w:val="es-ES_tradnl"/>
        </w:rPr>
        <w:t xml:space="preserve"> Diagrama de contornos</w:t>
      </w:r>
      <w:r w:rsidRPr="00057BF4">
        <w:rPr>
          <w:rFonts w:ascii="Arial" w:hAnsi="Arial" w:cs="Arial"/>
          <w:sz w:val="20"/>
          <w:lang w:val="es-ES_tradnl"/>
        </w:rPr>
        <w:t xml:space="preserve"> </w:t>
      </w:r>
      <w:r>
        <w:rPr>
          <w:rFonts w:ascii="Arial" w:hAnsi="Arial" w:cs="Arial"/>
          <w:sz w:val="20"/>
          <w:lang w:val="es-ES_tradnl"/>
        </w:rPr>
        <w:t>que representa el valor resultando de la optimización por medio de FBA con diferentes condiciones de entrada de oxígeno y metanol</w:t>
      </w:r>
    </w:p>
    <w:p w:rsidR="00057BF4" w:rsidRDefault="00057BF4" w:rsidP="000F69E3">
      <w:pPr>
        <w:rPr>
          <w:rFonts w:ascii="Arial" w:hAnsi="Arial" w:cs="Arial"/>
          <w:sz w:val="20"/>
          <w:lang w:val="es-ES_tradnl"/>
        </w:rPr>
      </w:pPr>
    </w:p>
    <w:p w:rsidR="006260E0" w:rsidRDefault="003222ED" w:rsidP="00275E5F">
      <w:pPr>
        <w:jc w:val="both"/>
        <w:rPr>
          <w:rFonts w:ascii="Arial" w:hAnsi="Arial" w:cs="Arial"/>
          <w:sz w:val="20"/>
          <w:lang w:val="es-ES_tradnl"/>
        </w:rPr>
      </w:pPr>
      <w:r>
        <w:rPr>
          <w:rFonts w:ascii="Arial" w:hAnsi="Arial" w:cs="Arial"/>
          <w:sz w:val="20"/>
          <w:lang w:val="es-ES_tradnl"/>
        </w:rPr>
        <w:t xml:space="preserve">De acuerdo a la publicación de </w:t>
      </w:r>
      <w:r>
        <w:rPr>
          <w:rFonts w:ascii="Arial" w:hAnsi="Arial" w:cs="Arial"/>
          <w:sz w:val="20"/>
          <w:lang w:val="es-ES_tradnl"/>
        </w:rPr>
        <w:fldChar w:fldCharType="begin" w:fldLock="1"/>
      </w:r>
      <w:r>
        <w:rPr>
          <w:rFonts w:ascii="Arial" w:hAnsi="Arial" w:cs="Arial"/>
          <w:sz w:val="20"/>
          <w:lang w:val="es-ES_tradnl"/>
        </w:rPr>
        <w:instrText>ADDIN CSL_CITATION {"citationItems":[{"id":"ITEM-1","itemData":{"DOI":"10.1111/1751-7915.12871","author":[{"dropping-particle":"","family":"Tomàs-Gamisans","given":"Màrius","non-dropping-particle":"","parse-names":false,"suffix":""},{"dropping-particle":"","family":"Ferrer","given":"Pau","non-dropping-particle":"","parse-names":false,"suffix":""},{"dropping-particle":"","family":"Albiol","given":"Joan","non-dropping-particle":"","parse-names":false,"suffix":""}],"container-title":"Microbi","id":"ITEM-1","issued":{"date-parts":[["2018"]]},"page":"224-237","title":"Fine-tuning the P . pastoris iMT1026 genome-scale metabolic model for improved prediction of growth on methanol or glycerol as sole carbon sources","type":"article-journal","volume":"11"},"uris":["http://www.mendeley.com/documents/?uuid=c6f1e55e-c623-4694-9f57-754808fee3be"]}],"mendeley":{"formattedCitation":"(Tomàs-Gamisans et al., 2018)","plainTextFormattedCitation":"(Tomàs-Gamisans et al., 2018)","previouslyFormattedCitation":"(Tomàs-Gamisans et al., 2018)"},"properties":{"noteIndex":0},"schema":"https://github.com/citation-style-language/schema/raw/master/csl-citation.json"}</w:instrText>
      </w:r>
      <w:r>
        <w:rPr>
          <w:rFonts w:ascii="Arial" w:hAnsi="Arial" w:cs="Arial"/>
          <w:sz w:val="20"/>
          <w:lang w:val="es-ES_tradnl"/>
        </w:rPr>
        <w:fldChar w:fldCharType="separate"/>
      </w:r>
      <w:r w:rsidRPr="003222ED">
        <w:rPr>
          <w:rFonts w:ascii="Arial" w:hAnsi="Arial" w:cs="Arial"/>
          <w:noProof/>
          <w:sz w:val="20"/>
          <w:lang w:val="es-ES_tradnl"/>
        </w:rPr>
        <w:t>(Tomàs-Gamisans et al., 2018)</w:t>
      </w:r>
      <w:r>
        <w:rPr>
          <w:rFonts w:ascii="Arial" w:hAnsi="Arial" w:cs="Arial"/>
          <w:sz w:val="20"/>
          <w:lang w:val="es-ES_tradnl"/>
        </w:rPr>
        <w:fldChar w:fldCharType="end"/>
      </w:r>
      <w:r>
        <w:rPr>
          <w:rFonts w:ascii="Arial" w:hAnsi="Arial" w:cs="Arial"/>
          <w:sz w:val="20"/>
          <w:lang w:val="es-ES_tradnl"/>
        </w:rPr>
        <w:t>, usando como metanol como única fuente de carbono, la predicción del modelo es muy buena con referencia a los datos experimentales obtenidos en cultivos continuos. A una tasa de dilución de 0.035 h</w:t>
      </w:r>
      <w:r w:rsidRPr="003222ED">
        <w:rPr>
          <w:rFonts w:ascii="Arial" w:hAnsi="Arial" w:cs="Arial"/>
          <w:sz w:val="20"/>
          <w:vertAlign w:val="superscript"/>
          <w:lang w:val="es-ES_tradnl"/>
        </w:rPr>
        <w:t>-1</w:t>
      </w:r>
      <w:r>
        <w:rPr>
          <w:rFonts w:ascii="Arial" w:hAnsi="Arial" w:cs="Arial"/>
          <w:sz w:val="20"/>
          <w:lang w:val="es-ES_tradnl"/>
        </w:rPr>
        <w:t xml:space="preserve">, las </w:t>
      </w:r>
      <w:proofErr w:type="spellStart"/>
      <w:r>
        <w:rPr>
          <w:rFonts w:ascii="Arial" w:hAnsi="Arial" w:cs="Arial"/>
          <w:sz w:val="20"/>
          <w:lang w:val="es-ES_tradnl"/>
        </w:rPr>
        <w:t>velocidads</w:t>
      </w:r>
      <w:proofErr w:type="spellEnd"/>
      <w:r>
        <w:rPr>
          <w:rFonts w:ascii="Arial" w:hAnsi="Arial" w:cs="Arial"/>
          <w:sz w:val="20"/>
          <w:lang w:val="es-ES_tradnl"/>
        </w:rPr>
        <w:t xml:space="preserve"> de consumo de metanol y oxígeno reportadas fueron de 2.81 y 2.98 mmol/</w:t>
      </w:r>
      <w:proofErr w:type="spellStart"/>
      <w:r>
        <w:rPr>
          <w:rFonts w:ascii="Arial" w:hAnsi="Arial" w:cs="Arial"/>
          <w:sz w:val="20"/>
          <w:lang w:val="es-ES_tradnl"/>
        </w:rPr>
        <w:t>gDCW</w:t>
      </w:r>
      <w:proofErr w:type="spellEnd"/>
      <w:r>
        <w:rPr>
          <w:rFonts w:ascii="Arial" w:hAnsi="Arial" w:cs="Arial"/>
          <w:sz w:val="20"/>
          <w:lang w:val="es-ES_tradnl"/>
        </w:rPr>
        <w:t xml:space="preserve"> h respectivamente. </w:t>
      </w:r>
      <w:r>
        <w:rPr>
          <w:rFonts w:ascii="Arial" w:hAnsi="Arial" w:cs="Arial"/>
          <w:sz w:val="20"/>
          <w:lang w:val="es-ES_tradnl"/>
        </w:rPr>
        <w:fldChar w:fldCharType="begin" w:fldLock="1"/>
      </w:r>
      <w:r w:rsidR="00E35C44">
        <w:rPr>
          <w:rFonts w:ascii="Arial" w:hAnsi="Arial" w:cs="Arial"/>
          <w:sz w:val="20"/>
          <w:lang w:val="es-ES_tradnl"/>
        </w:rPr>
        <w:instrText>ADDIN CSL_CITATION {"citationItems":[{"id":"ITEM-1","itemData":{"DOI":"10.1007/s10295-016-1895-7","ISBN":"1029501618957","ISSN":"1367-5435","author":[{"dropping-particle":"","family":"Berrios","given":"Julio","non-dropping-particle":"","parse-names":false,"suffix":""},{"dropping-particle":"","family":"Flores","given":"María-Olga","non-dropping-particle":"","parse-names":false,"suffix":""},{"dropping-particle":"","family":"Díaz-Barrera","given":"Alvaro","non-dropping-particle":"","parse-names":false,"suffix":""},{"dropping-particle":"","family":"Altamirano","given":"Claudia","non-dropping-particle":"","parse-names":false,"suffix":""},{"dropping-particle":"","family":"Martínez","given":"Irene","non-dropping-particle":"","parse-names":false,"suffix":""},{"dropping-particle":"","family":"Cabrera","given":"Zaida","non-dropping-particle":"","parse-names":false,"suffix":""}],"container-title":"Journal of Industrial Microbiology &amp; Biotechnology","id":"ITEM-1","issue":"3","issued":{"date-parts":[["2016"]]},"page":"407-411","publisher":"Springer Berlin Heidelberg","title":"A comparative study of glycerol and sorbitol as co-substrates in methanol-induced cultures of Pichia pastoris: temperature effect and scale-up simulation","type":"article-journal","volume":"44"},"uris":["http://www.mendeley.com/documents/?uuid=32e3969a-b85d-4802-9e29-8f0886ebca11"]}],"mendeley":{"formattedCitation":"(Berrios et al., 2016)","manualFormatting":"Berrios et al., (2016)","plainTextFormattedCitation":"(Berrios et al., 2016)","previouslyFormattedCitation":"(Berrios et al., 2016)"},"properties":{"noteIndex":0},"schema":"https://github.com/citation-style-language/schema/raw/master/csl-citation.json"}</w:instrText>
      </w:r>
      <w:r>
        <w:rPr>
          <w:rFonts w:ascii="Arial" w:hAnsi="Arial" w:cs="Arial"/>
          <w:sz w:val="20"/>
          <w:lang w:val="es-ES_tradnl"/>
        </w:rPr>
        <w:fldChar w:fldCharType="separate"/>
      </w:r>
      <w:r w:rsidRPr="003222ED">
        <w:rPr>
          <w:rFonts w:ascii="Arial" w:hAnsi="Arial" w:cs="Arial"/>
          <w:noProof/>
          <w:sz w:val="20"/>
          <w:lang w:val="es-ES_tradnl"/>
        </w:rPr>
        <w:t xml:space="preserve">Berrios et al., </w:t>
      </w:r>
      <w:r>
        <w:rPr>
          <w:rFonts w:ascii="Arial" w:hAnsi="Arial" w:cs="Arial"/>
          <w:noProof/>
          <w:sz w:val="20"/>
          <w:lang w:val="es-ES_tradnl"/>
        </w:rPr>
        <w:t>(</w:t>
      </w:r>
      <w:r w:rsidRPr="003222ED">
        <w:rPr>
          <w:rFonts w:ascii="Arial" w:hAnsi="Arial" w:cs="Arial"/>
          <w:noProof/>
          <w:sz w:val="20"/>
          <w:lang w:val="es-ES_tradnl"/>
        </w:rPr>
        <w:t>2016)</w:t>
      </w:r>
      <w:r>
        <w:rPr>
          <w:rFonts w:ascii="Arial" w:hAnsi="Arial" w:cs="Arial"/>
          <w:sz w:val="20"/>
          <w:lang w:val="es-ES_tradnl"/>
        </w:rPr>
        <w:fldChar w:fldCharType="end"/>
      </w:r>
      <w:r>
        <w:rPr>
          <w:rFonts w:ascii="Arial" w:hAnsi="Arial" w:cs="Arial"/>
          <w:sz w:val="20"/>
          <w:lang w:val="es-ES_tradnl"/>
        </w:rPr>
        <w:t xml:space="preserve"> reporta a una tasa de dilución de 0.03 h</w:t>
      </w:r>
      <w:r w:rsidRPr="003222ED">
        <w:rPr>
          <w:rFonts w:ascii="Arial" w:hAnsi="Arial" w:cs="Arial"/>
          <w:sz w:val="20"/>
          <w:vertAlign w:val="superscript"/>
          <w:lang w:val="es-ES_tradnl"/>
        </w:rPr>
        <w:t>-1</w:t>
      </w:r>
      <w:r>
        <w:rPr>
          <w:rFonts w:ascii="Arial" w:hAnsi="Arial" w:cs="Arial"/>
          <w:sz w:val="20"/>
          <w:lang w:val="es-ES_tradnl"/>
        </w:rPr>
        <w:t xml:space="preserve"> unas </w:t>
      </w:r>
      <w:proofErr w:type="spellStart"/>
      <w:r>
        <w:rPr>
          <w:rFonts w:ascii="Arial" w:hAnsi="Arial" w:cs="Arial"/>
          <w:sz w:val="20"/>
          <w:lang w:val="es-ES_tradnl"/>
        </w:rPr>
        <w:t>qmet</w:t>
      </w:r>
      <w:proofErr w:type="spellEnd"/>
      <w:r>
        <w:rPr>
          <w:rFonts w:ascii="Arial" w:hAnsi="Arial" w:cs="Arial"/>
          <w:sz w:val="20"/>
          <w:lang w:val="es-ES_tradnl"/>
        </w:rPr>
        <w:t xml:space="preserve"> y qO</w:t>
      </w:r>
      <w:r w:rsidRPr="003222ED">
        <w:rPr>
          <w:rFonts w:ascii="Arial" w:hAnsi="Arial" w:cs="Arial"/>
          <w:sz w:val="20"/>
          <w:vertAlign w:val="subscript"/>
          <w:lang w:val="es-ES_tradnl"/>
        </w:rPr>
        <w:t>2</w:t>
      </w:r>
      <w:r>
        <w:rPr>
          <w:rFonts w:ascii="Arial" w:hAnsi="Arial" w:cs="Arial"/>
          <w:sz w:val="20"/>
          <w:lang w:val="es-ES_tradnl"/>
        </w:rPr>
        <w:t xml:space="preserve"> de 3.43 y 3.35, </w:t>
      </w:r>
      <w:r w:rsidR="003A61B7">
        <w:rPr>
          <w:rFonts w:ascii="Arial" w:hAnsi="Arial" w:cs="Arial"/>
          <w:sz w:val="20"/>
          <w:lang w:val="es-ES_tradnl"/>
        </w:rPr>
        <w:t>condiciones que generan una respuesta en términos de µ de 0.031 h</w:t>
      </w:r>
      <w:r w:rsidR="003A61B7" w:rsidRPr="003A61B7">
        <w:rPr>
          <w:rFonts w:ascii="Arial" w:hAnsi="Arial" w:cs="Arial"/>
          <w:sz w:val="20"/>
          <w:vertAlign w:val="superscript"/>
          <w:lang w:val="es-ES_tradnl"/>
        </w:rPr>
        <w:t>-1</w:t>
      </w:r>
      <w:r w:rsidR="003A61B7">
        <w:rPr>
          <w:rFonts w:ascii="Arial" w:hAnsi="Arial" w:cs="Arial"/>
          <w:sz w:val="20"/>
          <w:lang w:val="es-ES_tradnl"/>
        </w:rPr>
        <w:t>.</w:t>
      </w:r>
    </w:p>
    <w:p w:rsidR="00275E5F" w:rsidRDefault="00275E5F" w:rsidP="00275E5F">
      <w:pPr>
        <w:jc w:val="both"/>
        <w:rPr>
          <w:rFonts w:ascii="Arial" w:hAnsi="Arial" w:cs="Arial"/>
          <w:sz w:val="20"/>
          <w:lang w:val="es-ES_tradnl"/>
        </w:rPr>
      </w:pPr>
    </w:p>
    <w:p w:rsidR="00275E5F" w:rsidRDefault="00275E5F" w:rsidP="00275E5F">
      <w:pPr>
        <w:jc w:val="both"/>
        <w:rPr>
          <w:rFonts w:ascii="Arial" w:hAnsi="Arial" w:cs="Arial"/>
          <w:sz w:val="20"/>
          <w:lang w:val="es-ES_tradnl"/>
        </w:rPr>
      </w:pPr>
      <w:r>
        <w:rPr>
          <w:rFonts w:ascii="Arial" w:hAnsi="Arial" w:cs="Arial"/>
          <w:sz w:val="20"/>
          <w:lang w:val="es-ES_tradnl"/>
        </w:rPr>
        <w:t xml:space="preserve">Por lo expuesto anteriormente, </w:t>
      </w:r>
      <w:r w:rsidR="00E35C44">
        <w:rPr>
          <w:rFonts w:ascii="Arial" w:hAnsi="Arial" w:cs="Arial"/>
          <w:sz w:val="20"/>
          <w:lang w:val="es-ES_tradnl"/>
        </w:rPr>
        <w:t xml:space="preserve">en una primera inspección el modelo predice con alta fidelidad las velocidades de crecimiento de cultivos continuos llevados a cabo con metanol como única fuente de carbono. Por otro lado, el modelo tiene que ser estudiado usando un mayor </w:t>
      </w:r>
      <w:proofErr w:type="spellStart"/>
      <w:r w:rsidR="00E35C44">
        <w:rPr>
          <w:rFonts w:ascii="Arial" w:hAnsi="Arial" w:cs="Arial"/>
          <w:sz w:val="20"/>
          <w:lang w:val="es-ES_tradnl"/>
        </w:rPr>
        <w:t>npumero</w:t>
      </w:r>
      <w:proofErr w:type="spellEnd"/>
      <w:r w:rsidR="00E35C44">
        <w:rPr>
          <w:rFonts w:ascii="Arial" w:hAnsi="Arial" w:cs="Arial"/>
          <w:sz w:val="20"/>
          <w:lang w:val="es-ES_tradnl"/>
        </w:rPr>
        <w:t xml:space="preserve"> de flujos de entrada y salida para que pueda describir la redistribución de flujos metabólicos de mejor manera.</w:t>
      </w:r>
    </w:p>
    <w:p w:rsidR="00E35C44" w:rsidRPr="00E35C44" w:rsidRDefault="00E35C44" w:rsidP="00275E5F">
      <w:pPr>
        <w:jc w:val="both"/>
        <w:rPr>
          <w:rFonts w:ascii="Arial" w:hAnsi="Arial" w:cs="Arial"/>
          <w:b/>
          <w:sz w:val="20"/>
          <w:lang w:val="es-ES_tradnl"/>
        </w:rPr>
      </w:pPr>
      <w:r w:rsidRPr="00E35C44">
        <w:rPr>
          <w:rFonts w:ascii="Arial" w:hAnsi="Arial" w:cs="Arial"/>
          <w:b/>
          <w:sz w:val="20"/>
          <w:lang w:val="es-ES_tradnl"/>
        </w:rPr>
        <w:lastRenderedPageBreak/>
        <w:t>Referencias</w:t>
      </w:r>
    </w:p>
    <w:p w:rsidR="00E35C44" w:rsidRDefault="00E35C44" w:rsidP="00275E5F">
      <w:pPr>
        <w:jc w:val="both"/>
        <w:rPr>
          <w:rFonts w:ascii="Arial" w:hAnsi="Arial" w:cs="Arial"/>
          <w:sz w:val="20"/>
          <w:lang w:val="es-ES_tradnl"/>
        </w:rPr>
      </w:pPr>
    </w:p>
    <w:p w:rsidR="00E35C44" w:rsidRPr="00E35C44" w:rsidRDefault="00E35C44" w:rsidP="00E35C44">
      <w:pPr>
        <w:autoSpaceDE w:val="0"/>
        <w:autoSpaceDN w:val="0"/>
        <w:adjustRightInd w:val="0"/>
        <w:ind w:left="480" w:hanging="480"/>
        <w:rPr>
          <w:rFonts w:ascii="Arial" w:hAnsi="Arial" w:cs="Arial"/>
          <w:noProof/>
          <w:sz w:val="20"/>
          <w:szCs w:val="24"/>
        </w:rPr>
      </w:pPr>
      <w:r>
        <w:rPr>
          <w:rFonts w:ascii="Arial" w:hAnsi="Arial" w:cs="Arial"/>
          <w:sz w:val="20"/>
          <w:lang w:val="es-ES_tradnl"/>
        </w:rPr>
        <w:fldChar w:fldCharType="begin" w:fldLock="1"/>
      </w:r>
      <w:r>
        <w:rPr>
          <w:rFonts w:ascii="Arial" w:hAnsi="Arial" w:cs="Arial"/>
          <w:sz w:val="20"/>
          <w:lang w:val="es-ES_tradnl"/>
        </w:rPr>
        <w:instrText xml:space="preserve">ADDIN Mendeley Bibliography CSL_BIBLIOGRAPHY </w:instrText>
      </w:r>
      <w:r>
        <w:rPr>
          <w:rFonts w:ascii="Arial" w:hAnsi="Arial" w:cs="Arial"/>
          <w:sz w:val="20"/>
          <w:lang w:val="es-ES_tradnl"/>
        </w:rPr>
        <w:fldChar w:fldCharType="separate"/>
      </w:r>
      <w:r w:rsidRPr="00E35C44">
        <w:rPr>
          <w:rFonts w:ascii="Arial" w:hAnsi="Arial" w:cs="Arial"/>
          <w:noProof/>
          <w:sz w:val="20"/>
          <w:szCs w:val="24"/>
        </w:rPr>
        <w:t xml:space="preserve">Berrios, J., Flores, M.-O., Díaz-Barrera, A., Altamirano, C., Martínez, I., &amp; Cabrera, Z. (2016). A comparative study of glycerol and sorbitol as co-substrates in methanol-induced cultures of Pichia pastoris: temperature effect and scale-up simulation. </w:t>
      </w:r>
      <w:r w:rsidRPr="00E35C44">
        <w:rPr>
          <w:rFonts w:ascii="Arial" w:hAnsi="Arial" w:cs="Arial"/>
          <w:i/>
          <w:iCs/>
          <w:noProof/>
          <w:sz w:val="20"/>
          <w:szCs w:val="24"/>
        </w:rPr>
        <w:t>Journal of Industrial Microbiology &amp; Biotechnology</w:t>
      </w:r>
      <w:r w:rsidRPr="00E35C44">
        <w:rPr>
          <w:rFonts w:ascii="Arial" w:hAnsi="Arial" w:cs="Arial"/>
          <w:noProof/>
          <w:sz w:val="20"/>
          <w:szCs w:val="24"/>
        </w:rPr>
        <w:t xml:space="preserve">, </w:t>
      </w:r>
      <w:r w:rsidRPr="00E35C44">
        <w:rPr>
          <w:rFonts w:ascii="Arial" w:hAnsi="Arial" w:cs="Arial"/>
          <w:i/>
          <w:iCs/>
          <w:noProof/>
          <w:sz w:val="20"/>
          <w:szCs w:val="24"/>
        </w:rPr>
        <w:t>44</w:t>
      </w:r>
      <w:r w:rsidRPr="00E35C44">
        <w:rPr>
          <w:rFonts w:ascii="Arial" w:hAnsi="Arial" w:cs="Arial"/>
          <w:noProof/>
          <w:sz w:val="20"/>
          <w:szCs w:val="24"/>
        </w:rPr>
        <w:t>(3), 407–411. https://doi.org/10.1007/s10295-016-1895-7</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Çalik, P., Inankur, B., Soyaslan, E. Ş., Şahin, M., Taşpinar, H., Açik, E., &amp; Bayraktar, E. (2010). Fermentation and oxygen transfer characteristics in recombinant human growth hormone production by Pichia pastoris in sorbitol batch and methanol fed-batch operation. </w:t>
      </w:r>
      <w:r w:rsidRPr="00E35C44">
        <w:rPr>
          <w:rFonts w:ascii="Arial" w:hAnsi="Arial" w:cs="Arial"/>
          <w:i/>
          <w:iCs/>
          <w:noProof/>
          <w:sz w:val="20"/>
          <w:szCs w:val="24"/>
        </w:rPr>
        <w:t>Journal of Chemical Technology and Biotechnology</w:t>
      </w:r>
      <w:r w:rsidRPr="00E35C44">
        <w:rPr>
          <w:rFonts w:ascii="Arial" w:hAnsi="Arial" w:cs="Arial"/>
          <w:noProof/>
          <w:sz w:val="20"/>
          <w:szCs w:val="24"/>
        </w:rPr>
        <w:t xml:space="preserve">, </w:t>
      </w:r>
      <w:r w:rsidRPr="00E35C44">
        <w:rPr>
          <w:rFonts w:ascii="Arial" w:hAnsi="Arial" w:cs="Arial"/>
          <w:i/>
          <w:iCs/>
          <w:noProof/>
          <w:sz w:val="20"/>
          <w:szCs w:val="24"/>
        </w:rPr>
        <w:t>85</w:t>
      </w:r>
      <w:r w:rsidRPr="00E35C44">
        <w:rPr>
          <w:rFonts w:ascii="Arial" w:hAnsi="Arial" w:cs="Arial"/>
          <w:noProof/>
          <w:sz w:val="20"/>
          <w:szCs w:val="24"/>
        </w:rPr>
        <w:t>(2), 226–233. https://doi.org/10.1002/jctb.2292</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Carly, F., Niu, H., Delvigne, F., &amp; Fickers, P. (2016). Influence of methanol/sorbitol co-feeding rate on pAOX1 induction in a Pichia pastoris Mut+ strain in bioreactor with limited oxygen transfer rate. </w:t>
      </w:r>
      <w:r w:rsidRPr="00E35C44">
        <w:rPr>
          <w:rFonts w:ascii="Arial" w:hAnsi="Arial" w:cs="Arial"/>
          <w:i/>
          <w:iCs/>
          <w:noProof/>
          <w:sz w:val="20"/>
          <w:szCs w:val="24"/>
        </w:rPr>
        <w:t>Journal of Industrial Microbiology and Biotechnology</w:t>
      </w:r>
      <w:r w:rsidRPr="00E35C44">
        <w:rPr>
          <w:rFonts w:ascii="Arial" w:hAnsi="Arial" w:cs="Arial"/>
          <w:noProof/>
          <w:sz w:val="20"/>
          <w:szCs w:val="24"/>
        </w:rPr>
        <w:t xml:space="preserve">, </w:t>
      </w:r>
      <w:r w:rsidRPr="00E35C44">
        <w:rPr>
          <w:rFonts w:ascii="Arial" w:hAnsi="Arial" w:cs="Arial"/>
          <w:i/>
          <w:iCs/>
          <w:noProof/>
          <w:sz w:val="20"/>
          <w:szCs w:val="24"/>
        </w:rPr>
        <w:t>43</w:t>
      </w:r>
      <w:r w:rsidRPr="00E35C44">
        <w:rPr>
          <w:rFonts w:ascii="Arial" w:hAnsi="Arial" w:cs="Arial"/>
          <w:noProof/>
          <w:sz w:val="20"/>
          <w:szCs w:val="24"/>
        </w:rPr>
        <w:t>(4), 517–523. https://doi.org/10.1007/s10295-015-1722-6</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Hartner, F. S., &amp; Glieder, A. (2006). Regulation of methanol utilisation pathway genes in yeasts. </w:t>
      </w:r>
      <w:r w:rsidRPr="00E35C44">
        <w:rPr>
          <w:rFonts w:ascii="Arial" w:hAnsi="Arial" w:cs="Arial"/>
          <w:i/>
          <w:iCs/>
          <w:noProof/>
          <w:sz w:val="20"/>
          <w:szCs w:val="24"/>
        </w:rPr>
        <w:t>Microbial Cell Factories</w:t>
      </w:r>
      <w:r w:rsidRPr="00E35C44">
        <w:rPr>
          <w:rFonts w:ascii="Arial" w:hAnsi="Arial" w:cs="Arial"/>
          <w:noProof/>
          <w:sz w:val="20"/>
          <w:szCs w:val="24"/>
        </w:rPr>
        <w:t xml:space="preserve">, </w:t>
      </w:r>
      <w:r w:rsidRPr="00E35C44">
        <w:rPr>
          <w:rFonts w:ascii="Arial" w:hAnsi="Arial" w:cs="Arial"/>
          <w:i/>
          <w:iCs/>
          <w:noProof/>
          <w:sz w:val="20"/>
          <w:szCs w:val="24"/>
        </w:rPr>
        <w:t>5</w:t>
      </w:r>
      <w:r w:rsidRPr="00E35C44">
        <w:rPr>
          <w:rFonts w:ascii="Arial" w:hAnsi="Arial" w:cs="Arial"/>
          <w:noProof/>
          <w:sz w:val="20"/>
          <w:szCs w:val="24"/>
        </w:rPr>
        <w:t>(1), 39. https://doi.org/10.1186/1475-2859-5-39</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Höffner, K., Harwood, S. M., &amp; Barton, P. I. (2013). A reliable simulator for dynamic flux balance analysis. </w:t>
      </w:r>
      <w:r w:rsidRPr="00E35C44">
        <w:rPr>
          <w:rFonts w:ascii="Arial" w:hAnsi="Arial" w:cs="Arial"/>
          <w:i/>
          <w:iCs/>
          <w:noProof/>
          <w:sz w:val="20"/>
          <w:szCs w:val="24"/>
        </w:rPr>
        <w:t>Biotechnology and Bioengineering</w:t>
      </w:r>
      <w:r w:rsidRPr="00E35C44">
        <w:rPr>
          <w:rFonts w:ascii="Arial" w:hAnsi="Arial" w:cs="Arial"/>
          <w:noProof/>
          <w:sz w:val="20"/>
          <w:szCs w:val="24"/>
        </w:rPr>
        <w:t xml:space="preserve">, </w:t>
      </w:r>
      <w:r w:rsidRPr="00E35C44">
        <w:rPr>
          <w:rFonts w:ascii="Arial" w:hAnsi="Arial" w:cs="Arial"/>
          <w:i/>
          <w:iCs/>
          <w:noProof/>
          <w:sz w:val="20"/>
          <w:szCs w:val="24"/>
        </w:rPr>
        <w:t>110</w:t>
      </w:r>
      <w:r w:rsidRPr="00E35C44">
        <w:rPr>
          <w:rFonts w:ascii="Arial" w:hAnsi="Arial" w:cs="Arial"/>
          <w:noProof/>
          <w:sz w:val="20"/>
          <w:szCs w:val="24"/>
        </w:rPr>
        <w:t>(3), 792–802. https://doi.org/10.1002/bit.24748</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Looser, V., Bruhlmann, B., Bumbak, F., Stenger, C., Costa, M., Camattari, A., … Kovar, K. (2014). Cultivation strategies to enhance productivity of Pichia pastoris: A review. </w:t>
      </w:r>
      <w:r w:rsidRPr="00E35C44">
        <w:rPr>
          <w:rFonts w:ascii="Arial" w:hAnsi="Arial" w:cs="Arial"/>
          <w:i/>
          <w:iCs/>
          <w:noProof/>
          <w:sz w:val="20"/>
          <w:szCs w:val="24"/>
        </w:rPr>
        <w:t>Biotechnology Advances</w:t>
      </w:r>
      <w:r w:rsidRPr="00E35C44">
        <w:rPr>
          <w:rFonts w:ascii="Arial" w:hAnsi="Arial" w:cs="Arial"/>
          <w:noProof/>
          <w:sz w:val="20"/>
          <w:szCs w:val="24"/>
        </w:rPr>
        <w:t xml:space="preserve">, </w:t>
      </w:r>
      <w:r w:rsidRPr="00E35C44">
        <w:rPr>
          <w:rFonts w:ascii="Arial" w:hAnsi="Arial" w:cs="Arial"/>
          <w:i/>
          <w:iCs/>
          <w:noProof/>
          <w:sz w:val="20"/>
          <w:szCs w:val="24"/>
        </w:rPr>
        <w:t>33</w:t>
      </w:r>
      <w:r w:rsidRPr="00E35C44">
        <w:rPr>
          <w:rFonts w:ascii="Arial" w:hAnsi="Arial" w:cs="Arial"/>
          <w:noProof/>
          <w:sz w:val="20"/>
          <w:szCs w:val="24"/>
        </w:rPr>
        <w:t>(6), 1177–1193. https://doi.org/10.1016/j.biotechadv.2015.05.008</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Palsson, B. Ø. (2006). </w:t>
      </w:r>
      <w:r w:rsidRPr="00E35C44">
        <w:rPr>
          <w:rFonts w:ascii="Arial" w:hAnsi="Arial" w:cs="Arial"/>
          <w:i/>
          <w:iCs/>
          <w:noProof/>
          <w:sz w:val="20"/>
          <w:szCs w:val="24"/>
        </w:rPr>
        <w:t>Systems Biology: Properties of reconstructed Networks</w:t>
      </w:r>
      <w:r w:rsidRPr="00E35C44">
        <w:rPr>
          <w:rFonts w:ascii="Arial" w:hAnsi="Arial" w:cs="Arial"/>
          <w:noProof/>
          <w:sz w:val="20"/>
          <w:szCs w:val="24"/>
        </w:rPr>
        <w:t>. New York: Cambridge University Press.</w:t>
      </w:r>
    </w:p>
    <w:p w:rsidR="00E35C44" w:rsidRPr="00E35C44" w:rsidRDefault="00E35C44" w:rsidP="00E35C44">
      <w:pPr>
        <w:autoSpaceDE w:val="0"/>
        <w:autoSpaceDN w:val="0"/>
        <w:adjustRightInd w:val="0"/>
        <w:ind w:left="480" w:hanging="480"/>
        <w:rPr>
          <w:rFonts w:ascii="Arial" w:hAnsi="Arial" w:cs="Arial"/>
          <w:noProof/>
          <w:sz w:val="20"/>
          <w:szCs w:val="24"/>
        </w:rPr>
      </w:pPr>
      <w:r w:rsidRPr="00E35C44">
        <w:rPr>
          <w:rFonts w:ascii="Arial" w:hAnsi="Arial" w:cs="Arial"/>
          <w:noProof/>
          <w:sz w:val="20"/>
          <w:szCs w:val="24"/>
        </w:rPr>
        <w:t xml:space="preserve">Tomàs-Gamisans, M., Ferrer, P., &amp; Albiol, J. (2018). Fine-tuning the P . pastoris iMT1026 genome-scale metabolic model for improved prediction of growth on methanol or glycerol as sole carbon sources. </w:t>
      </w:r>
      <w:r w:rsidRPr="00E35C44">
        <w:rPr>
          <w:rFonts w:ascii="Arial" w:hAnsi="Arial" w:cs="Arial"/>
          <w:i/>
          <w:iCs/>
          <w:noProof/>
          <w:sz w:val="20"/>
          <w:szCs w:val="24"/>
        </w:rPr>
        <w:t>Microbi</w:t>
      </w:r>
      <w:r w:rsidRPr="00E35C44">
        <w:rPr>
          <w:rFonts w:ascii="Arial" w:hAnsi="Arial" w:cs="Arial"/>
          <w:noProof/>
          <w:sz w:val="20"/>
          <w:szCs w:val="24"/>
        </w:rPr>
        <w:t xml:space="preserve">, </w:t>
      </w:r>
      <w:r w:rsidRPr="00E35C44">
        <w:rPr>
          <w:rFonts w:ascii="Arial" w:hAnsi="Arial" w:cs="Arial"/>
          <w:i/>
          <w:iCs/>
          <w:noProof/>
          <w:sz w:val="20"/>
          <w:szCs w:val="24"/>
        </w:rPr>
        <w:t>11</w:t>
      </w:r>
      <w:r w:rsidRPr="00E35C44">
        <w:rPr>
          <w:rFonts w:ascii="Arial" w:hAnsi="Arial" w:cs="Arial"/>
          <w:noProof/>
          <w:sz w:val="20"/>
          <w:szCs w:val="24"/>
        </w:rPr>
        <w:t>, 224–237. https://doi.org/10.1111/1751-7915.12871</w:t>
      </w:r>
    </w:p>
    <w:p w:rsidR="00E35C44" w:rsidRPr="00E35C44" w:rsidRDefault="00E35C44" w:rsidP="00E35C44">
      <w:pPr>
        <w:autoSpaceDE w:val="0"/>
        <w:autoSpaceDN w:val="0"/>
        <w:adjustRightInd w:val="0"/>
        <w:ind w:left="480" w:hanging="480"/>
        <w:rPr>
          <w:rFonts w:ascii="Arial" w:hAnsi="Arial" w:cs="Arial"/>
          <w:noProof/>
          <w:sz w:val="20"/>
        </w:rPr>
      </w:pPr>
      <w:r w:rsidRPr="00E35C44">
        <w:rPr>
          <w:rFonts w:ascii="Arial" w:hAnsi="Arial" w:cs="Arial"/>
          <w:noProof/>
          <w:sz w:val="20"/>
          <w:szCs w:val="24"/>
        </w:rPr>
        <w:t xml:space="preserve">van der Klei, I. J., Yurimoto, H., Sakai, Y., &amp; Veenhuis, M. (2006). The significance of peroxisomes in methanol metabolism in methylotrophic yeast. </w:t>
      </w:r>
      <w:r w:rsidRPr="00E35C44">
        <w:rPr>
          <w:rFonts w:ascii="Arial" w:hAnsi="Arial" w:cs="Arial"/>
          <w:i/>
          <w:iCs/>
          <w:noProof/>
          <w:sz w:val="20"/>
          <w:szCs w:val="24"/>
        </w:rPr>
        <w:t>Biochimica et Biophysica Acta - Molecular Cell Research</w:t>
      </w:r>
      <w:r w:rsidRPr="00E35C44">
        <w:rPr>
          <w:rFonts w:ascii="Arial" w:hAnsi="Arial" w:cs="Arial"/>
          <w:noProof/>
          <w:sz w:val="20"/>
          <w:szCs w:val="24"/>
        </w:rPr>
        <w:t xml:space="preserve">, </w:t>
      </w:r>
      <w:r w:rsidRPr="00E35C44">
        <w:rPr>
          <w:rFonts w:ascii="Arial" w:hAnsi="Arial" w:cs="Arial"/>
          <w:i/>
          <w:iCs/>
          <w:noProof/>
          <w:sz w:val="20"/>
          <w:szCs w:val="24"/>
        </w:rPr>
        <w:t>1763</w:t>
      </w:r>
      <w:r w:rsidRPr="00E35C44">
        <w:rPr>
          <w:rFonts w:ascii="Arial" w:hAnsi="Arial" w:cs="Arial"/>
          <w:noProof/>
          <w:sz w:val="20"/>
          <w:szCs w:val="24"/>
        </w:rPr>
        <w:t>(12), 1453–1462. https://doi.org/10.1016/j.bbamcr.2006.07.016</w:t>
      </w:r>
    </w:p>
    <w:p w:rsidR="00E35C44" w:rsidRDefault="00E35C44" w:rsidP="00275E5F">
      <w:pPr>
        <w:jc w:val="both"/>
        <w:rPr>
          <w:rFonts w:ascii="Arial" w:hAnsi="Arial" w:cs="Arial"/>
          <w:sz w:val="20"/>
          <w:lang w:val="es-ES_tradnl"/>
        </w:rPr>
      </w:pPr>
      <w:r>
        <w:rPr>
          <w:rFonts w:ascii="Arial" w:hAnsi="Arial" w:cs="Arial"/>
          <w:sz w:val="20"/>
          <w:lang w:val="es-ES_tradnl"/>
        </w:rPr>
        <w:fldChar w:fldCharType="end"/>
      </w:r>
    </w:p>
    <w:p w:rsidR="00E35C44" w:rsidRPr="00F13963" w:rsidRDefault="00E35C44" w:rsidP="00275E5F">
      <w:pPr>
        <w:jc w:val="both"/>
        <w:rPr>
          <w:rFonts w:ascii="Arial" w:hAnsi="Arial" w:cs="Arial"/>
          <w:sz w:val="20"/>
          <w:lang w:val="es-ES_tradnl"/>
        </w:rPr>
      </w:pPr>
    </w:p>
    <w:sectPr w:rsidR="00E35C44" w:rsidRPr="00F139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069DD"/>
    <w:multiLevelType w:val="hybridMultilevel"/>
    <w:tmpl w:val="9634C932"/>
    <w:lvl w:ilvl="0" w:tplc="66BA8BF4">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D1"/>
    <w:rsid w:val="00057BF4"/>
    <w:rsid w:val="000F69E3"/>
    <w:rsid w:val="001E2D15"/>
    <w:rsid w:val="00275E5F"/>
    <w:rsid w:val="003222ED"/>
    <w:rsid w:val="003A61B7"/>
    <w:rsid w:val="003F1628"/>
    <w:rsid w:val="0054775B"/>
    <w:rsid w:val="00567B4E"/>
    <w:rsid w:val="006260E0"/>
    <w:rsid w:val="00640F09"/>
    <w:rsid w:val="00641099"/>
    <w:rsid w:val="006B2F8D"/>
    <w:rsid w:val="00737AAB"/>
    <w:rsid w:val="009039FD"/>
    <w:rsid w:val="009B5349"/>
    <w:rsid w:val="00A45ADA"/>
    <w:rsid w:val="00AA329F"/>
    <w:rsid w:val="00AC322F"/>
    <w:rsid w:val="00B67325"/>
    <w:rsid w:val="00B67970"/>
    <w:rsid w:val="00B97394"/>
    <w:rsid w:val="00C23FA3"/>
    <w:rsid w:val="00CB331B"/>
    <w:rsid w:val="00DC57B4"/>
    <w:rsid w:val="00E02588"/>
    <w:rsid w:val="00E35C44"/>
    <w:rsid w:val="00F13963"/>
    <w:rsid w:val="00F53584"/>
    <w:rsid w:val="00FB03D6"/>
    <w:rsid w:val="00FE56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7870"/>
  <w15:chartTrackingRefBased/>
  <w15:docId w15:val="{4D0DC240-11F3-4B36-9BE7-18807FFF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6D1"/>
    <w:pPr>
      <w:widowControl w:val="0"/>
      <w:spacing w:after="0" w:line="240" w:lineRule="auto"/>
    </w:pPr>
    <w:rPr>
      <w:rFonts w:ascii="Courier" w:eastAsia="Times New Roman" w:hAnsi="Courier"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Hoja1!$A$3:$B$3</c:f>
              <c:strCache>
                <c:ptCount val="2"/>
                <c:pt idx="1">
                  <c:v>-10,0</c:v>
                </c:pt>
              </c:strCache>
            </c:strRef>
          </c:tx>
          <c:spPr>
            <a:solidFill>
              <a:schemeClr val="accent1"/>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Hoja1!$C$3:$V$3</c:f>
              <c:numCache>
                <c:formatCode>General</c:formatCode>
                <c:ptCount val="20"/>
                <c:pt idx="0">
                  <c:v>0.14086499999999999</c:v>
                </c:pt>
                <c:pt idx="1">
                  <c:v>0.119739</c:v>
                </c:pt>
                <c:pt idx="2">
                  <c:v>9.8614199999999999E-2</c:v>
                </c:pt>
                <c:pt idx="3">
                  <c:v>7.7489000000000002E-2</c:v>
                </c:pt>
                <c:pt idx="4">
                  <c:v>5.6363700000000003E-2</c:v>
                </c:pt>
                <c:pt idx="5">
                  <c:v>3.5238400000000003E-2</c:v>
                </c:pt>
                <c:pt idx="6">
                  <c:v>1.41131E-2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0-BB0C-4A9F-9DCF-159E11686840}"/>
            </c:ext>
          </c:extLst>
        </c:ser>
        <c:ser>
          <c:idx val="1"/>
          <c:order val="1"/>
          <c:tx>
            <c:strRef>
              <c:f>Hoja1!$A$4:$B$4</c:f>
              <c:strCache>
                <c:ptCount val="2"/>
                <c:pt idx="1">
                  <c:v>-9,5</c:v>
                </c:pt>
              </c:strCache>
            </c:strRef>
          </c:tx>
          <c:spPr>
            <a:solidFill>
              <a:schemeClr val="accent2"/>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Hoja1!$C$4:$V$4</c:f>
              <c:numCache>
                <c:formatCode>General</c:formatCode>
                <c:ptCount val="20"/>
                <c:pt idx="0">
                  <c:v>0.15457599999999999</c:v>
                </c:pt>
                <c:pt idx="1">
                  <c:v>0.13345099999999999</c:v>
                </c:pt>
                <c:pt idx="2">
                  <c:v>0.112326</c:v>
                </c:pt>
                <c:pt idx="3">
                  <c:v>9.1200299999999998E-2</c:v>
                </c:pt>
                <c:pt idx="4">
                  <c:v>7.0074999999999998E-2</c:v>
                </c:pt>
                <c:pt idx="5">
                  <c:v>4.8949800000000002E-2</c:v>
                </c:pt>
                <c:pt idx="6">
                  <c:v>2.7824499999999999E-2</c:v>
                </c:pt>
                <c:pt idx="7">
                  <c:v>6.6992299999999996E-3</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1-BB0C-4A9F-9DCF-159E11686840}"/>
            </c:ext>
          </c:extLst>
        </c:ser>
        <c:ser>
          <c:idx val="2"/>
          <c:order val="2"/>
          <c:tx>
            <c:strRef>
              <c:f>Hoja1!$A$5:$B$5</c:f>
              <c:strCache>
                <c:ptCount val="2"/>
                <c:pt idx="1">
                  <c:v>-8,9</c:v>
                </c:pt>
              </c:strCache>
            </c:strRef>
          </c:tx>
          <c:spPr>
            <a:solidFill>
              <a:schemeClr val="accent3"/>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Hoja1!$C$5:$V$5</c:f>
              <c:numCache>
                <c:formatCode>General</c:formatCode>
                <c:ptCount val="20"/>
                <c:pt idx="0">
                  <c:v>0.15676200000000001</c:v>
                </c:pt>
                <c:pt idx="1">
                  <c:v>0.14716199999999999</c:v>
                </c:pt>
                <c:pt idx="2">
                  <c:v>0.12603700000000001</c:v>
                </c:pt>
                <c:pt idx="3">
                  <c:v>0.10491200000000001</c:v>
                </c:pt>
                <c:pt idx="4">
                  <c:v>8.3786399999999997E-2</c:v>
                </c:pt>
                <c:pt idx="5">
                  <c:v>6.2661099999999997E-2</c:v>
                </c:pt>
                <c:pt idx="6">
                  <c:v>4.1535799999999998E-2</c:v>
                </c:pt>
                <c:pt idx="7">
                  <c:v>2.0410600000000001E-2</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2-BB0C-4A9F-9DCF-159E11686840}"/>
            </c:ext>
          </c:extLst>
        </c:ser>
        <c:ser>
          <c:idx val="3"/>
          <c:order val="3"/>
          <c:tx>
            <c:strRef>
              <c:f>Hoja1!$A$6:$B$6</c:f>
              <c:strCache>
                <c:ptCount val="2"/>
                <c:pt idx="1">
                  <c:v>-8,4</c:v>
                </c:pt>
              </c:strCache>
            </c:strRef>
          </c:tx>
          <c:spPr>
            <a:solidFill>
              <a:schemeClr val="accent4"/>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Hoja1!$C$6:$V$6</c:f>
              <c:numCache>
                <c:formatCode>General</c:formatCode>
                <c:ptCount val="20"/>
                <c:pt idx="0">
                  <c:v>0.13073199999999999</c:v>
                </c:pt>
                <c:pt idx="1">
                  <c:v>0.14577100000000001</c:v>
                </c:pt>
                <c:pt idx="2">
                  <c:v>0.13974800000000001</c:v>
                </c:pt>
                <c:pt idx="3">
                  <c:v>0.11862300000000001</c:v>
                </c:pt>
                <c:pt idx="4">
                  <c:v>9.7497700000000007E-2</c:v>
                </c:pt>
                <c:pt idx="5">
                  <c:v>7.6372399999999993E-2</c:v>
                </c:pt>
                <c:pt idx="6">
                  <c:v>5.5247200000000003E-2</c:v>
                </c:pt>
                <c:pt idx="7">
                  <c:v>3.4121899999999997E-2</c:v>
                </c:pt>
                <c:pt idx="8">
                  <c:v>1.2996600000000001E-2</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3-BB0C-4A9F-9DCF-159E11686840}"/>
            </c:ext>
          </c:extLst>
        </c:ser>
        <c:ser>
          <c:idx val="4"/>
          <c:order val="4"/>
          <c:tx>
            <c:strRef>
              <c:f>Hoja1!$A$7:$B$7</c:f>
              <c:strCache>
                <c:ptCount val="2"/>
                <c:pt idx="1">
                  <c:v>-7,9</c:v>
                </c:pt>
              </c:strCache>
            </c:strRef>
          </c:tx>
          <c:spPr>
            <a:solidFill>
              <a:schemeClr val="accent5"/>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Hoja1!$C$7:$V$7</c:f>
              <c:numCache>
                <c:formatCode>General</c:formatCode>
                <c:ptCount val="20"/>
                <c:pt idx="0">
                  <c:v>0.104702</c:v>
                </c:pt>
                <c:pt idx="1">
                  <c:v>0.119742</c:v>
                </c:pt>
                <c:pt idx="2">
                  <c:v>0.13478100000000001</c:v>
                </c:pt>
                <c:pt idx="3">
                  <c:v>0.13233400000000001</c:v>
                </c:pt>
                <c:pt idx="4">
                  <c:v>0.111209</c:v>
                </c:pt>
                <c:pt idx="5">
                  <c:v>9.0083700000000003E-2</c:v>
                </c:pt>
                <c:pt idx="6">
                  <c:v>6.8958500000000006E-2</c:v>
                </c:pt>
                <c:pt idx="7">
                  <c:v>4.7833199999999999E-2</c:v>
                </c:pt>
                <c:pt idx="8">
                  <c:v>2.6707999999999999E-2</c:v>
                </c:pt>
                <c:pt idx="9">
                  <c:v>5.5826900000000004E-3</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4-BB0C-4A9F-9DCF-159E11686840}"/>
            </c:ext>
          </c:extLst>
        </c:ser>
        <c:ser>
          <c:idx val="5"/>
          <c:order val="5"/>
          <c:tx>
            <c:strRef>
              <c:f>Hoja1!$A$8:$B$8</c:f>
              <c:strCache>
                <c:ptCount val="2"/>
                <c:pt idx="1">
                  <c:v>-7,4</c:v>
                </c:pt>
              </c:strCache>
            </c:strRef>
          </c:tx>
          <c:spPr>
            <a:solidFill>
              <a:schemeClr val="accent6"/>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Hoja1!$C$8:$V$8</c:f>
              <c:numCache>
                <c:formatCode>General</c:formatCode>
                <c:ptCount val="20"/>
                <c:pt idx="0">
                  <c:v>7.8672599999999995E-2</c:v>
                </c:pt>
                <c:pt idx="1">
                  <c:v>9.3711799999999998E-2</c:v>
                </c:pt>
                <c:pt idx="2">
                  <c:v>0.108751</c:v>
                </c:pt>
                <c:pt idx="3">
                  <c:v>0.12379</c:v>
                </c:pt>
                <c:pt idx="4">
                  <c:v>0.12492</c:v>
                </c:pt>
                <c:pt idx="5">
                  <c:v>0.103795</c:v>
                </c:pt>
                <c:pt idx="6">
                  <c:v>8.2669800000000002E-2</c:v>
                </c:pt>
                <c:pt idx="7">
                  <c:v>6.1544599999999998E-2</c:v>
                </c:pt>
                <c:pt idx="8">
                  <c:v>4.0419299999999998E-2</c:v>
                </c:pt>
                <c:pt idx="9">
                  <c:v>1.9293999999999999E-2</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5-BB0C-4A9F-9DCF-159E11686840}"/>
            </c:ext>
          </c:extLst>
        </c:ser>
        <c:ser>
          <c:idx val="6"/>
          <c:order val="6"/>
          <c:tx>
            <c:strRef>
              <c:f>Hoja1!$A$9:$B$9</c:f>
              <c:strCache>
                <c:ptCount val="2"/>
                <c:pt idx="1">
                  <c:v>-6,8</c:v>
                </c:pt>
              </c:strCache>
            </c:strRef>
          </c:tx>
          <c:spPr>
            <a:solidFill>
              <a:schemeClr val="accent1">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Hoja1!$C$9:$V$9</c:f>
              <c:numCache>
                <c:formatCode>General</c:formatCode>
                <c:ptCount val="20"/>
                <c:pt idx="0">
                  <c:v>5.2642700000000001E-2</c:v>
                </c:pt>
                <c:pt idx="1">
                  <c:v>6.7681900000000003E-2</c:v>
                </c:pt>
                <c:pt idx="2">
                  <c:v>8.2721199999999995E-2</c:v>
                </c:pt>
                <c:pt idx="3">
                  <c:v>9.7760399999999997E-2</c:v>
                </c:pt>
                <c:pt idx="4">
                  <c:v>0.1128</c:v>
                </c:pt>
                <c:pt idx="5">
                  <c:v>0.117506</c:v>
                </c:pt>
                <c:pt idx="6">
                  <c:v>9.6381099999999997E-2</c:v>
                </c:pt>
                <c:pt idx="7">
                  <c:v>7.5255900000000001E-2</c:v>
                </c:pt>
                <c:pt idx="8">
                  <c:v>5.4130600000000001E-2</c:v>
                </c:pt>
                <c:pt idx="9">
                  <c:v>3.3005399999999997E-2</c:v>
                </c:pt>
                <c:pt idx="10">
                  <c:v>1.1880099999999999E-2</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6-BB0C-4A9F-9DCF-159E11686840}"/>
            </c:ext>
          </c:extLst>
        </c:ser>
        <c:ser>
          <c:idx val="7"/>
          <c:order val="7"/>
          <c:tx>
            <c:strRef>
              <c:f>Hoja1!$A$10:$B$10</c:f>
              <c:strCache>
                <c:ptCount val="2"/>
                <c:pt idx="1">
                  <c:v>-6,3</c:v>
                </c:pt>
              </c:strCache>
            </c:strRef>
          </c:tx>
          <c:spPr>
            <a:solidFill>
              <a:schemeClr val="accent2">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Hoja1!$C$10:$V$10</c:f>
              <c:numCache>
                <c:formatCode>General</c:formatCode>
                <c:ptCount val="20"/>
                <c:pt idx="0">
                  <c:v>2.6612899999999998E-2</c:v>
                </c:pt>
                <c:pt idx="1">
                  <c:v>4.1652099999999997E-2</c:v>
                </c:pt>
                <c:pt idx="2">
                  <c:v>5.66913E-2</c:v>
                </c:pt>
                <c:pt idx="3">
                  <c:v>7.1730600000000005E-2</c:v>
                </c:pt>
                <c:pt idx="4">
                  <c:v>8.6769799999999994E-2</c:v>
                </c:pt>
                <c:pt idx="5">
                  <c:v>0.101809</c:v>
                </c:pt>
                <c:pt idx="6">
                  <c:v>0.110092</c:v>
                </c:pt>
                <c:pt idx="7">
                  <c:v>8.8967199999999996E-2</c:v>
                </c:pt>
                <c:pt idx="8">
                  <c:v>6.7841899999999997E-2</c:v>
                </c:pt>
                <c:pt idx="9">
                  <c:v>4.67167E-2</c:v>
                </c:pt>
                <c:pt idx="10">
                  <c:v>2.55914E-2</c:v>
                </c:pt>
                <c:pt idx="11">
                  <c:v>4.4661500000000003E-3</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7-BB0C-4A9F-9DCF-159E11686840}"/>
            </c:ext>
          </c:extLst>
        </c:ser>
        <c:ser>
          <c:idx val="8"/>
          <c:order val="8"/>
          <c:tx>
            <c:strRef>
              <c:f>Hoja1!$A$11:$B$11</c:f>
              <c:strCache>
                <c:ptCount val="2"/>
                <c:pt idx="1">
                  <c:v>-5,8</c:v>
                </c:pt>
              </c:strCache>
            </c:strRef>
          </c:tx>
          <c:spPr>
            <a:solidFill>
              <a:schemeClr val="accent3">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Hoja1!$C$11:$V$11</c:f>
              <c:numCache>
                <c:formatCode>General</c:formatCode>
                <c:ptCount val="20"/>
                <c:pt idx="0">
                  <c:v>5.8304799999999996E-4</c:v>
                </c:pt>
                <c:pt idx="1">
                  <c:v>1.56223E-2</c:v>
                </c:pt>
                <c:pt idx="2">
                  <c:v>3.0661500000000001E-2</c:v>
                </c:pt>
                <c:pt idx="3">
                  <c:v>4.5700699999999997E-2</c:v>
                </c:pt>
                <c:pt idx="4">
                  <c:v>6.0739899999999999E-2</c:v>
                </c:pt>
                <c:pt idx="5">
                  <c:v>7.5779200000000005E-2</c:v>
                </c:pt>
                <c:pt idx="6">
                  <c:v>9.0818399999999994E-2</c:v>
                </c:pt>
                <c:pt idx="7">
                  <c:v>0.10267900000000001</c:v>
                </c:pt>
                <c:pt idx="8">
                  <c:v>8.1553299999999995E-2</c:v>
                </c:pt>
                <c:pt idx="9">
                  <c:v>6.0428000000000003E-2</c:v>
                </c:pt>
                <c:pt idx="10">
                  <c:v>3.9302700000000003E-2</c:v>
                </c:pt>
                <c:pt idx="11">
                  <c:v>1.8177499999999999E-2</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8-BB0C-4A9F-9DCF-159E11686840}"/>
            </c:ext>
          </c:extLst>
        </c:ser>
        <c:ser>
          <c:idx val="9"/>
          <c:order val="9"/>
          <c:tx>
            <c:strRef>
              <c:f>Hoja1!$A$12:$B$12</c:f>
              <c:strCache>
                <c:ptCount val="2"/>
                <c:pt idx="1">
                  <c:v>-5,3</c:v>
                </c:pt>
              </c:strCache>
            </c:strRef>
          </c:tx>
          <c:spPr>
            <a:solidFill>
              <a:schemeClr val="accent4">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Hoja1!$C$12:$V$12</c:f>
              <c:numCache>
                <c:formatCode>General</c:formatCode>
                <c:ptCount val="20"/>
                <c:pt idx="0">
                  <c:v>0</c:v>
                </c:pt>
                <c:pt idx="1">
                  <c:v>0</c:v>
                </c:pt>
                <c:pt idx="2">
                  <c:v>4.6316500000000002E-3</c:v>
                </c:pt>
                <c:pt idx="3">
                  <c:v>1.9670900000000002E-2</c:v>
                </c:pt>
                <c:pt idx="4">
                  <c:v>3.4710100000000001E-2</c:v>
                </c:pt>
                <c:pt idx="5">
                  <c:v>4.9749300000000003E-2</c:v>
                </c:pt>
                <c:pt idx="6">
                  <c:v>6.4788499999999999E-2</c:v>
                </c:pt>
                <c:pt idx="7">
                  <c:v>7.9827800000000004E-2</c:v>
                </c:pt>
                <c:pt idx="8">
                  <c:v>9.4867000000000007E-2</c:v>
                </c:pt>
                <c:pt idx="9">
                  <c:v>7.4139300000000005E-2</c:v>
                </c:pt>
                <c:pt idx="10">
                  <c:v>5.3014100000000002E-2</c:v>
                </c:pt>
                <c:pt idx="11">
                  <c:v>3.1888800000000002E-2</c:v>
                </c:pt>
                <c:pt idx="12">
                  <c:v>1.07635E-2</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9-BB0C-4A9F-9DCF-159E11686840}"/>
            </c:ext>
          </c:extLst>
        </c:ser>
        <c:ser>
          <c:idx val="10"/>
          <c:order val="10"/>
          <c:tx>
            <c:strRef>
              <c:f>Hoja1!$A$13:$B$13</c:f>
              <c:strCache>
                <c:ptCount val="2"/>
                <c:pt idx="1">
                  <c:v>-4,7</c:v>
                </c:pt>
              </c:strCache>
            </c:strRef>
          </c:tx>
          <c:spPr>
            <a:solidFill>
              <a:schemeClr val="accent5">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Hoja1!$C$13:$V$13</c:f>
              <c:numCache>
                <c:formatCode>General</c:formatCode>
                <c:ptCount val="20"/>
                <c:pt idx="0">
                  <c:v>0</c:v>
                </c:pt>
                <c:pt idx="1">
                  <c:v>0</c:v>
                </c:pt>
                <c:pt idx="2">
                  <c:v>0</c:v>
                </c:pt>
                <c:pt idx="3">
                  <c:v>0</c:v>
                </c:pt>
                <c:pt idx="4">
                  <c:v>8.6802500000000005E-3</c:v>
                </c:pt>
                <c:pt idx="5">
                  <c:v>2.3719500000000001E-2</c:v>
                </c:pt>
                <c:pt idx="6">
                  <c:v>3.87587E-2</c:v>
                </c:pt>
                <c:pt idx="7">
                  <c:v>5.3797900000000003E-2</c:v>
                </c:pt>
                <c:pt idx="8">
                  <c:v>6.8837099999999998E-2</c:v>
                </c:pt>
                <c:pt idx="9">
                  <c:v>8.3876400000000004E-2</c:v>
                </c:pt>
                <c:pt idx="10">
                  <c:v>6.6725400000000004E-2</c:v>
                </c:pt>
                <c:pt idx="11">
                  <c:v>4.5600099999999998E-2</c:v>
                </c:pt>
                <c:pt idx="12">
                  <c:v>2.4474900000000001E-2</c:v>
                </c:pt>
                <c:pt idx="13">
                  <c:v>3.3496200000000002E-3</c:v>
                </c:pt>
                <c:pt idx="14">
                  <c:v>0</c:v>
                </c:pt>
                <c:pt idx="15">
                  <c:v>0</c:v>
                </c:pt>
                <c:pt idx="16">
                  <c:v>0</c:v>
                </c:pt>
                <c:pt idx="17">
                  <c:v>0</c:v>
                </c:pt>
                <c:pt idx="18">
                  <c:v>0</c:v>
                </c:pt>
                <c:pt idx="19">
                  <c:v>0</c:v>
                </c:pt>
              </c:numCache>
            </c:numRef>
          </c:val>
          <c:extLst>
            <c:ext xmlns:c16="http://schemas.microsoft.com/office/drawing/2014/chart" uri="{C3380CC4-5D6E-409C-BE32-E72D297353CC}">
              <c16:uniqueId val="{0000000A-BB0C-4A9F-9DCF-159E11686840}"/>
            </c:ext>
          </c:extLst>
        </c:ser>
        <c:ser>
          <c:idx val="11"/>
          <c:order val="11"/>
          <c:tx>
            <c:strRef>
              <c:f>Hoja1!$A$14:$B$14</c:f>
              <c:strCache>
                <c:ptCount val="2"/>
                <c:pt idx="1">
                  <c:v>-4,2</c:v>
                </c:pt>
              </c:strCache>
            </c:strRef>
          </c:tx>
          <c:spPr>
            <a:solidFill>
              <a:schemeClr val="accent6">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Hoja1!$C$14:$V$14</c:f>
              <c:numCache>
                <c:formatCode>General</c:formatCode>
                <c:ptCount val="20"/>
                <c:pt idx="0">
                  <c:v>0</c:v>
                </c:pt>
                <c:pt idx="1">
                  <c:v>0</c:v>
                </c:pt>
                <c:pt idx="2">
                  <c:v>0</c:v>
                </c:pt>
                <c:pt idx="3">
                  <c:v>0</c:v>
                </c:pt>
                <c:pt idx="4">
                  <c:v>0</c:v>
                </c:pt>
                <c:pt idx="5">
                  <c:v>0</c:v>
                </c:pt>
                <c:pt idx="6">
                  <c:v>1.27289E-2</c:v>
                </c:pt>
                <c:pt idx="7">
                  <c:v>2.77681E-2</c:v>
                </c:pt>
                <c:pt idx="8">
                  <c:v>4.28073E-2</c:v>
                </c:pt>
                <c:pt idx="9">
                  <c:v>5.7846500000000002E-2</c:v>
                </c:pt>
                <c:pt idx="10">
                  <c:v>7.2885699999999998E-2</c:v>
                </c:pt>
                <c:pt idx="11">
                  <c:v>5.9311500000000003E-2</c:v>
                </c:pt>
                <c:pt idx="12">
                  <c:v>3.8186199999999997E-2</c:v>
                </c:pt>
                <c:pt idx="13">
                  <c:v>1.70609E-2</c:v>
                </c:pt>
                <c:pt idx="14">
                  <c:v>0</c:v>
                </c:pt>
                <c:pt idx="15">
                  <c:v>0</c:v>
                </c:pt>
                <c:pt idx="16">
                  <c:v>0</c:v>
                </c:pt>
                <c:pt idx="17">
                  <c:v>0</c:v>
                </c:pt>
                <c:pt idx="18">
                  <c:v>0</c:v>
                </c:pt>
                <c:pt idx="19">
                  <c:v>0</c:v>
                </c:pt>
              </c:numCache>
            </c:numRef>
          </c:val>
          <c:extLst>
            <c:ext xmlns:c16="http://schemas.microsoft.com/office/drawing/2014/chart" uri="{C3380CC4-5D6E-409C-BE32-E72D297353CC}">
              <c16:uniqueId val="{0000000B-BB0C-4A9F-9DCF-159E11686840}"/>
            </c:ext>
          </c:extLst>
        </c:ser>
        <c:ser>
          <c:idx val="12"/>
          <c:order val="12"/>
          <c:tx>
            <c:strRef>
              <c:f>Hoja1!$A$15:$B$15</c:f>
              <c:strCache>
                <c:ptCount val="2"/>
                <c:pt idx="1">
                  <c:v>-3,7</c:v>
                </c:pt>
              </c:strCache>
            </c:strRef>
          </c:tx>
          <c:spPr>
            <a:solidFill>
              <a:schemeClr val="accent1">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Hoja1!$C$15:$V$15</c:f>
              <c:numCache>
                <c:formatCode>General</c:formatCode>
                <c:ptCount val="20"/>
                <c:pt idx="0">
                  <c:v>0</c:v>
                </c:pt>
                <c:pt idx="1">
                  <c:v>0</c:v>
                </c:pt>
                <c:pt idx="2">
                  <c:v>0</c:v>
                </c:pt>
                <c:pt idx="3">
                  <c:v>0</c:v>
                </c:pt>
                <c:pt idx="4">
                  <c:v>0</c:v>
                </c:pt>
                <c:pt idx="5">
                  <c:v>0</c:v>
                </c:pt>
                <c:pt idx="6">
                  <c:v>0</c:v>
                </c:pt>
                <c:pt idx="7">
                  <c:v>1.7382299999999999E-3</c:v>
                </c:pt>
                <c:pt idx="8">
                  <c:v>1.6777500000000001E-2</c:v>
                </c:pt>
                <c:pt idx="9">
                  <c:v>3.1816700000000003E-2</c:v>
                </c:pt>
                <c:pt idx="10">
                  <c:v>4.6855899999999999E-2</c:v>
                </c:pt>
                <c:pt idx="11">
                  <c:v>6.1895100000000002E-2</c:v>
                </c:pt>
                <c:pt idx="12">
                  <c:v>5.1897499999999999E-2</c:v>
                </c:pt>
                <c:pt idx="13">
                  <c:v>3.0772299999999999E-2</c:v>
                </c:pt>
                <c:pt idx="14">
                  <c:v>9.6470099999999993E-3</c:v>
                </c:pt>
                <c:pt idx="15">
                  <c:v>0</c:v>
                </c:pt>
                <c:pt idx="16">
                  <c:v>0</c:v>
                </c:pt>
                <c:pt idx="17">
                  <c:v>0</c:v>
                </c:pt>
                <c:pt idx="18">
                  <c:v>0</c:v>
                </c:pt>
                <c:pt idx="19">
                  <c:v>0</c:v>
                </c:pt>
              </c:numCache>
            </c:numRef>
          </c:val>
          <c:extLst>
            <c:ext xmlns:c16="http://schemas.microsoft.com/office/drawing/2014/chart" uri="{C3380CC4-5D6E-409C-BE32-E72D297353CC}">
              <c16:uniqueId val="{0000000C-BB0C-4A9F-9DCF-159E11686840}"/>
            </c:ext>
          </c:extLst>
        </c:ser>
        <c:ser>
          <c:idx val="13"/>
          <c:order val="13"/>
          <c:tx>
            <c:strRef>
              <c:f>Hoja1!$A$16:$B$16</c:f>
              <c:strCache>
                <c:ptCount val="2"/>
                <c:pt idx="1">
                  <c:v>-3,2</c:v>
                </c:pt>
              </c:strCache>
            </c:strRef>
          </c:tx>
          <c:spPr>
            <a:solidFill>
              <a:schemeClr val="accent2">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Hoja1!$C$16:$V$16</c:f>
              <c:numCache>
                <c:formatCode>General</c:formatCode>
                <c:ptCount val="20"/>
                <c:pt idx="0">
                  <c:v>0</c:v>
                </c:pt>
                <c:pt idx="1">
                  <c:v>0</c:v>
                </c:pt>
                <c:pt idx="2">
                  <c:v>0</c:v>
                </c:pt>
                <c:pt idx="3">
                  <c:v>0</c:v>
                </c:pt>
                <c:pt idx="4">
                  <c:v>0</c:v>
                </c:pt>
                <c:pt idx="5">
                  <c:v>0</c:v>
                </c:pt>
                <c:pt idx="6">
                  <c:v>0</c:v>
                </c:pt>
                <c:pt idx="7">
                  <c:v>0</c:v>
                </c:pt>
                <c:pt idx="8">
                  <c:v>0</c:v>
                </c:pt>
                <c:pt idx="9">
                  <c:v>5.7868299999999998E-3</c:v>
                </c:pt>
                <c:pt idx="10">
                  <c:v>2.08261E-2</c:v>
                </c:pt>
                <c:pt idx="11">
                  <c:v>3.5865300000000003E-2</c:v>
                </c:pt>
                <c:pt idx="12">
                  <c:v>5.0904499999999998E-2</c:v>
                </c:pt>
                <c:pt idx="13">
                  <c:v>4.4483599999999998E-2</c:v>
                </c:pt>
                <c:pt idx="14">
                  <c:v>2.3358299999999999E-2</c:v>
                </c:pt>
                <c:pt idx="15">
                  <c:v>2.2330800000000001E-3</c:v>
                </c:pt>
                <c:pt idx="16">
                  <c:v>0</c:v>
                </c:pt>
                <c:pt idx="17">
                  <c:v>0</c:v>
                </c:pt>
                <c:pt idx="18">
                  <c:v>0</c:v>
                </c:pt>
                <c:pt idx="19">
                  <c:v>0</c:v>
                </c:pt>
              </c:numCache>
            </c:numRef>
          </c:val>
          <c:extLst>
            <c:ext xmlns:c16="http://schemas.microsoft.com/office/drawing/2014/chart" uri="{C3380CC4-5D6E-409C-BE32-E72D297353CC}">
              <c16:uniqueId val="{0000000D-BB0C-4A9F-9DCF-159E11686840}"/>
            </c:ext>
          </c:extLst>
        </c:ser>
        <c:ser>
          <c:idx val="14"/>
          <c:order val="14"/>
          <c:tx>
            <c:strRef>
              <c:f>Hoja1!$A$17:$B$17</c:f>
              <c:strCache>
                <c:ptCount val="2"/>
                <c:pt idx="1">
                  <c:v>-2,6</c:v>
                </c:pt>
              </c:strCache>
            </c:strRef>
          </c:tx>
          <c:spPr>
            <a:solidFill>
              <a:schemeClr val="accent3">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Hoja1!$C$17:$V$17</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9.8354299999999992E-3</c:v>
                </c:pt>
                <c:pt idx="12">
                  <c:v>2.48747E-2</c:v>
                </c:pt>
                <c:pt idx="13">
                  <c:v>3.9913900000000002E-2</c:v>
                </c:pt>
                <c:pt idx="14">
                  <c:v>3.7069699999999997E-2</c:v>
                </c:pt>
                <c:pt idx="15">
                  <c:v>1.5944400000000001E-2</c:v>
                </c:pt>
                <c:pt idx="16">
                  <c:v>0</c:v>
                </c:pt>
                <c:pt idx="17">
                  <c:v>0</c:v>
                </c:pt>
                <c:pt idx="18">
                  <c:v>0</c:v>
                </c:pt>
                <c:pt idx="19">
                  <c:v>0</c:v>
                </c:pt>
              </c:numCache>
            </c:numRef>
          </c:val>
          <c:extLst>
            <c:ext xmlns:c16="http://schemas.microsoft.com/office/drawing/2014/chart" uri="{C3380CC4-5D6E-409C-BE32-E72D297353CC}">
              <c16:uniqueId val="{0000000E-BB0C-4A9F-9DCF-159E11686840}"/>
            </c:ext>
          </c:extLst>
        </c:ser>
        <c:ser>
          <c:idx val="15"/>
          <c:order val="15"/>
          <c:tx>
            <c:strRef>
              <c:f>Hoja1!$A$18:$B$18</c:f>
              <c:strCache>
                <c:ptCount val="2"/>
                <c:pt idx="1">
                  <c:v>-2,1</c:v>
                </c:pt>
              </c:strCache>
            </c:strRef>
          </c:tx>
          <c:spPr>
            <a:solidFill>
              <a:schemeClr val="accent4">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Hoja1!$C$18:$V$18</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1.3884000000000001E-2</c:v>
                </c:pt>
                <c:pt idx="14">
                  <c:v>2.8923299999999999E-2</c:v>
                </c:pt>
                <c:pt idx="15">
                  <c:v>2.96557E-2</c:v>
                </c:pt>
                <c:pt idx="16">
                  <c:v>8.5304700000000001E-3</c:v>
                </c:pt>
                <c:pt idx="17">
                  <c:v>0</c:v>
                </c:pt>
                <c:pt idx="18">
                  <c:v>0</c:v>
                </c:pt>
                <c:pt idx="19">
                  <c:v>0</c:v>
                </c:pt>
              </c:numCache>
            </c:numRef>
          </c:val>
          <c:extLst>
            <c:ext xmlns:c16="http://schemas.microsoft.com/office/drawing/2014/chart" uri="{C3380CC4-5D6E-409C-BE32-E72D297353CC}">
              <c16:uniqueId val="{0000000F-BB0C-4A9F-9DCF-159E11686840}"/>
            </c:ext>
          </c:extLst>
        </c:ser>
        <c:ser>
          <c:idx val="16"/>
          <c:order val="16"/>
          <c:tx>
            <c:strRef>
              <c:f>Hoja1!$A$19:$B$19</c:f>
              <c:strCache>
                <c:ptCount val="2"/>
                <c:pt idx="1">
                  <c:v>-1,6</c:v>
                </c:pt>
              </c:strCache>
            </c:strRef>
          </c:tx>
          <c:spPr>
            <a:solidFill>
              <a:schemeClr val="accent5">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Hoja1!$C$19:$V$19</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2.8934199999999998E-3</c:v>
                </c:pt>
                <c:pt idx="15">
                  <c:v>1.79326E-2</c:v>
                </c:pt>
                <c:pt idx="16">
                  <c:v>2.2241799999999999E-2</c:v>
                </c:pt>
                <c:pt idx="17">
                  <c:v>1.1165400000000001E-3</c:v>
                </c:pt>
                <c:pt idx="18">
                  <c:v>0</c:v>
                </c:pt>
                <c:pt idx="19">
                  <c:v>0</c:v>
                </c:pt>
              </c:numCache>
            </c:numRef>
          </c:val>
          <c:extLst>
            <c:ext xmlns:c16="http://schemas.microsoft.com/office/drawing/2014/chart" uri="{C3380CC4-5D6E-409C-BE32-E72D297353CC}">
              <c16:uniqueId val="{00000010-BB0C-4A9F-9DCF-159E11686840}"/>
            </c:ext>
          </c:extLst>
        </c:ser>
        <c:ser>
          <c:idx val="17"/>
          <c:order val="17"/>
          <c:tx>
            <c:strRef>
              <c:f>Hoja1!$A$20:$B$20</c:f>
              <c:strCache>
                <c:ptCount val="2"/>
                <c:pt idx="1">
                  <c:v>-1,1</c:v>
                </c:pt>
              </c:strCache>
            </c:strRef>
          </c:tx>
          <c:spPr>
            <a:solidFill>
              <a:schemeClr val="accent6">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Hoja1!$C$20:$V$20</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6.9420200000000001E-3</c:v>
                </c:pt>
                <c:pt idx="17">
                  <c:v>1.48279E-2</c:v>
                </c:pt>
                <c:pt idx="18">
                  <c:v>0</c:v>
                </c:pt>
                <c:pt idx="19">
                  <c:v>0</c:v>
                </c:pt>
              </c:numCache>
            </c:numRef>
          </c:val>
          <c:extLst>
            <c:ext xmlns:c16="http://schemas.microsoft.com/office/drawing/2014/chart" uri="{C3380CC4-5D6E-409C-BE32-E72D297353CC}">
              <c16:uniqueId val="{00000011-BB0C-4A9F-9DCF-159E11686840}"/>
            </c:ext>
          </c:extLst>
        </c:ser>
        <c:ser>
          <c:idx val="18"/>
          <c:order val="18"/>
          <c:tx>
            <c:strRef>
              <c:f>Hoja1!$A$21:$B$21</c:f>
              <c:strCache>
                <c:ptCount val="2"/>
                <c:pt idx="1">
                  <c:v>-0,5</c:v>
                </c:pt>
              </c:strCache>
            </c:strRef>
          </c:tx>
          <c:spPr>
            <a:solidFill>
              <a:schemeClr val="accent1">
                <a:lumMod val="8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Hoja1!$C$21:$V$21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7.41393E-3</c:v>
                </c:pt>
                <c:pt idx="19">
                  <c:v>0</c:v>
                </c:pt>
              </c:numCache>
            </c:numRef>
          </c:val>
          <c:extLst>
            <c:ext xmlns:c16="http://schemas.microsoft.com/office/drawing/2014/chart" uri="{C3380CC4-5D6E-409C-BE32-E72D297353CC}">
              <c16:uniqueId val="{00000012-BB0C-4A9F-9DCF-159E11686840}"/>
            </c:ext>
          </c:extLst>
        </c:ser>
        <c:ser>
          <c:idx val="19"/>
          <c:order val="19"/>
          <c:tx>
            <c:strRef>
              <c:f>Hoja1!$A$22:$B$22</c:f>
              <c:strCache>
                <c:ptCount val="2"/>
                <c:pt idx="1">
                  <c:v>0,0</c:v>
                </c:pt>
              </c:strCache>
            </c:strRef>
          </c:tx>
          <c:spPr>
            <a:solidFill>
              <a:schemeClr val="accent2">
                <a:lumMod val="8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Hoja1!$C$22:$V$22</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13-BB0C-4A9F-9DCF-159E11686840}"/>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22751776"/>
        <c:axId val="776855648"/>
        <c:axId val="924375584"/>
      </c:surface3DChart>
      <c:catAx>
        <c:axId val="92275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qO</a:t>
                </a:r>
                <a:r>
                  <a:rPr lang="es-CL" baseline="-25000"/>
                  <a:t>2</a:t>
                </a:r>
                <a:r>
                  <a:rPr lang="es-CL"/>
                  <a:t>(mmol/gDCW h)</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76855648"/>
        <c:crosses val="autoZero"/>
        <c:auto val="1"/>
        <c:lblAlgn val="ctr"/>
        <c:lblOffset val="100"/>
        <c:noMultiLvlLbl val="0"/>
      </c:catAx>
      <c:valAx>
        <c:axId val="77685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µ(h</a:t>
                </a:r>
                <a:r>
                  <a:rPr lang="es-CL" baseline="30000"/>
                  <a:t>-1</a:t>
                </a:r>
                <a:r>
                  <a:rPr lang="es-CL"/>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22751776"/>
        <c:crosses val="autoZero"/>
        <c:crossBetween val="midCat"/>
      </c:valAx>
      <c:serAx>
        <c:axId val="924375584"/>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qmet (mmol/gDCWh)</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76855648"/>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txPr>
    <a:bodyPr/>
    <a:lstStyle/>
    <a:p>
      <a:pPr>
        <a:defRPr/>
      </a:pPr>
      <a:endParaRPr lang="es-C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Chart>
        <c:wireframe val="0"/>
        <c:ser>
          <c:idx val="0"/>
          <c:order val="0"/>
          <c:tx>
            <c:strRef>
              <c:f>Hoja1!$A$3:$B$3</c:f>
              <c:strCache>
                <c:ptCount val="2"/>
                <c:pt idx="1">
                  <c:v>-10,0</c:v>
                </c:pt>
              </c:strCache>
            </c:strRef>
          </c:tx>
          <c:spPr>
            <a:solidFill>
              <a:schemeClr val="accent1"/>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Hoja1!$C$3:$V$3</c:f>
              <c:numCache>
                <c:formatCode>General</c:formatCode>
                <c:ptCount val="20"/>
                <c:pt idx="0">
                  <c:v>0.14086499999999999</c:v>
                </c:pt>
                <c:pt idx="1">
                  <c:v>0.119739</c:v>
                </c:pt>
                <c:pt idx="2">
                  <c:v>9.8614199999999999E-2</c:v>
                </c:pt>
                <c:pt idx="3">
                  <c:v>7.7489000000000002E-2</c:v>
                </c:pt>
                <c:pt idx="4">
                  <c:v>5.6363700000000003E-2</c:v>
                </c:pt>
                <c:pt idx="5">
                  <c:v>3.5238400000000003E-2</c:v>
                </c:pt>
                <c:pt idx="6">
                  <c:v>1.41131E-2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0-FC92-45CE-8BE1-9D6F2DFD1314}"/>
            </c:ext>
          </c:extLst>
        </c:ser>
        <c:ser>
          <c:idx val="1"/>
          <c:order val="1"/>
          <c:tx>
            <c:strRef>
              <c:f>Hoja1!$A$4:$B$4</c:f>
              <c:strCache>
                <c:ptCount val="2"/>
                <c:pt idx="1">
                  <c:v>-9,5</c:v>
                </c:pt>
              </c:strCache>
            </c:strRef>
          </c:tx>
          <c:spPr>
            <a:solidFill>
              <a:schemeClr val="accent2"/>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Hoja1!$C$4:$V$4</c:f>
              <c:numCache>
                <c:formatCode>General</c:formatCode>
                <c:ptCount val="20"/>
                <c:pt idx="0">
                  <c:v>0.15457599999999999</c:v>
                </c:pt>
                <c:pt idx="1">
                  <c:v>0.13345099999999999</c:v>
                </c:pt>
                <c:pt idx="2">
                  <c:v>0.112326</c:v>
                </c:pt>
                <c:pt idx="3">
                  <c:v>9.1200299999999998E-2</c:v>
                </c:pt>
                <c:pt idx="4">
                  <c:v>7.0074999999999998E-2</c:v>
                </c:pt>
                <c:pt idx="5">
                  <c:v>4.8949800000000002E-2</c:v>
                </c:pt>
                <c:pt idx="6">
                  <c:v>2.7824499999999999E-2</c:v>
                </c:pt>
                <c:pt idx="7">
                  <c:v>6.6992299999999996E-3</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1-FC92-45CE-8BE1-9D6F2DFD1314}"/>
            </c:ext>
          </c:extLst>
        </c:ser>
        <c:ser>
          <c:idx val="2"/>
          <c:order val="2"/>
          <c:tx>
            <c:strRef>
              <c:f>Hoja1!$A$5:$B$5</c:f>
              <c:strCache>
                <c:ptCount val="2"/>
                <c:pt idx="1">
                  <c:v>-8,9</c:v>
                </c:pt>
              </c:strCache>
            </c:strRef>
          </c:tx>
          <c:spPr>
            <a:solidFill>
              <a:schemeClr val="accent3"/>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Hoja1!$C$5:$V$5</c:f>
              <c:numCache>
                <c:formatCode>General</c:formatCode>
                <c:ptCount val="20"/>
                <c:pt idx="0">
                  <c:v>0.15676200000000001</c:v>
                </c:pt>
                <c:pt idx="1">
                  <c:v>0.14716199999999999</c:v>
                </c:pt>
                <c:pt idx="2">
                  <c:v>0.12603700000000001</c:v>
                </c:pt>
                <c:pt idx="3">
                  <c:v>0.10491200000000001</c:v>
                </c:pt>
                <c:pt idx="4">
                  <c:v>8.3786399999999997E-2</c:v>
                </c:pt>
                <c:pt idx="5">
                  <c:v>6.2661099999999997E-2</c:v>
                </c:pt>
                <c:pt idx="6">
                  <c:v>4.1535799999999998E-2</c:v>
                </c:pt>
                <c:pt idx="7">
                  <c:v>2.0410600000000001E-2</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2-FC92-45CE-8BE1-9D6F2DFD1314}"/>
            </c:ext>
          </c:extLst>
        </c:ser>
        <c:ser>
          <c:idx val="3"/>
          <c:order val="3"/>
          <c:tx>
            <c:strRef>
              <c:f>Hoja1!$A$6:$B$6</c:f>
              <c:strCache>
                <c:ptCount val="2"/>
                <c:pt idx="1">
                  <c:v>-8,4</c:v>
                </c:pt>
              </c:strCache>
            </c:strRef>
          </c:tx>
          <c:spPr>
            <a:solidFill>
              <a:schemeClr val="accent4"/>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Hoja1!$C$6:$V$6</c:f>
              <c:numCache>
                <c:formatCode>General</c:formatCode>
                <c:ptCount val="20"/>
                <c:pt idx="0">
                  <c:v>0.13073199999999999</c:v>
                </c:pt>
                <c:pt idx="1">
                  <c:v>0.14577100000000001</c:v>
                </c:pt>
                <c:pt idx="2">
                  <c:v>0.13974800000000001</c:v>
                </c:pt>
                <c:pt idx="3">
                  <c:v>0.11862300000000001</c:v>
                </c:pt>
                <c:pt idx="4">
                  <c:v>9.7497700000000007E-2</c:v>
                </c:pt>
                <c:pt idx="5">
                  <c:v>7.6372399999999993E-2</c:v>
                </c:pt>
                <c:pt idx="6">
                  <c:v>5.5247200000000003E-2</c:v>
                </c:pt>
                <c:pt idx="7">
                  <c:v>3.4121899999999997E-2</c:v>
                </c:pt>
                <c:pt idx="8">
                  <c:v>1.2996600000000001E-2</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3-FC92-45CE-8BE1-9D6F2DFD1314}"/>
            </c:ext>
          </c:extLst>
        </c:ser>
        <c:ser>
          <c:idx val="4"/>
          <c:order val="4"/>
          <c:tx>
            <c:strRef>
              <c:f>Hoja1!$A$7:$B$7</c:f>
              <c:strCache>
                <c:ptCount val="2"/>
                <c:pt idx="1">
                  <c:v>-7,9</c:v>
                </c:pt>
              </c:strCache>
            </c:strRef>
          </c:tx>
          <c:spPr>
            <a:solidFill>
              <a:schemeClr val="accent5"/>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Hoja1!$C$7:$V$7</c:f>
              <c:numCache>
                <c:formatCode>General</c:formatCode>
                <c:ptCount val="20"/>
                <c:pt idx="0">
                  <c:v>0.104702</c:v>
                </c:pt>
                <c:pt idx="1">
                  <c:v>0.119742</c:v>
                </c:pt>
                <c:pt idx="2">
                  <c:v>0.13478100000000001</c:v>
                </c:pt>
                <c:pt idx="3">
                  <c:v>0.13233400000000001</c:v>
                </c:pt>
                <c:pt idx="4">
                  <c:v>0.111209</c:v>
                </c:pt>
                <c:pt idx="5">
                  <c:v>9.0083700000000003E-2</c:v>
                </c:pt>
                <c:pt idx="6">
                  <c:v>6.8958500000000006E-2</c:v>
                </c:pt>
                <c:pt idx="7">
                  <c:v>4.7833199999999999E-2</c:v>
                </c:pt>
                <c:pt idx="8">
                  <c:v>2.6707999999999999E-2</c:v>
                </c:pt>
                <c:pt idx="9">
                  <c:v>5.5826900000000004E-3</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4-FC92-45CE-8BE1-9D6F2DFD1314}"/>
            </c:ext>
          </c:extLst>
        </c:ser>
        <c:ser>
          <c:idx val="5"/>
          <c:order val="5"/>
          <c:tx>
            <c:strRef>
              <c:f>Hoja1!$A$8:$B$8</c:f>
              <c:strCache>
                <c:ptCount val="2"/>
                <c:pt idx="1">
                  <c:v>-7,4</c:v>
                </c:pt>
              </c:strCache>
            </c:strRef>
          </c:tx>
          <c:spPr>
            <a:solidFill>
              <a:schemeClr val="accent6"/>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Hoja1!$C$8:$V$8</c:f>
              <c:numCache>
                <c:formatCode>General</c:formatCode>
                <c:ptCount val="20"/>
                <c:pt idx="0">
                  <c:v>7.8672599999999995E-2</c:v>
                </c:pt>
                <c:pt idx="1">
                  <c:v>9.3711799999999998E-2</c:v>
                </c:pt>
                <c:pt idx="2">
                  <c:v>0.108751</c:v>
                </c:pt>
                <c:pt idx="3">
                  <c:v>0.12379</c:v>
                </c:pt>
                <c:pt idx="4">
                  <c:v>0.12492</c:v>
                </c:pt>
                <c:pt idx="5">
                  <c:v>0.103795</c:v>
                </c:pt>
                <c:pt idx="6">
                  <c:v>8.2669800000000002E-2</c:v>
                </c:pt>
                <c:pt idx="7">
                  <c:v>6.1544599999999998E-2</c:v>
                </c:pt>
                <c:pt idx="8">
                  <c:v>4.0419299999999998E-2</c:v>
                </c:pt>
                <c:pt idx="9">
                  <c:v>1.9293999999999999E-2</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5-FC92-45CE-8BE1-9D6F2DFD1314}"/>
            </c:ext>
          </c:extLst>
        </c:ser>
        <c:ser>
          <c:idx val="6"/>
          <c:order val="6"/>
          <c:tx>
            <c:strRef>
              <c:f>Hoja1!$A$9:$B$9</c:f>
              <c:strCache>
                <c:ptCount val="2"/>
                <c:pt idx="1">
                  <c:v>-6,8</c:v>
                </c:pt>
              </c:strCache>
            </c:strRef>
          </c:tx>
          <c:spPr>
            <a:solidFill>
              <a:schemeClr val="accent1">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Hoja1!$C$9:$V$9</c:f>
              <c:numCache>
                <c:formatCode>General</c:formatCode>
                <c:ptCount val="20"/>
                <c:pt idx="0">
                  <c:v>5.2642700000000001E-2</c:v>
                </c:pt>
                <c:pt idx="1">
                  <c:v>6.7681900000000003E-2</c:v>
                </c:pt>
                <c:pt idx="2">
                  <c:v>8.2721199999999995E-2</c:v>
                </c:pt>
                <c:pt idx="3">
                  <c:v>9.7760399999999997E-2</c:v>
                </c:pt>
                <c:pt idx="4">
                  <c:v>0.1128</c:v>
                </c:pt>
                <c:pt idx="5">
                  <c:v>0.117506</c:v>
                </c:pt>
                <c:pt idx="6">
                  <c:v>9.6381099999999997E-2</c:v>
                </c:pt>
                <c:pt idx="7">
                  <c:v>7.5255900000000001E-2</c:v>
                </c:pt>
                <c:pt idx="8">
                  <c:v>5.4130600000000001E-2</c:v>
                </c:pt>
                <c:pt idx="9">
                  <c:v>3.3005399999999997E-2</c:v>
                </c:pt>
                <c:pt idx="10">
                  <c:v>1.1880099999999999E-2</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6-FC92-45CE-8BE1-9D6F2DFD1314}"/>
            </c:ext>
          </c:extLst>
        </c:ser>
        <c:ser>
          <c:idx val="7"/>
          <c:order val="7"/>
          <c:tx>
            <c:strRef>
              <c:f>Hoja1!$A$10:$B$10</c:f>
              <c:strCache>
                <c:ptCount val="2"/>
                <c:pt idx="1">
                  <c:v>-6,3</c:v>
                </c:pt>
              </c:strCache>
            </c:strRef>
          </c:tx>
          <c:spPr>
            <a:solidFill>
              <a:schemeClr val="accent2">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Hoja1!$C$10:$V$10</c:f>
              <c:numCache>
                <c:formatCode>General</c:formatCode>
                <c:ptCount val="20"/>
                <c:pt idx="0">
                  <c:v>2.6612899999999998E-2</c:v>
                </c:pt>
                <c:pt idx="1">
                  <c:v>4.1652099999999997E-2</c:v>
                </c:pt>
                <c:pt idx="2">
                  <c:v>5.66913E-2</c:v>
                </c:pt>
                <c:pt idx="3">
                  <c:v>7.1730600000000005E-2</c:v>
                </c:pt>
                <c:pt idx="4">
                  <c:v>8.6769799999999994E-2</c:v>
                </c:pt>
                <c:pt idx="5">
                  <c:v>0.101809</c:v>
                </c:pt>
                <c:pt idx="6">
                  <c:v>0.110092</c:v>
                </c:pt>
                <c:pt idx="7">
                  <c:v>8.8967199999999996E-2</c:v>
                </c:pt>
                <c:pt idx="8">
                  <c:v>6.7841899999999997E-2</c:v>
                </c:pt>
                <c:pt idx="9">
                  <c:v>4.67167E-2</c:v>
                </c:pt>
                <c:pt idx="10">
                  <c:v>2.55914E-2</c:v>
                </c:pt>
                <c:pt idx="11">
                  <c:v>4.4661500000000003E-3</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7-FC92-45CE-8BE1-9D6F2DFD1314}"/>
            </c:ext>
          </c:extLst>
        </c:ser>
        <c:ser>
          <c:idx val="8"/>
          <c:order val="8"/>
          <c:tx>
            <c:strRef>
              <c:f>Hoja1!$A$11:$B$11</c:f>
              <c:strCache>
                <c:ptCount val="2"/>
                <c:pt idx="1">
                  <c:v>-5,8</c:v>
                </c:pt>
              </c:strCache>
            </c:strRef>
          </c:tx>
          <c:spPr>
            <a:solidFill>
              <a:schemeClr val="accent3">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Hoja1!$C$11:$V$11</c:f>
              <c:numCache>
                <c:formatCode>General</c:formatCode>
                <c:ptCount val="20"/>
                <c:pt idx="0">
                  <c:v>5.8304799999999996E-4</c:v>
                </c:pt>
                <c:pt idx="1">
                  <c:v>1.56223E-2</c:v>
                </c:pt>
                <c:pt idx="2">
                  <c:v>3.0661500000000001E-2</c:v>
                </c:pt>
                <c:pt idx="3">
                  <c:v>4.5700699999999997E-2</c:v>
                </c:pt>
                <c:pt idx="4">
                  <c:v>6.0739899999999999E-2</c:v>
                </c:pt>
                <c:pt idx="5">
                  <c:v>7.5779200000000005E-2</c:v>
                </c:pt>
                <c:pt idx="6">
                  <c:v>9.0818399999999994E-2</c:v>
                </c:pt>
                <c:pt idx="7">
                  <c:v>0.10267900000000001</c:v>
                </c:pt>
                <c:pt idx="8">
                  <c:v>8.1553299999999995E-2</c:v>
                </c:pt>
                <c:pt idx="9">
                  <c:v>6.0428000000000003E-2</c:v>
                </c:pt>
                <c:pt idx="10">
                  <c:v>3.9302700000000003E-2</c:v>
                </c:pt>
                <c:pt idx="11">
                  <c:v>1.8177499999999999E-2</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8-FC92-45CE-8BE1-9D6F2DFD1314}"/>
            </c:ext>
          </c:extLst>
        </c:ser>
        <c:ser>
          <c:idx val="9"/>
          <c:order val="9"/>
          <c:tx>
            <c:strRef>
              <c:f>Hoja1!$A$12:$B$12</c:f>
              <c:strCache>
                <c:ptCount val="2"/>
                <c:pt idx="1">
                  <c:v>-5,3</c:v>
                </c:pt>
              </c:strCache>
            </c:strRef>
          </c:tx>
          <c:spPr>
            <a:solidFill>
              <a:schemeClr val="accent4">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Hoja1!$C$12:$V$12</c:f>
              <c:numCache>
                <c:formatCode>General</c:formatCode>
                <c:ptCount val="20"/>
                <c:pt idx="0">
                  <c:v>0</c:v>
                </c:pt>
                <c:pt idx="1">
                  <c:v>0</c:v>
                </c:pt>
                <c:pt idx="2">
                  <c:v>4.6316500000000002E-3</c:v>
                </c:pt>
                <c:pt idx="3">
                  <c:v>1.9670900000000002E-2</c:v>
                </c:pt>
                <c:pt idx="4">
                  <c:v>3.4710100000000001E-2</c:v>
                </c:pt>
                <c:pt idx="5">
                  <c:v>4.9749300000000003E-2</c:v>
                </c:pt>
                <c:pt idx="6">
                  <c:v>6.4788499999999999E-2</c:v>
                </c:pt>
                <c:pt idx="7">
                  <c:v>7.9827800000000004E-2</c:v>
                </c:pt>
                <c:pt idx="8">
                  <c:v>9.4867000000000007E-2</c:v>
                </c:pt>
                <c:pt idx="9">
                  <c:v>7.4139300000000005E-2</c:v>
                </c:pt>
                <c:pt idx="10">
                  <c:v>5.3014100000000002E-2</c:v>
                </c:pt>
                <c:pt idx="11">
                  <c:v>3.1888800000000002E-2</c:v>
                </c:pt>
                <c:pt idx="12">
                  <c:v>1.07635E-2</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9-FC92-45CE-8BE1-9D6F2DFD1314}"/>
            </c:ext>
          </c:extLst>
        </c:ser>
        <c:ser>
          <c:idx val="10"/>
          <c:order val="10"/>
          <c:tx>
            <c:strRef>
              <c:f>Hoja1!$A$13:$B$13</c:f>
              <c:strCache>
                <c:ptCount val="2"/>
                <c:pt idx="1">
                  <c:v>-4,7</c:v>
                </c:pt>
              </c:strCache>
            </c:strRef>
          </c:tx>
          <c:spPr>
            <a:solidFill>
              <a:schemeClr val="accent5">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Hoja1!$C$13:$V$13</c:f>
              <c:numCache>
                <c:formatCode>General</c:formatCode>
                <c:ptCount val="20"/>
                <c:pt idx="0">
                  <c:v>0</c:v>
                </c:pt>
                <c:pt idx="1">
                  <c:v>0</c:v>
                </c:pt>
                <c:pt idx="2">
                  <c:v>0</c:v>
                </c:pt>
                <c:pt idx="3">
                  <c:v>0</c:v>
                </c:pt>
                <c:pt idx="4">
                  <c:v>8.6802500000000005E-3</c:v>
                </c:pt>
                <c:pt idx="5">
                  <c:v>2.3719500000000001E-2</c:v>
                </c:pt>
                <c:pt idx="6">
                  <c:v>3.87587E-2</c:v>
                </c:pt>
                <c:pt idx="7">
                  <c:v>5.3797900000000003E-2</c:v>
                </c:pt>
                <c:pt idx="8">
                  <c:v>6.8837099999999998E-2</c:v>
                </c:pt>
                <c:pt idx="9">
                  <c:v>8.3876400000000004E-2</c:v>
                </c:pt>
                <c:pt idx="10">
                  <c:v>6.6725400000000004E-2</c:v>
                </c:pt>
                <c:pt idx="11">
                  <c:v>4.5600099999999998E-2</c:v>
                </c:pt>
                <c:pt idx="12">
                  <c:v>2.4474900000000001E-2</c:v>
                </c:pt>
                <c:pt idx="13">
                  <c:v>3.3496200000000002E-3</c:v>
                </c:pt>
                <c:pt idx="14">
                  <c:v>0</c:v>
                </c:pt>
                <c:pt idx="15">
                  <c:v>0</c:v>
                </c:pt>
                <c:pt idx="16">
                  <c:v>0</c:v>
                </c:pt>
                <c:pt idx="17">
                  <c:v>0</c:v>
                </c:pt>
                <c:pt idx="18">
                  <c:v>0</c:v>
                </c:pt>
                <c:pt idx="19">
                  <c:v>0</c:v>
                </c:pt>
              </c:numCache>
            </c:numRef>
          </c:val>
          <c:extLst>
            <c:ext xmlns:c16="http://schemas.microsoft.com/office/drawing/2014/chart" uri="{C3380CC4-5D6E-409C-BE32-E72D297353CC}">
              <c16:uniqueId val="{0000000A-FC92-45CE-8BE1-9D6F2DFD1314}"/>
            </c:ext>
          </c:extLst>
        </c:ser>
        <c:ser>
          <c:idx val="11"/>
          <c:order val="11"/>
          <c:tx>
            <c:strRef>
              <c:f>Hoja1!$A$14:$B$14</c:f>
              <c:strCache>
                <c:ptCount val="2"/>
                <c:pt idx="1">
                  <c:v>-4,2</c:v>
                </c:pt>
              </c:strCache>
            </c:strRef>
          </c:tx>
          <c:spPr>
            <a:solidFill>
              <a:schemeClr val="accent6">
                <a:lumMod val="6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Hoja1!$C$14:$V$14</c:f>
              <c:numCache>
                <c:formatCode>General</c:formatCode>
                <c:ptCount val="20"/>
                <c:pt idx="0">
                  <c:v>0</c:v>
                </c:pt>
                <c:pt idx="1">
                  <c:v>0</c:v>
                </c:pt>
                <c:pt idx="2">
                  <c:v>0</c:v>
                </c:pt>
                <c:pt idx="3">
                  <c:v>0</c:v>
                </c:pt>
                <c:pt idx="4">
                  <c:v>0</c:v>
                </c:pt>
                <c:pt idx="5">
                  <c:v>0</c:v>
                </c:pt>
                <c:pt idx="6">
                  <c:v>1.27289E-2</c:v>
                </c:pt>
                <c:pt idx="7">
                  <c:v>2.77681E-2</c:v>
                </c:pt>
                <c:pt idx="8">
                  <c:v>4.28073E-2</c:v>
                </c:pt>
                <c:pt idx="9">
                  <c:v>5.7846500000000002E-2</c:v>
                </c:pt>
                <c:pt idx="10">
                  <c:v>7.2885699999999998E-2</c:v>
                </c:pt>
                <c:pt idx="11">
                  <c:v>5.9311500000000003E-2</c:v>
                </c:pt>
                <c:pt idx="12">
                  <c:v>3.8186199999999997E-2</c:v>
                </c:pt>
                <c:pt idx="13">
                  <c:v>1.70609E-2</c:v>
                </c:pt>
                <c:pt idx="14">
                  <c:v>0</c:v>
                </c:pt>
                <c:pt idx="15">
                  <c:v>0</c:v>
                </c:pt>
                <c:pt idx="16">
                  <c:v>0</c:v>
                </c:pt>
                <c:pt idx="17">
                  <c:v>0</c:v>
                </c:pt>
                <c:pt idx="18">
                  <c:v>0</c:v>
                </c:pt>
                <c:pt idx="19">
                  <c:v>0</c:v>
                </c:pt>
              </c:numCache>
            </c:numRef>
          </c:val>
          <c:extLst>
            <c:ext xmlns:c16="http://schemas.microsoft.com/office/drawing/2014/chart" uri="{C3380CC4-5D6E-409C-BE32-E72D297353CC}">
              <c16:uniqueId val="{0000000B-FC92-45CE-8BE1-9D6F2DFD1314}"/>
            </c:ext>
          </c:extLst>
        </c:ser>
        <c:ser>
          <c:idx val="12"/>
          <c:order val="12"/>
          <c:tx>
            <c:strRef>
              <c:f>Hoja1!$A$15:$B$15</c:f>
              <c:strCache>
                <c:ptCount val="2"/>
                <c:pt idx="1">
                  <c:v>-3,7</c:v>
                </c:pt>
              </c:strCache>
            </c:strRef>
          </c:tx>
          <c:spPr>
            <a:solidFill>
              <a:schemeClr val="accent1">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Hoja1!$C$15:$V$15</c:f>
              <c:numCache>
                <c:formatCode>General</c:formatCode>
                <c:ptCount val="20"/>
                <c:pt idx="0">
                  <c:v>0</c:v>
                </c:pt>
                <c:pt idx="1">
                  <c:v>0</c:v>
                </c:pt>
                <c:pt idx="2">
                  <c:v>0</c:v>
                </c:pt>
                <c:pt idx="3">
                  <c:v>0</c:v>
                </c:pt>
                <c:pt idx="4">
                  <c:v>0</c:v>
                </c:pt>
                <c:pt idx="5">
                  <c:v>0</c:v>
                </c:pt>
                <c:pt idx="6">
                  <c:v>0</c:v>
                </c:pt>
                <c:pt idx="7">
                  <c:v>1.7382299999999999E-3</c:v>
                </c:pt>
                <c:pt idx="8">
                  <c:v>1.6777500000000001E-2</c:v>
                </c:pt>
                <c:pt idx="9">
                  <c:v>3.1816700000000003E-2</c:v>
                </c:pt>
                <c:pt idx="10">
                  <c:v>4.6855899999999999E-2</c:v>
                </c:pt>
                <c:pt idx="11">
                  <c:v>6.1895100000000002E-2</c:v>
                </c:pt>
                <c:pt idx="12">
                  <c:v>5.1897499999999999E-2</c:v>
                </c:pt>
                <c:pt idx="13">
                  <c:v>3.0772299999999999E-2</c:v>
                </c:pt>
                <c:pt idx="14">
                  <c:v>9.6470099999999993E-3</c:v>
                </c:pt>
                <c:pt idx="15">
                  <c:v>0</c:v>
                </c:pt>
                <c:pt idx="16">
                  <c:v>0</c:v>
                </c:pt>
                <c:pt idx="17">
                  <c:v>0</c:v>
                </c:pt>
                <c:pt idx="18">
                  <c:v>0</c:v>
                </c:pt>
                <c:pt idx="19">
                  <c:v>0</c:v>
                </c:pt>
              </c:numCache>
            </c:numRef>
          </c:val>
          <c:extLst>
            <c:ext xmlns:c16="http://schemas.microsoft.com/office/drawing/2014/chart" uri="{C3380CC4-5D6E-409C-BE32-E72D297353CC}">
              <c16:uniqueId val="{0000000C-FC92-45CE-8BE1-9D6F2DFD1314}"/>
            </c:ext>
          </c:extLst>
        </c:ser>
        <c:ser>
          <c:idx val="13"/>
          <c:order val="13"/>
          <c:tx>
            <c:strRef>
              <c:f>Hoja1!$A$16:$B$16</c:f>
              <c:strCache>
                <c:ptCount val="2"/>
                <c:pt idx="1">
                  <c:v>-3,2</c:v>
                </c:pt>
              </c:strCache>
            </c:strRef>
          </c:tx>
          <c:spPr>
            <a:solidFill>
              <a:schemeClr val="accent2">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Hoja1!$C$16:$V$16</c:f>
              <c:numCache>
                <c:formatCode>General</c:formatCode>
                <c:ptCount val="20"/>
                <c:pt idx="0">
                  <c:v>0</c:v>
                </c:pt>
                <c:pt idx="1">
                  <c:v>0</c:v>
                </c:pt>
                <c:pt idx="2">
                  <c:v>0</c:v>
                </c:pt>
                <c:pt idx="3">
                  <c:v>0</c:v>
                </c:pt>
                <c:pt idx="4">
                  <c:v>0</c:v>
                </c:pt>
                <c:pt idx="5">
                  <c:v>0</c:v>
                </c:pt>
                <c:pt idx="6">
                  <c:v>0</c:v>
                </c:pt>
                <c:pt idx="7">
                  <c:v>0</c:v>
                </c:pt>
                <c:pt idx="8">
                  <c:v>0</c:v>
                </c:pt>
                <c:pt idx="9">
                  <c:v>5.7868299999999998E-3</c:v>
                </c:pt>
                <c:pt idx="10">
                  <c:v>2.08261E-2</c:v>
                </c:pt>
                <c:pt idx="11">
                  <c:v>3.5865300000000003E-2</c:v>
                </c:pt>
                <c:pt idx="12">
                  <c:v>5.0904499999999998E-2</c:v>
                </c:pt>
                <c:pt idx="13">
                  <c:v>4.4483599999999998E-2</c:v>
                </c:pt>
                <c:pt idx="14">
                  <c:v>2.3358299999999999E-2</c:v>
                </c:pt>
                <c:pt idx="15">
                  <c:v>2.2330800000000001E-3</c:v>
                </c:pt>
                <c:pt idx="16">
                  <c:v>0</c:v>
                </c:pt>
                <c:pt idx="17">
                  <c:v>0</c:v>
                </c:pt>
                <c:pt idx="18">
                  <c:v>0</c:v>
                </c:pt>
                <c:pt idx="19">
                  <c:v>0</c:v>
                </c:pt>
              </c:numCache>
            </c:numRef>
          </c:val>
          <c:extLst>
            <c:ext xmlns:c16="http://schemas.microsoft.com/office/drawing/2014/chart" uri="{C3380CC4-5D6E-409C-BE32-E72D297353CC}">
              <c16:uniqueId val="{0000000D-FC92-45CE-8BE1-9D6F2DFD1314}"/>
            </c:ext>
          </c:extLst>
        </c:ser>
        <c:ser>
          <c:idx val="14"/>
          <c:order val="14"/>
          <c:tx>
            <c:strRef>
              <c:f>Hoja1!$A$17:$B$17</c:f>
              <c:strCache>
                <c:ptCount val="2"/>
                <c:pt idx="1">
                  <c:v>-2,6</c:v>
                </c:pt>
              </c:strCache>
            </c:strRef>
          </c:tx>
          <c:spPr>
            <a:solidFill>
              <a:schemeClr val="accent3">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Hoja1!$C$17:$V$17</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9.8354299999999992E-3</c:v>
                </c:pt>
                <c:pt idx="12">
                  <c:v>2.48747E-2</c:v>
                </c:pt>
                <c:pt idx="13">
                  <c:v>3.9913900000000002E-2</c:v>
                </c:pt>
                <c:pt idx="14">
                  <c:v>3.7069699999999997E-2</c:v>
                </c:pt>
                <c:pt idx="15">
                  <c:v>1.5944400000000001E-2</c:v>
                </c:pt>
                <c:pt idx="16">
                  <c:v>0</c:v>
                </c:pt>
                <c:pt idx="17">
                  <c:v>0</c:v>
                </c:pt>
                <c:pt idx="18">
                  <c:v>0</c:v>
                </c:pt>
                <c:pt idx="19">
                  <c:v>0</c:v>
                </c:pt>
              </c:numCache>
            </c:numRef>
          </c:val>
          <c:extLst>
            <c:ext xmlns:c16="http://schemas.microsoft.com/office/drawing/2014/chart" uri="{C3380CC4-5D6E-409C-BE32-E72D297353CC}">
              <c16:uniqueId val="{0000000E-FC92-45CE-8BE1-9D6F2DFD1314}"/>
            </c:ext>
          </c:extLst>
        </c:ser>
        <c:ser>
          <c:idx val="15"/>
          <c:order val="15"/>
          <c:tx>
            <c:strRef>
              <c:f>Hoja1!$A$18:$B$18</c:f>
              <c:strCache>
                <c:ptCount val="2"/>
                <c:pt idx="1">
                  <c:v>-2,1</c:v>
                </c:pt>
              </c:strCache>
            </c:strRef>
          </c:tx>
          <c:spPr>
            <a:solidFill>
              <a:schemeClr val="accent4">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Hoja1!$C$18:$V$18</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1.3884000000000001E-2</c:v>
                </c:pt>
                <c:pt idx="14">
                  <c:v>2.8923299999999999E-2</c:v>
                </c:pt>
                <c:pt idx="15">
                  <c:v>2.96557E-2</c:v>
                </c:pt>
                <c:pt idx="16">
                  <c:v>8.5304700000000001E-3</c:v>
                </c:pt>
                <c:pt idx="17">
                  <c:v>0</c:v>
                </c:pt>
                <c:pt idx="18">
                  <c:v>0</c:v>
                </c:pt>
                <c:pt idx="19">
                  <c:v>0</c:v>
                </c:pt>
              </c:numCache>
            </c:numRef>
          </c:val>
          <c:extLst>
            <c:ext xmlns:c16="http://schemas.microsoft.com/office/drawing/2014/chart" uri="{C3380CC4-5D6E-409C-BE32-E72D297353CC}">
              <c16:uniqueId val="{0000000F-FC92-45CE-8BE1-9D6F2DFD1314}"/>
            </c:ext>
          </c:extLst>
        </c:ser>
        <c:ser>
          <c:idx val="16"/>
          <c:order val="16"/>
          <c:tx>
            <c:strRef>
              <c:f>Hoja1!$A$19:$B$19</c:f>
              <c:strCache>
                <c:ptCount val="2"/>
                <c:pt idx="1">
                  <c:v>-1,6</c:v>
                </c:pt>
              </c:strCache>
            </c:strRef>
          </c:tx>
          <c:spPr>
            <a:solidFill>
              <a:schemeClr val="accent5">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Hoja1!$C$19:$V$19</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2.8934199999999998E-3</c:v>
                </c:pt>
                <c:pt idx="15">
                  <c:v>1.79326E-2</c:v>
                </c:pt>
                <c:pt idx="16">
                  <c:v>2.2241799999999999E-2</c:v>
                </c:pt>
                <c:pt idx="17">
                  <c:v>1.1165400000000001E-3</c:v>
                </c:pt>
                <c:pt idx="18">
                  <c:v>0</c:v>
                </c:pt>
                <c:pt idx="19">
                  <c:v>0</c:v>
                </c:pt>
              </c:numCache>
            </c:numRef>
          </c:val>
          <c:extLst>
            <c:ext xmlns:c16="http://schemas.microsoft.com/office/drawing/2014/chart" uri="{C3380CC4-5D6E-409C-BE32-E72D297353CC}">
              <c16:uniqueId val="{00000010-FC92-45CE-8BE1-9D6F2DFD1314}"/>
            </c:ext>
          </c:extLst>
        </c:ser>
        <c:ser>
          <c:idx val="17"/>
          <c:order val="17"/>
          <c:tx>
            <c:strRef>
              <c:f>Hoja1!$A$20:$B$20</c:f>
              <c:strCache>
                <c:ptCount val="2"/>
                <c:pt idx="1">
                  <c:v>-1,1</c:v>
                </c:pt>
              </c:strCache>
            </c:strRef>
          </c:tx>
          <c:spPr>
            <a:solidFill>
              <a:schemeClr val="accent6">
                <a:lumMod val="80000"/>
                <a:lumOff val="2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Hoja1!$C$20:$V$20</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6.9420200000000001E-3</c:v>
                </c:pt>
                <c:pt idx="17">
                  <c:v>1.48279E-2</c:v>
                </c:pt>
                <c:pt idx="18">
                  <c:v>0</c:v>
                </c:pt>
                <c:pt idx="19">
                  <c:v>0</c:v>
                </c:pt>
              </c:numCache>
            </c:numRef>
          </c:val>
          <c:extLst>
            <c:ext xmlns:c16="http://schemas.microsoft.com/office/drawing/2014/chart" uri="{C3380CC4-5D6E-409C-BE32-E72D297353CC}">
              <c16:uniqueId val="{00000011-FC92-45CE-8BE1-9D6F2DFD1314}"/>
            </c:ext>
          </c:extLst>
        </c:ser>
        <c:ser>
          <c:idx val="18"/>
          <c:order val="18"/>
          <c:tx>
            <c:strRef>
              <c:f>Hoja1!$A$21:$B$21</c:f>
              <c:strCache>
                <c:ptCount val="2"/>
                <c:pt idx="1">
                  <c:v>-0,5</c:v>
                </c:pt>
              </c:strCache>
            </c:strRef>
          </c:tx>
          <c:spPr>
            <a:solidFill>
              <a:schemeClr val="accent1">
                <a:lumMod val="8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Hoja1!$C$21:$V$21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7.41393E-3</c:v>
                </c:pt>
                <c:pt idx="19">
                  <c:v>0</c:v>
                </c:pt>
              </c:numCache>
            </c:numRef>
          </c:val>
          <c:extLst>
            <c:ext xmlns:c16="http://schemas.microsoft.com/office/drawing/2014/chart" uri="{C3380CC4-5D6E-409C-BE32-E72D297353CC}">
              <c16:uniqueId val="{00000012-FC92-45CE-8BE1-9D6F2DFD1314}"/>
            </c:ext>
          </c:extLst>
        </c:ser>
        <c:ser>
          <c:idx val="19"/>
          <c:order val="19"/>
          <c:tx>
            <c:strRef>
              <c:f>Hoja1!$A$22:$B$22</c:f>
              <c:strCache>
                <c:ptCount val="2"/>
                <c:pt idx="1">
                  <c:v>0,0</c:v>
                </c:pt>
              </c:strCache>
            </c:strRef>
          </c:tx>
          <c:spPr>
            <a:solidFill>
              <a:schemeClr val="accent2">
                <a:lumMod val="80000"/>
              </a:schemeClr>
            </a:solidFill>
            <a:ln/>
            <a:effectLst/>
            <a:sp3d/>
          </c:spPr>
          <c:cat>
            <c:strRef>
              <c:f>Hoja1!$C$1:$V$2</c:f>
              <c:strCache>
                <c:ptCount val="20"/>
                <c:pt idx="0">
                  <c:v>-10,0</c:v>
                </c:pt>
                <c:pt idx="1">
                  <c:v>-9,5</c:v>
                </c:pt>
                <c:pt idx="2">
                  <c:v>-8,9</c:v>
                </c:pt>
                <c:pt idx="3">
                  <c:v>-8,4</c:v>
                </c:pt>
                <c:pt idx="4">
                  <c:v>-7,9</c:v>
                </c:pt>
                <c:pt idx="5">
                  <c:v>-7,4</c:v>
                </c:pt>
                <c:pt idx="6">
                  <c:v>-6,8</c:v>
                </c:pt>
                <c:pt idx="7">
                  <c:v>-6,3</c:v>
                </c:pt>
                <c:pt idx="8">
                  <c:v>-5,8</c:v>
                </c:pt>
                <c:pt idx="9">
                  <c:v>-5,3</c:v>
                </c:pt>
                <c:pt idx="10">
                  <c:v>-4,7</c:v>
                </c:pt>
                <c:pt idx="11">
                  <c:v>-4,2</c:v>
                </c:pt>
                <c:pt idx="12">
                  <c:v>-3,7</c:v>
                </c:pt>
                <c:pt idx="13">
                  <c:v>-3,2</c:v>
                </c:pt>
                <c:pt idx="14">
                  <c:v>-2,6</c:v>
                </c:pt>
                <c:pt idx="15">
                  <c:v>-2,1</c:v>
                </c:pt>
                <c:pt idx="16">
                  <c:v>-1,6</c:v>
                </c:pt>
                <c:pt idx="17">
                  <c:v>-1,1</c:v>
                </c:pt>
                <c:pt idx="18">
                  <c:v>-0,5</c:v>
                </c:pt>
                <c:pt idx="19">
                  <c:v>0,0</c:v>
                </c:pt>
              </c:strCache>
            </c:strRef>
          </c:cat>
          <c:val>
            <c:numRef>
              <c:f>Hoja1!$C$22:$V$22</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13-FC92-45CE-8BE1-9D6F2DFD1314}"/>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22751776"/>
        <c:axId val="776855648"/>
        <c:axId val="924375584"/>
      </c:surfaceChart>
      <c:catAx>
        <c:axId val="92275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qO</a:t>
                </a:r>
                <a:r>
                  <a:rPr lang="es-CL" baseline="-25000"/>
                  <a:t>2</a:t>
                </a:r>
                <a:r>
                  <a:rPr lang="es-CL"/>
                  <a:t>(mmol/gDCW h)</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76855648"/>
        <c:crosses val="autoZero"/>
        <c:auto val="1"/>
        <c:lblAlgn val="ctr"/>
        <c:lblOffset val="100"/>
        <c:noMultiLvlLbl val="0"/>
      </c:catAx>
      <c:valAx>
        <c:axId val="77685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µ(h</a:t>
                </a:r>
                <a:r>
                  <a:rPr lang="es-CL" baseline="30000"/>
                  <a:t>-1</a:t>
                </a:r>
                <a:r>
                  <a:rPr lang="es-CL"/>
                  <a:t>)</a:t>
                </a:r>
              </a:p>
            </c:rich>
          </c:tx>
          <c:overlay val="0"/>
          <c:spPr>
            <a:noFill/>
            <a:ln>
              <a:noFill/>
            </a:ln>
            <a:effectLst/>
          </c:sp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22751776"/>
        <c:crosses val="autoZero"/>
        <c:crossBetween val="midCat"/>
      </c:valAx>
      <c:serAx>
        <c:axId val="924375584"/>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qmet (mmol/gDCWh)</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76855648"/>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txPr>
    <a:bodyPr/>
    <a:lstStyle/>
    <a:p>
      <a:pPr>
        <a:defRPr/>
      </a:pPr>
      <a:endParaRPr lang="es-CL"/>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78A34-741B-4186-BDDF-AAF4A97C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Pages>
  <Words>5274</Words>
  <Characters>29007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6</cp:revision>
  <dcterms:created xsi:type="dcterms:W3CDTF">2018-11-12T00:32:00Z</dcterms:created>
  <dcterms:modified xsi:type="dcterms:W3CDTF">2018-11-13T20:48:00Z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441adfd5-ab30-3683-9e3e-647b148dcdc5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