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905" w:rsidRDefault="00785905" w:rsidP="0057072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</w:pPr>
      <w:bookmarkStart w:id="0" w:name="_GoBack"/>
      <w:bookmarkEnd w:id="0"/>
      <w:r w:rsidRPr="007859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  <w:t>PAPEL DE TRABAJO: INFORMACIÓN CONTABLE, PRESUPUESTARIA Y FINANCIERA</w:t>
      </w:r>
    </w:p>
    <w:p w:rsidR="0057072E" w:rsidRPr="00785905" w:rsidRDefault="0057072E" w:rsidP="0057072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</w:pPr>
    </w:p>
    <w:p w:rsidR="00785905" w:rsidRPr="00785905" w:rsidRDefault="00785905" w:rsidP="00785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785905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Archivo Permanente - Auditoría Financiera</w:t>
      </w:r>
    </w:p>
    <w:p w:rsidR="00785905" w:rsidRPr="00785905" w:rsidRDefault="00785905" w:rsidP="00785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8590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Código de Referencia:</w:t>
      </w:r>
      <w:r w:rsidRPr="0078590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AP-ICF-001</w:t>
      </w:r>
      <w:r w:rsidRPr="0078590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78590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Cliente:</w:t>
      </w:r>
      <w:r w:rsidRPr="0078590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Comercial Express, S.A.</w:t>
      </w:r>
      <w:r w:rsidRPr="0078590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78590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Período auditado:</w:t>
      </w:r>
      <w:r w:rsidRPr="0078590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Ejercicio 2025</w:t>
      </w:r>
      <w:r w:rsidRPr="0078590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78590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Preparado por:</w:t>
      </w:r>
      <w:r w:rsidRPr="0078590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Carlos Mendoza, Auditor Senior</w:t>
      </w:r>
      <w:r w:rsidRPr="0078590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78590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 de preparación:</w:t>
      </w:r>
      <w:r w:rsidRPr="0078590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22 de mayo de 2025</w:t>
      </w:r>
      <w:r w:rsidRPr="0078590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78590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Revisado por:</w:t>
      </w:r>
      <w:r w:rsidRPr="0078590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María González, Gerente de Auditoría</w:t>
      </w:r>
      <w:r w:rsidRPr="0078590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78590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 de revisión:</w:t>
      </w:r>
      <w:r w:rsidRPr="0078590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23 de mayo de 2025</w:t>
      </w:r>
    </w:p>
    <w:p w:rsidR="00785905" w:rsidRPr="00785905" w:rsidRDefault="00785905" w:rsidP="0078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85905" w:rsidRPr="00785905" w:rsidRDefault="00785905" w:rsidP="00785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785905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1. INFORMACIÓN CONTABLE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5888"/>
      </w:tblGrid>
      <w:tr w:rsidR="00785905" w:rsidRPr="00785905" w:rsidTr="008B63A9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Aspecto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</w:tr>
      <w:tr w:rsidR="00785905" w:rsidRPr="00785905" w:rsidTr="00847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Marco Contable</w:t>
            </w:r>
          </w:p>
        </w:tc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Normas Internacionales de Información Financiera (NIIF)</w:t>
            </w:r>
          </w:p>
        </w:tc>
      </w:tr>
      <w:tr w:rsidR="00785905" w:rsidRPr="00785905" w:rsidTr="00847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Sistema Contable</w:t>
            </w:r>
          </w:p>
        </w:tc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SAP Business 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One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v10.0, implementado en enero 2022</w:t>
            </w:r>
          </w:p>
        </w:tc>
      </w:tr>
      <w:tr w:rsidR="00785905" w:rsidRPr="00785905" w:rsidTr="00847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Estructura Contable</w:t>
            </w:r>
          </w:p>
        </w:tc>
        <w:tc>
          <w:tcPr>
            <w:tcW w:w="0" w:type="auto"/>
            <w:vAlign w:val="center"/>
            <w:hideMark/>
          </w:tcPr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Contabilidad central: Sede Guatemala</w:t>
            </w:r>
          </w:p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Consolidación: Mensual con El Salvador</w:t>
            </w:r>
          </w:p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Moneda funcional: Quetzal (GTQ)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Plan de cuentas: Corporativo estandarizado</w:t>
            </w:r>
          </w:p>
        </w:tc>
      </w:tr>
      <w:tr w:rsidR="00785905" w:rsidRPr="00785905" w:rsidTr="00847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Políticas Contables Significativas</w:t>
            </w:r>
          </w:p>
        </w:tc>
        <w:tc>
          <w:tcPr>
            <w:tcW w:w="0" w:type="auto"/>
            <w:vAlign w:val="center"/>
            <w:hideMark/>
          </w:tcPr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Inventarios: Costo promedio, prueba VNR trimestral</w:t>
            </w:r>
          </w:p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Activos fijos: Modelo de costo, revisión anual de vida útil</w:t>
            </w:r>
          </w:p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Ingresos: Reconocimiento en punto de venta/entrega</w:t>
            </w:r>
          </w:p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Deterioro: Evaluación anual para activos no corrientes</w:t>
            </w:r>
          </w:p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Arrendamientos: Aplicación NIIF 16, revisión anual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Provisiones: Metodología documentada para garantías y devoluciones</w:t>
            </w:r>
          </w:p>
        </w:tc>
      </w:tr>
      <w:tr w:rsidR="00785905" w:rsidRPr="00785905" w:rsidTr="00847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Ciclo Contable</w:t>
            </w:r>
          </w:p>
        </w:tc>
        <w:tc>
          <w:tcPr>
            <w:tcW w:w="0" w:type="auto"/>
            <w:vAlign w:val="center"/>
            <w:hideMark/>
          </w:tcPr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Cierre mensual: Día 10 del mes siguiente</w:t>
            </w:r>
          </w:p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Pre-cierre: Día 5 con revisión preliminar</w:t>
            </w:r>
          </w:p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Cierre anual: 20 de enero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Auditoría externa: Febrero-marzo</w:t>
            </w:r>
          </w:p>
        </w:tc>
      </w:tr>
      <w:tr w:rsidR="00785905" w:rsidRPr="00785905" w:rsidTr="00847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lastRenderedPageBreak/>
              <w:t>Reportes Contables</w:t>
            </w:r>
          </w:p>
        </w:tc>
        <w:tc>
          <w:tcPr>
            <w:tcW w:w="0" w:type="auto"/>
            <w:vAlign w:val="center"/>
            <w:hideMark/>
          </w:tcPr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Internos: Estados financieros mensuales gerenciales</w:t>
            </w:r>
          </w:p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Externos: EF anuales auditados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Regulatorios: Declaraciones tributarias y mercantiles</w:t>
            </w:r>
          </w:p>
        </w:tc>
      </w:tr>
      <w:tr w:rsidR="00785905" w:rsidRPr="00785905" w:rsidTr="00847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Responsables</w:t>
            </w:r>
          </w:p>
        </w:tc>
        <w:tc>
          <w:tcPr>
            <w:tcW w:w="0" w:type="auto"/>
            <w:vAlign w:val="center"/>
            <w:hideMark/>
          </w:tcPr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Director Financiero: Ana Ramírez Torres</w:t>
            </w:r>
          </w:p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Contador General: Pedro Juárez Solís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Jefe de Impuestos: José Chávez Rodríguez</w:t>
            </w:r>
          </w:p>
        </w:tc>
      </w:tr>
      <w:tr w:rsidR="00785905" w:rsidRPr="00785905" w:rsidTr="00847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Controles Contables Clave</w:t>
            </w:r>
          </w:p>
        </w:tc>
        <w:tc>
          <w:tcPr>
            <w:tcW w:w="0" w:type="auto"/>
            <w:vAlign w:val="center"/>
            <w:hideMark/>
          </w:tcPr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Conciliaciones bancarias: Diarias</w:t>
            </w:r>
          </w:p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Análisis de cuentas: Mensual</w:t>
            </w:r>
          </w:p>
          <w:p w:rsidR="0084260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Inventarios: Conteos cíclicos semanales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Revisión analítica: Mensual (variaciones &gt;10%)</w:t>
            </w:r>
          </w:p>
        </w:tc>
      </w:tr>
      <w:tr w:rsidR="00785905" w:rsidRPr="00785905" w:rsidTr="00847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Juicios y Estimaciones Críticas</w:t>
            </w:r>
          </w:p>
        </w:tc>
        <w:tc>
          <w:tcPr>
            <w:tcW w:w="0" w:type="auto"/>
            <w:vAlign w:val="center"/>
            <w:hideMark/>
          </w:tcPr>
          <w:p w:rsidR="0033791B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Provisión obsolescencia inventarios: Modelo antigüedad + rotación</w:t>
            </w:r>
          </w:p>
          <w:p w:rsidR="0033791B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Estimación devoluciones y garantías: Histórico 12 meses</w:t>
            </w:r>
          </w:p>
          <w:p w:rsidR="0033791B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Deterioro de activos: Evaluación anual según flujos descontados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Provisión cuentas incobrables: Matriz antigüedad</w:t>
            </w:r>
          </w:p>
        </w:tc>
      </w:tr>
    </w:tbl>
    <w:p w:rsidR="00785905" w:rsidRPr="00785905" w:rsidRDefault="00857DBA" w:rsidP="0078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5" style="width:0;height:1.5pt" o:hralign="center" o:hrstd="t" o:hr="t" fillcolor="#a0a0a0" stroked="f"/>
        </w:pict>
      </w:r>
    </w:p>
    <w:p w:rsidR="00785905" w:rsidRPr="00785905" w:rsidRDefault="00785905" w:rsidP="00785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785905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2. INFORMACIÓN PRESUPUESTARIA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5850"/>
      </w:tblGrid>
      <w:tr w:rsidR="00785905" w:rsidRPr="00785905" w:rsidTr="00B66CE3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Aspecto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Proceso Presupuestario</w:t>
            </w:r>
          </w:p>
        </w:tc>
        <w:tc>
          <w:tcPr>
            <w:tcW w:w="0" w:type="auto"/>
            <w:vAlign w:val="center"/>
            <w:hideMark/>
          </w:tcPr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Ciclo anual: Inicia en septiembre, aprobación en diciembre</w:t>
            </w:r>
          </w:p>
          <w:p w:rsidR="00B66CE3" w:rsidRP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GT"/>
              </w:rPr>
            </w:pPr>
            <w:r w:rsidRPr="00B66C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GT"/>
              </w:rPr>
              <w:t>&lt;</w:t>
            </w:r>
            <w:proofErr w:type="spellStart"/>
            <w:r w:rsidRPr="00B66C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GT"/>
              </w:rPr>
              <w:t>br</w:t>
            </w:r>
            <w:proofErr w:type="spellEnd"/>
            <w:r w:rsidRPr="00B66C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GT"/>
              </w:rPr>
              <w:t xml:space="preserve">&gt;• </w:t>
            </w:r>
            <w:proofErr w:type="spellStart"/>
            <w:r w:rsidRPr="00B66C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GT"/>
              </w:rPr>
              <w:t>Enfoque</w:t>
            </w:r>
            <w:proofErr w:type="spellEnd"/>
            <w:r w:rsidRPr="00B66C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GT"/>
              </w:rPr>
              <w:t xml:space="preserve">: Bottom-up con </w:t>
            </w:r>
            <w:proofErr w:type="spellStart"/>
            <w:r w:rsidRPr="00B66C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GT"/>
              </w:rPr>
              <w:t>ajustes</w:t>
            </w:r>
            <w:proofErr w:type="spellEnd"/>
            <w:r w:rsidRPr="00B66C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GT"/>
              </w:rPr>
              <w:t xml:space="preserve"> top-down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Revisiones: Trimestrales con actualización de proyecciones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Estructura Presupuestaria</w:t>
            </w:r>
          </w:p>
        </w:tc>
        <w:tc>
          <w:tcPr>
            <w:tcW w:w="0" w:type="auto"/>
            <w:vAlign w:val="center"/>
            <w:hideMark/>
          </w:tcPr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Por unidad de negocio: 8 tiendas, e-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commerce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, mayoreo, corporativo</w:t>
            </w:r>
          </w:p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&gt;• Por categoría de producto: 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Smartphones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, computación, electrodomésticos, audio/video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Por centro de costo: 12 centros principales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Presupuesto 2025</w:t>
            </w:r>
          </w:p>
        </w:tc>
        <w:tc>
          <w:tcPr>
            <w:tcW w:w="0" w:type="auto"/>
            <w:vAlign w:val="center"/>
            <w:hideMark/>
          </w:tcPr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Cifras clave (millones </w:t>
            </w:r>
            <w:proofErr w:type="gramStart"/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GTQ):</w:t>
            </w: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proofErr w:type="gram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Ventas totales: 142.0</w:t>
            </w:r>
          </w:p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Margen bruto: 59.6 (42.0%)</w:t>
            </w:r>
          </w:p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Gastos operativos: 40.2 (28.3%)</w:t>
            </w:r>
          </w:p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EBITDA: 17.8 (12.5%)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Utilidad neta: 11.5 (8.1%)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Principales 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KPIs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 Presupuestarios</w:t>
            </w:r>
          </w:p>
        </w:tc>
        <w:tc>
          <w:tcPr>
            <w:tcW w:w="0" w:type="auto"/>
            <w:vAlign w:val="center"/>
            <w:hideMark/>
          </w:tcPr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Crecimiento ventas: +10.4% vs 2024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Mejora margen bruto: +1.5 puntos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Eficiencia operativa: -0.9 puntos en gastos/ventas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Crecimiento EBITDA: +15.6%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lastRenderedPageBreak/>
              <w:t>Inversiones Presupuestadas (CAPEX)</w:t>
            </w:r>
          </w:p>
        </w:tc>
        <w:tc>
          <w:tcPr>
            <w:tcW w:w="0" w:type="auto"/>
            <w:vAlign w:val="center"/>
            <w:hideMark/>
          </w:tcPr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Total 2025: Q4.55 millones</w:t>
            </w:r>
          </w:p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Renovación equipos POS: Q0.65M</w:t>
            </w:r>
          </w:p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Ampliación almacén: Q1.20M</w:t>
            </w:r>
          </w:p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Nueva tienda: Q0.85M</w:t>
            </w:r>
          </w:p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Actualización SAP: Q0.75M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Renovación flota: Q1.10M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 Presupuestario</w:t>
            </w:r>
          </w:p>
        </w:tc>
        <w:tc>
          <w:tcPr>
            <w:tcW w:w="0" w:type="auto"/>
            <w:vAlign w:val="center"/>
            <w:hideMark/>
          </w:tcPr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Informes de ejecución: Mensuales</w:t>
            </w:r>
          </w:p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Análisis de variaciones: Causas e impactos&lt;</w:t>
            </w:r>
          </w:p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Reasignaciones: Aprobación por Comité Ejecutivo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&gt;• Proyecciones actualizadas: Rolling 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forecast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trimestral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Responsables</w:t>
            </w:r>
          </w:p>
        </w:tc>
        <w:tc>
          <w:tcPr>
            <w:tcW w:w="0" w:type="auto"/>
            <w:vAlign w:val="center"/>
            <w:hideMark/>
          </w:tcPr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Director Financiero: Ana Ramírez Torres</w:t>
            </w:r>
          </w:p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Jefe de Presupuesto: Martín Velásquez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Gerentes de área: Responsables de ejecución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Flujo de Caja Proyectado 2025</w:t>
            </w:r>
          </w:p>
        </w:tc>
        <w:tc>
          <w:tcPr>
            <w:tcW w:w="0" w:type="auto"/>
            <w:vAlign w:val="center"/>
            <w:hideMark/>
          </w:tcPr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Entradas operativas: Q146.5M</w:t>
            </w:r>
          </w:p>
          <w:p w:rsidR="00B66CE3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Salidas operativas: Q134.8M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Flujo operativo neto: Q11.7M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Inversiones (CAPEX): Q4.6M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Financiamiento neto: -Q2.5M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Flujo neto: Q4.6M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Supuestos Críticos</w:t>
            </w:r>
          </w:p>
        </w:tc>
        <w:tc>
          <w:tcPr>
            <w:tcW w:w="0" w:type="auto"/>
            <w:vAlign w:val="center"/>
            <w:hideMark/>
          </w:tcPr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Inflación anual: 3.2%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Tipo de cambio promedio: Q7.85/USD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Crecimiento mercado electrónica: 8.5%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Participación mercado: 18.5% (+0.5%)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Índice de rotación laboral: 14%</w:t>
            </w:r>
          </w:p>
        </w:tc>
      </w:tr>
    </w:tbl>
    <w:p w:rsidR="00785905" w:rsidRPr="00785905" w:rsidRDefault="00857DBA" w:rsidP="0078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6" style="width:0;height:1.5pt" o:hralign="center" o:hrstd="t" o:hr="t" fillcolor="#a0a0a0" stroked="f"/>
        </w:pict>
      </w:r>
    </w:p>
    <w:p w:rsidR="00785905" w:rsidRPr="00785905" w:rsidRDefault="00785905" w:rsidP="00785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785905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3. INFORMACIÓN FINANCIERA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5981"/>
      </w:tblGrid>
      <w:tr w:rsidR="00785905" w:rsidRPr="00785905" w:rsidTr="00D9394D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Aspecto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Estructura Financiera</w:t>
            </w:r>
          </w:p>
        </w:tc>
        <w:tc>
          <w:tcPr>
            <w:tcW w:w="0" w:type="auto"/>
            <w:vAlign w:val="center"/>
            <w:hideMark/>
          </w:tcPr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Al 31/12/2024 (millones GTQ):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Activos totales: 75.84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Pasivos totales: 45.24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Patrimonio: 30.60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</w:t>
            </w: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Composición activos: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Corrientes: 68% (inventarios 38%, cuentas por cobrar 12%)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No corrientes: 32% (activos fijos 22%, intangibles 8%)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</w:t>
            </w: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Composición pasivos:</w:t>
            </w:r>
          </w:p>
          <w:p w:rsidR="00E94008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Corrientes: 65% (proveedores 45%, impuestos 8%)</w:t>
            </w:r>
          </w:p>
          <w:p w:rsid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No corrientes: 35% (préstamos bancarios 28%)</w:t>
            </w:r>
          </w:p>
          <w:p w:rsidR="00F32AD1" w:rsidRDefault="00F32AD1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  <w:p w:rsidR="00F32AD1" w:rsidRPr="00785905" w:rsidRDefault="00F32AD1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lastRenderedPageBreak/>
              <w:t>Financiamiento</w:t>
            </w:r>
          </w:p>
        </w:tc>
        <w:tc>
          <w:tcPr>
            <w:tcW w:w="0" w:type="auto"/>
            <w:vAlign w:val="center"/>
            <w:hideMark/>
          </w:tcPr>
          <w:p w:rsidR="00F32AD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Deuda bancaria (millones GTQ):</w:t>
            </w:r>
          </w:p>
          <w:p w:rsidR="00F32AD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Préstamos largo plazo: 12.85</w:t>
            </w:r>
          </w:p>
          <w:p w:rsidR="00F32AD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Líneas de crédito corto plazo: 4.50</w:t>
            </w:r>
          </w:p>
          <w:p w:rsidR="00F32AD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Leasing financiero: 2.10</w:t>
            </w:r>
          </w:p>
          <w:p w:rsidR="00F32AD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</w:t>
            </w: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Condiciones:</w:t>
            </w:r>
          </w:p>
          <w:p w:rsidR="00F32AD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Tasas: 6.5%-8.2%</w:t>
            </w:r>
          </w:p>
          <w:p w:rsidR="00F32AD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Plazos: 1-5 años</w:t>
            </w:r>
          </w:p>
          <w:p w:rsidR="00F32AD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Garantías: Hipotecarias y prendarias</w:t>
            </w:r>
          </w:p>
          <w:p w:rsidR="00F32AD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</w:t>
            </w: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Restricciones financieras (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covenants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):</w:t>
            </w:r>
          </w:p>
          <w:p w:rsidR="00F32AD1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&gt;• Deuda/EBITDA 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máx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: 3.0x (actual 1.1x)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&gt;• Cobertura intereses 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mín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: 4.0x (actual 8.5x)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Indicadores Financieros</w:t>
            </w:r>
          </w:p>
        </w:tc>
        <w:tc>
          <w:tcPr>
            <w:tcW w:w="0" w:type="auto"/>
            <w:vAlign w:val="center"/>
            <w:hideMark/>
          </w:tcPr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Liquidez: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Corriente: 1.78x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Prueba ácida: 0.92x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</w:t>
            </w: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Eficiencia: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Rotación inventarios: 5.8x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&gt;• Días 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CxC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: 22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&gt;• Días 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CxP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: 64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Ciclo conversión efectivo: 42 días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</w:t>
            </w: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Rentabilidad: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Margen bruto: 40.5%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Margen EBITDA: 12.0%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ROA: 12.8%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ROE: 31.8%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Análisis de Tendencias</w:t>
            </w:r>
          </w:p>
        </w:tc>
        <w:tc>
          <w:tcPr>
            <w:tcW w:w="0" w:type="auto"/>
            <w:vAlign w:val="center"/>
            <w:hideMark/>
          </w:tcPr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Evolución 2022-2024 (Crecimiento anual compuesto):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Ventas: +14.2%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EBITDA: +16.8%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Utilidad neta: +24.9%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Activos: +12.7%</w:t>
            </w:r>
          </w:p>
          <w:p w:rsidR="009A15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Pasivos: +12.4%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Patrimonio: +13.0%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Inversiones y Desinversiones</w:t>
            </w:r>
          </w:p>
        </w:tc>
        <w:tc>
          <w:tcPr>
            <w:tcW w:w="0" w:type="auto"/>
            <w:vAlign w:val="center"/>
            <w:hideMark/>
          </w:tcPr>
          <w:p w:rsidR="0054008D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Principales inversiones 2022-2024:</w:t>
            </w:r>
          </w:p>
          <w:p w:rsidR="0054008D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&gt;• SAP Business 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One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(2022): Q3.2M</w:t>
            </w:r>
          </w:p>
          <w:p w:rsidR="0054008D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Renovación tiendas (2023): Q2.8M</w:t>
            </w:r>
          </w:p>
          <w:p w:rsidR="0054008D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Plataforma e-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commerce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(2024): Q1.5M</w:t>
            </w:r>
          </w:p>
          <w:p w:rsidR="0054008D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Flota distribución (2024): Q1.8M</w:t>
            </w:r>
          </w:p>
          <w:p w:rsidR="0054008D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</w:t>
            </w: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Desinversiones: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Ninguna significativa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Política de Dividendos</w:t>
            </w:r>
          </w:p>
        </w:tc>
        <w:tc>
          <w:tcPr>
            <w:tcW w:w="0" w:type="auto"/>
            <w:vAlign w:val="center"/>
            <w:hideMark/>
          </w:tcPr>
          <w:p w:rsidR="0054008D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Distribución: 30% utilidad neta anual</w:t>
            </w:r>
          </w:p>
          <w:p w:rsidR="0054008D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Frecuencia: Anual (abril)</w:t>
            </w:r>
          </w:p>
          <w:p w:rsid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Dividendos 2024: Q2.92M (Q292 por acción)</w:t>
            </w:r>
          </w:p>
          <w:p w:rsidR="0054008D" w:rsidRPr="00785905" w:rsidRDefault="0054008D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lastRenderedPageBreak/>
              <w:t>Bancos y Líneas de Crédito</w:t>
            </w:r>
          </w:p>
        </w:tc>
        <w:tc>
          <w:tcPr>
            <w:tcW w:w="0" w:type="auto"/>
            <w:vAlign w:val="center"/>
            <w:hideMark/>
          </w:tcPr>
          <w:p w:rsidR="0054008D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Bancos principales:</w:t>
            </w:r>
          </w:p>
          <w:p w:rsidR="004838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Banco Industrial: Créditos LP, líneas operativas</w:t>
            </w:r>
          </w:p>
          <w:p w:rsidR="004838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Banco G&amp;T: Líneas importación, garantías</w:t>
            </w:r>
          </w:p>
          <w:p w:rsidR="004838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Banrural: Cuentas operativas</w:t>
            </w:r>
          </w:p>
          <w:p w:rsidR="004838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</w:t>
            </w: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Líneas disponibles (millones GTQ):</w:t>
            </w:r>
          </w:p>
          <w:p w:rsidR="004838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Operativas: 10.0 (utilizado 45%)</w:t>
            </w:r>
          </w:p>
          <w:p w:rsidR="004838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Importación: 8.0 (utilizado 25%)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Cartas crédito: 5.0 (utilizado 30%)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Contingencias Financieras</w:t>
            </w:r>
          </w:p>
        </w:tc>
        <w:tc>
          <w:tcPr>
            <w:tcW w:w="0" w:type="auto"/>
            <w:vAlign w:val="center"/>
            <w:hideMark/>
          </w:tcPr>
          <w:p w:rsidR="004838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Litigios: Dos demandas laborales (provisión Q75,000)</w:t>
            </w:r>
          </w:p>
          <w:p w:rsidR="004838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Garantías emitidas: Fianza operativa El Salvador (Q500,000)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Demandas fiscales: Ninguna</w:t>
            </w:r>
          </w:p>
        </w:tc>
      </w:tr>
      <w:tr w:rsidR="00785905" w:rsidRPr="00785905" w:rsidTr="00616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Calificación Crediticia</w:t>
            </w:r>
          </w:p>
        </w:tc>
        <w:tc>
          <w:tcPr>
            <w:tcW w:w="0" w:type="auto"/>
            <w:vAlign w:val="center"/>
            <w:hideMark/>
          </w:tcPr>
          <w:p w:rsidR="004838EC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• Local: AA- (PCR Guatemala, marzo 2025)</w:t>
            </w:r>
          </w:p>
          <w:p w:rsidR="00785905" w:rsidRPr="00785905" w:rsidRDefault="00785905" w:rsidP="00785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</w:t>
            </w:r>
            <w:proofErr w:type="spellStart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78590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&gt;• Perspectiva: Estable</w:t>
            </w:r>
          </w:p>
        </w:tc>
      </w:tr>
    </w:tbl>
    <w:p w:rsidR="00785905" w:rsidRPr="00785905" w:rsidRDefault="00785905" w:rsidP="0078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85905" w:rsidRPr="00785905" w:rsidRDefault="00785905" w:rsidP="00785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785905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4. CONCLUSIÓN DEL AUDITOR</w:t>
      </w:r>
    </w:p>
    <w:p w:rsidR="00785905" w:rsidRPr="00785905" w:rsidRDefault="00785905" w:rsidP="00616A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85905">
        <w:rPr>
          <w:rFonts w:ascii="Times New Roman" w:eastAsia="Times New Roman" w:hAnsi="Times New Roman" w:cs="Times New Roman"/>
          <w:sz w:val="24"/>
          <w:szCs w:val="24"/>
          <w:lang w:eastAsia="es-GT"/>
        </w:rPr>
        <w:t>La revisión de la información contable, presupuestaria y financiera de Comercial Express, S.A. muestra una entidad con políticas contables alineadas a NIIF y un sistema adecuado de generación de información financiera. La empresa presenta una tendencia positiva en sus indicadores financieros con crecimiento sostenido en ventas y rentabilidad. El proceso presupuestario es sistemático y las proyecciones para 2025 muestran metas desafiantes pero alcanzables. La estructura financiera es equilibrada con niveles razonables de apalancamiento y liquidez. Esta información constituye una base sólida para la planificación de la auditoría financiera, particularmente en la identificación de áreas de riesgo como inventarios, estimaciones contables y reconocimiento de ingresos.</w:t>
      </w:r>
    </w:p>
    <w:p w:rsidR="00785905" w:rsidRPr="00785905" w:rsidRDefault="00785905" w:rsidP="00616A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85905" w:rsidRPr="00785905" w:rsidRDefault="00785905" w:rsidP="00785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85905">
        <w:rPr>
          <w:rFonts w:ascii="Times New Roman" w:eastAsia="Times New Roman" w:hAnsi="Times New Roman" w:cs="Times New Roman"/>
          <w:i/>
          <w:iCs/>
          <w:sz w:val="24"/>
          <w:szCs w:val="24"/>
          <w:lang w:eastAsia="es-GT"/>
        </w:rPr>
        <w:t>Este papel de trabajo ha sido preparado de conformidad con las Normas Internacionales de Auditoría, específicamente la NIA 315 "Identificación y valoración de los riesgos de incorrección material mediante el conocimiento de la entidad y de su entorno".</w:t>
      </w:r>
    </w:p>
    <w:p w:rsidR="00BB4341" w:rsidRDefault="00BB4341"/>
    <w:sectPr w:rsidR="00BB4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05"/>
    <w:rsid w:val="003374A0"/>
    <w:rsid w:val="0033791B"/>
    <w:rsid w:val="004838EC"/>
    <w:rsid w:val="0054008D"/>
    <w:rsid w:val="0057072E"/>
    <w:rsid w:val="00616AD9"/>
    <w:rsid w:val="00785905"/>
    <w:rsid w:val="00842601"/>
    <w:rsid w:val="008474DA"/>
    <w:rsid w:val="00857DBA"/>
    <w:rsid w:val="008B63A9"/>
    <w:rsid w:val="009A15EC"/>
    <w:rsid w:val="00B66CE3"/>
    <w:rsid w:val="00BB4341"/>
    <w:rsid w:val="00D9394D"/>
    <w:rsid w:val="00E94008"/>
    <w:rsid w:val="00F3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97EB"/>
  <w15:chartTrackingRefBased/>
  <w15:docId w15:val="{8C29C792-B99F-4179-9414-47364C4E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85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paragraph" w:styleId="Ttulo2">
    <w:name w:val="heading 2"/>
    <w:basedOn w:val="Normal"/>
    <w:link w:val="Ttulo2Car"/>
    <w:uiPriority w:val="9"/>
    <w:qFormat/>
    <w:rsid w:val="00785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905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785905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customStyle="1" w:styleId="whitespace-normal">
    <w:name w:val="whitespace-normal"/>
    <w:basedOn w:val="Normal"/>
    <w:rsid w:val="0078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785905"/>
    <w:rPr>
      <w:b/>
      <w:bCs/>
    </w:rPr>
  </w:style>
  <w:style w:type="character" w:styleId="nfasis">
    <w:name w:val="Emphasis"/>
    <w:basedOn w:val="Fuentedeprrafopredeter"/>
    <w:uiPriority w:val="20"/>
    <w:qFormat/>
    <w:rsid w:val="00785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17</cp:revision>
  <dcterms:created xsi:type="dcterms:W3CDTF">2025-05-21T22:30:00Z</dcterms:created>
  <dcterms:modified xsi:type="dcterms:W3CDTF">2025-05-27T17:20:00Z</dcterms:modified>
</cp:coreProperties>
</file>