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58A" w:rsidRDefault="0029058A" w:rsidP="0029058A">
      <w:pPr>
        <w:spacing w:after="0" w:line="240" w:lineRule="auto"/>
        <w:ind w:left="548"/>
        <w:jc w:val="both"/>
        <w:rPr>
          <w:b/>
          <w:w w:val="105"/>
          <w:sz w:val="19"/>
        </w:rPr>
      </w:pPr>
      <w:r>
        <w:rPr>
          <w:b/>
          <w:noProof/>
          <w:sz w:val="19"/>
          <w:lang w:eastAsia="es-GT"/>
        </w:rPr>
        <mc:AlternateContent>
          <mc:Choice Requires="wps">
            <w:drawing>
              <wp:anchor distT="0" distB="0" distL="114300" distR="114300" simplePos="0" relativeHeight="251659264" behindDoc="0" locked="0" layoutInCell="1" allowOverlap="1" wp14:anchorId="3D81BC08" wp14:editId="35174304">
                <wp:simplePos x="0" y="0"/>
                <wp:positionH relativeFrom="column">
                  <wp:posOffset>4996815</wp:posOffset>
                </wp:positionH>
                <wp:positionV relativeFrom="paragraph">
                  <wp:posOffset>-194945</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29058A" w:rsidRPr="00F95A4E" w:rsidRDefault="00344EC8" w:rsidP="0029058A">
                            <w:pPr>
                              <w:jc w:val="center"/>
                              <w:rPr>
                                <w:b/>
                                <w:color w:val="C00000"/>
                                <w:sz w:val="30"/>
                                <w:szCs w:val="30"/>
                              </w:rPr>
                            </w:pPr>
                            <w:r w:rsidRPr="00344EC8">
                              <w:rPr>
                                <w:b/>
                                <w:color w:val="C00000"/>
                                <w:sz w:val="30"/>
                                <w:szCs w:val="30"/>
                              </w:rPr>
                              <w:t>PL-7.4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81BC08" id="_x0000_t202" coordsize="21600,21600" o:spt="202" path="m,l,21600r21600,l21600,xe">
                <v:stroke joinstyle="miter"/>
                <v:path gradientshapeok="t" o:connecttype="rect"/>
              </v:shapetype>
              <v:shape id="Cuadro de texto 122" o:spid="_x0000_s1026" type="#_x0000_t202" style="position:absolute;left:0;text-align:left;margin-left:393.45pt;margin-top:-15.35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" fillcolor="white [3201]" strokeweight=".5pt">
                <v:textbox>
                  <w:txbxContent>
                    <w:p w:rsidR="0029058A" w:rsidRPr="00F95A4E" w:rsidRDefault="00344EC8" w:rsidP="0029058A">
                      <w:pPr>
                        <w:jc w:val="center"/>
                        <w:rPr>
                          <w:b/>
                          <w:color w:val="C00000"/>
                          <w:sz w:val="30"/>
                          <w:szCs w:val="30"/>
                        </w:rPr>
                      </w:pPr>
                      <w:r w:rsidRPr="00344EC8">
                        <w:rPr>
                          <w:b/>
                          <w:color w:val="C00000"/>
                          <w:sz w:val="30"/>
                          <w:szCs w:val="30"/>
                        </w:rPr>
                        <w:t>PL-7.4</w:t>
                      </w:r>
                    </w:p>
                  </w:txbxContent>
                </v:textbox>
              </v:shape>
            </w:pict>
          </mc:Fallback>
        </mc:AlternateContent>
      </w:r>
      <w:r>
        <w:rPr>
          <w:b/>
          <w:noProof/>
          <w:sz w:val="19"/>
          <w:lang w:eastAsia="es-GT"/>
        </w:rPr>
        <mc:AlternateContent>
          <mc:Choice Requires="wps">
            <w:drawing>
              <wp:anchor distT="0" distB="0" distL="114300" distR="114300" simplePos="0" relativeHeight="251660288" behindDoc="0" locked="0" layoutInCell="1" allowOverlap="1" wp14:anchorId="5872CE90" wp14:editId="476B498C">
                <wp:simplePos x="0" y="0"/>
                <wp:positionH relativeFrom="column">
                  <wp:posOffset>-194310</wp:posOffset>
                </wp:positionH>
                <wp:positionV relativeFrom="paragraph">
                  <wp:posOffset>-194945</wp:posOffset>
                </wp:positionV>
                <wp:extent cx="1457325" cy="52387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1457325" cy="523875"/>
                        </a:xfrm>
                        <a:prstGeom prst="rect">
                          <a:avLst/>
                        </a:prstGeom>
                        <a:solidFill>
                          <a:schemeClr val="lt1"/>
                        </a:solidFill>
                        <a:ln w="6350">
                          <a:solidFill>
                            <a:prstClr val="black"/>
                          </a:solidFill>
                        </a:ln>
                      </wps:spPr>
                      <wps:txbx>
                        <w:txbxContent>
                          <w:p w:rsidR="0029058A" w:rsidRPr="005848A1" w:rsidRDefault="0029058A" w:rsidP="0029058A">
                            <w:pPr>
                              <w:jc w:val="center"/>
                              <w:rPr>
                                <w:b/>
                              </w:rPr>
                            </w:pPr>
                            <w:r w:rsidRPr="005848A1">
                              <w:rPr>
                                <w:b/>
                              </w:rPr>
                              <w:t>LOGO DE LA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72CE90" id="Cuadro de texto 13" o:spid="_x0000_s1027" type="#_x0000_t202" style="position:absolute;left:0;text-align:left;margin-left:-15.3pt;margin-top:-15.35pt;width:114.7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" fillcolor="white [3201]" strokeweight=".5pt">
                <v:textbox>
                  <w:txbxContent>
                    <w:p w:rsidR="0029058A" w:rsidRPr="005848A1" w:rsidRDefault="0029058A" w:rsidP="0029058A">
                      <w:pPr>
                        <w:jc w:val="center"/>
                        <w:rPr>
                          <w:b/>
                        </w:rPr>
                      </w:pPr>
                      <w:r w:rsidRPr="005848A1">
                        <w:rPr>
                          <w:b/>
                        </w:rPr>
                        <w:t>LOGO DE LA ENTIDAD</w:t>
                      </w:r>
                    </w:p>
                  </w:txbxContent>
                </v:textbox>
              </v:shape>
            </w:pict>
          </mc:Fallback>
        </mc:AlternateContent>
      </w:r>
    </w:p>
    <w:p w:rsidR="0029058A" w:rsidRPr="00917361" w:rsidRDefault="0029058A" w:rsidP="0029058A">
      <w:pPr>
        <w:spacing w:after="0" w:line="240" w:lineRule="auto"/>
        <w:ind w:left="548"/>
        <w:jc w:val="center"/>
        <w:rPr>
          <w:rFonts w:ascii="Times New Roman" w:hAnsi="Times New Roman" w:cs="Times New Roman"/>
          <w:b/>
          <w:w w:val="105"/>
          <w:sz w:val="24"/>
          <w:szCs w:val="24"/>
        </w:rPr>
      </w:pPr>
    </w:p>
    <w:p w:rsidR="0029058A" w:rsidRPr="00752B78" w:rsidRDefault="0029058A" w:rsidP="0029058A">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29058A" w:rsidRPr="00752B78" w:rsidRDefault="0029058A" w:rsidP="0029058A">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p>
    <w:p w:rsidR="0029058A" w:rsidRPr="00752B78" w:rsidRDefault="0029058A" w:rsidP="0029058A">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8E2AC8" w:rsidRPr="0029058A" w:rsidRDefault="008E2AC8" w:rsidP="0029058A">
      <w:pPr>
        <w:jc w:val="center"/>
        <w:rPr>
          <w:b/>
          <w:sz w:val="24"/>
          <w:szCs w:val="24"/>
        </w:rPr>
      </w:pPr>
      <w:bookmarkStart w:id="0" w:name="_GoBack"/>
      <w:bookmarkEnd w:id="0"/>
      <w:r w:rsidRPr="0029058A">
        <w:rPr>
          <w:b/>
          <w:sz w:val="24"/>
          <w:szCs w:val="24"/>
        </w:rPr>
        <w:t>Alimentos Deliciosos S.A. y la NIA 501 (Evidencia de Auditoría: Litigios)</w:t>
      </w:r>
    </w:p>
    <w:p w:rsidR="008E2AC8" w:rsidRDefault="008E2AC8" w:rsidP="008E2AC8"/>
    <w:p w:rsidR="008E2AC8" w:rsidRDefault="008E2AC8" w:rsidP="008E2AC8">
      <w:r>
        <w:t>1. Descripción de la Empresa</w:t>
      </w:r>
    </w:p>
    <w:p w:rsidR="008E2AC8" w:rsidRDefault="008E2AC8" w:rsidP="008E2AC8">
      <w:r>
        <w:t>Nombre: Alimentos Deliciosos S.A.</w:t>
      </w:r>
    </w:p>
    <w:p w:rsidR="008E2AC8" w:rsidRDefault="008E2AC8" w:rsidP="008E2AC8">
      <w:r>
        <w:t>Actividad: Producción y distribución de alimentos procesados.</w:t>
      </w:r>
    </w:p>
    <w:p w:rsidR="008E2AC8" w:rsidRDefault="008E2AC8" w:rsidP="008E2AC8">
      <w:r>
        <w:t>Ubicación: Ciudad de México.</w:t>
      </w:r>
    </w:p>
    <w:p w:rsidR="008E2AC8" w:rsidRDefault="008E2AC8" w:rsidP="008E2AC8">
      <w:r>
        <w:t>Historia: Fundada en 2005, Alimentos Deliciosos S.A. ha crecido rápidamente y cuenta con una amplia gama de productos en el mercado, incluyendo salsas, conservas y snacks.</w:t>
      </w:r>
    </w:p>
    <w:p w:rsidR="008E2AC8" w:rsidRDefault="008E2AC8" w:rsidP="008E2AC8">
      <w:r>
        <w:t>2. Contexto del Litigio</w:t>
      </w:r>
    </w:p>
    <w:p w:rsidR="008E2AC8" w:rsidRDefault="008E2AC8" w:rsidP="008E2AC8">
      <w:r>
        <w:t>Situación: Alimentos Deliciosos S.A. está involucrada en un litigio debido a la reclamación de un proveedor que afirma que la empresa incumplió un contrato de suministro de materias primas. El proveedor alega que la empresa no realizó los pagos acordados por un lote de materias primas entregadas.</w:t>
      </w:r>
    </w:p>
    <w:p w:rsidR="008E2AC8" w:rsidRDefault="008E2AC8" w:rsidP="008E2AC8">
      <w:r>
        <w:t>Monto de la reclamación: $500,000.</w:t>
      </w:r>
    </w:p>
    <w:p w:rsidR="008E2AC8" w:rsidRDefault="008E2AC8" w:rsidP="008E2AC8">
      <w:r>
        <w:t>Estado del litigio: En curso, se espera un fallo dentro de seis meses. La empresa ha contratado a un abogado para defenderse en el litigio.</w:t>
      </w:r>
    </w:p>
    <w:p w:rsidR="008E2AC8" w:rsidRDefault="008E2AC8" w:rsidP="008E2AC8">
      <w:r>
        <w:t>3. Objetivo de la Auditoría</w:t>
      </w:r>
    </w:p>
    <w:p w:rsidR="008E2AC8" w:rsidRDefault="008E2AC8" w:rsidP="008E2AC8">
      <w:r>
        <w:t>El objetivo de la auditoría es evaluar la razonabilidad de la revelación y la provisión relacionada con el litigio según la NIA 501, asegurando que se reconozcan y revelen adecuadamente los pasivos contingentes en los estados financieros.</w:t>
      </w:r>
    </w:p>
    <w:p w:rsidR="008E2AC8" w:rsidRDefault="008E2AC8" w:rsidP="008E2AC8"/>
    <w:p w:rsidR="008E2AC8" w:rsidRDefault="008E2AC8" w:rsidP="008E2AC8">
      <w:r>
        <w:t>4. Procedimientos de Auditoría</w:t>
      </w:r>
    </w:p>
    <w:p w:rsidR="008E2AC8" w:rsidRDefault="008E2AC8" w:rsidP="008E2AC8">
      <w:r>
        <w:t>A. Identificación de Riesgos</w:t>
      </w:r>
    </w:p>
    <w:p w:rsidR="008E2AC8" w:rsidRDefault="008E2AC8" w:rsidP="008E2AC8">
      <w:r>
        <w:t>Evaluación del Impacto:</w:t>
      </w:r>
    </w:p>
    <w:p w:rsidR="008E2AC8" w:rsidRDefault="008E2AC8" w:rsidP="008E2AC8">
      <w:r>
        <w:t>Procedimiento: Se revisaron los estados financieros de Alimentos Deliciosos S.A. para determinar el tamaño relativo de la reclamación de $500,000 en comparación con los activos totales de la empresa, que ascienden a $5,000,000.</w:t>
      </w:r>
    </w:p>
    <w:p w:rsidR="008E2AC8" w:rsidRDefault="008E2AC8" w:rsidP="008E2AC8">
      <w:r>
        <w:t>Resultado: La reclamación representa el 10% de los activos totales, lo que indica un riesgo significativo que podría afectar la situación financiera de la empresa.</w:t>
      </w:r>
    </w:p>
    <w:p w:rsidR="008E2AC8" w:rsidRDefault="008E2AC8" w:rsidP="008E2AC8"/>
    <w:p w:rsidR="008E2AC8" w:rsidRDefault="008E2AC8" w:rsidP="008E2AC8"/>
    <w:p w:rsidR="008E2AC8" w:rsidRDefault="008E2AC8" w:rsidP="008E2AC8"/>
    <w:p w:rsidR="008E2AC8" w:rsidRDefault="008E2AC8" w:rsidP="008E2AC8"/>
    <w:p w:rsidR="008E2AC8" w:rsidRDefault="008E2AC8" w:rsidP="008E2AC8">
      <w:r>
        <w:t>Riesgo de Reconocimiento:</w:t>
      </w:r>
    </w:p>
    <w:p w:rsidR="008E2AC8" w:rsidRDefault="008E2AC8" w:rsidP="008E2AC8">
      <w:r>
        <w:t>Procedimiento: Se evaluó la política contable de la empresa para el reconocimiento de pasivos contingentes y se revisaron las notas a los estados financieros del año anterior.</w:t>
      </w:r>
    </w:p>
    <w:p w:rsidR="008E2AC8" w:rsidRDefault="008E2AC8" w:rsidP="008E2AC8">
      <w:r>
        <w:t>Resultado: Se identificó que la empresa no había reconocido ninguna provisión relacionada con el litigio en el ejercicio anterior, lo que plantea un riesgo de que no se reconozcan adecuadamente los pasivos.</w:t>
      </w:r>
    </w:p>
    <w:p w:rsidR="008E2AC8" w:rsidRDefault="008E2AC8" w:rsidP="008E2AC8"/>
    <w:p w:rsidR="008E2AC8" w:rsidRDefault="008E2AC8" w:rsidP="008E2AC8">
      <w:r>
        <w:t>B. Revisión de Documentos</w:t>
      </w:r>
    </w:p>
    <w:p w:rsidR="008E2AC8" w:rsidRDefault="008E2AC8" w:rsidP="008E2AC8">
      <w:r>
        <w:t>Revisión de Documentos</w:t>
      </w:r>
    </w:p>
    <w:p w:rsidR="008E2AC8" w:rsidRDefault="008E2AC8" w:rsidP="008E2AC8">
      <w:r>
        <w:t>Documentación Legal:</w:t>
      </w:r>
    </w:p>
    <w:p w:rsidR="008E2AC8" w:rsidRDefault="008E2AC8" w:rsidP="008E2AC8">
      <w:r>
        <w:t>Procedimiento: Se obtuvieron y revisaron los siguientes documentos:</w:t>
      </w:r>
    </w:p>
    <w:p w:rsidR="008E2AC8" w:rsidRDefault="008E2AC8" w:rsidP="008E2AC8">
      <w:r>
        <w:t>Copia de la demanda presentada por el proveedor.</w:t>
      </w:r>
    </w:p>
    <w:p w:rsidR="008E2AC8" w:rsidRDefault="008E2AC8" w:rsidP="008E2AC8">
      <w:r>
        <w:t>Contrato de suministro de materias primas.</w:t>
      </w:r>
    </w:p>
    <w:p w:rsidR="008E2AC8" w:rsidRDefault="008E2AC8" w:rsidP="008E2AC8">
      <w:r>
        <w:t>Correspondencia entre Alimentos Deliciosos S.A. y su abogado.</w:t>
      </w:r>
    </w:p>
    <w:p w:rsidR="008E2AC8" w:rsidRDefault="008E2AC8" w:rsidP="008E2AC8">
      <w:r>
        <w:t>Resultado: La revisión reveló que la demanda estaba bien fundamentada y que el proveedor tenía un caso sólido, lo que aumenta la probabilidad de una pérdida.</w:t>
      </w:r>
    </w:p>
    <w:p w:rsidR="008E2AC8" w:rsidRDefault="008E2AC8" w:rsidP="008E2AC8"/>
    <w:p w:rsidR="008E2AC8" w:rsidRDefault="008E2AC8" w:rsidP="008E2AC8"/>
    <w:p w:rsidR="008E2AC8" w:rsidRDefault="008E2AC8" w:rsidP="008E2AC8">
      <w:r>
        <w:t>Actas de Juntas Directivas:</w:t>
      </w:r>
    </w:p>
    <w:p w:rsidR="008E2AC8" w:rsidRDefault="008E2AC8" w:rsidP="008E2AC8">
      <w:r>
        <w:t>Procedimiento: Se revisaron las actas de las juntas directivas de los últimos seis meses.</w:t>
      </w:r>
    </w:p>
    <w:p w:rsidR="008E2AC8" w:rsidRDefault="008E2AC8" w:rsidP="008E2AC8">
      <w:r>
        <w:t>Resultado: Se encontró que el litigio fue discutido en varias ocasiones, y se documentaron las preocupaciones sobre el impacto financiero potencial, pero no se tomó ninguna acción para reconocer una provisión.</w:t>
      </w:r>
    </w:p>
    <w:p w:rsidR="008E2AC8" w:rsidRDefault="008E2AC8" w:rsidP="008E2AC8"/>
    <w:p w:rsidR="008E2AC8" w:rsidRDefault="008E2AC8" w:rsidP="008E2AC8">
      <w:r>
        <w:t>C. Confirmaciones Externas</w:t>
      </w:r>
    </w:p>
    <w:p w:rsidR="008E2AC8" w:rsidRDefault="008E2AC8" w:rsidP="008E2AC8">
      <w:r>
        <w:t>Confirmación de Asesoría Legal:</w:t>
      </w:r>
    </w:p>
    <w:p w:rsidR="008E2AC8" w:rsidRDefault="008E2AC8" w:rsidP="008E2AC8">
      <w:r>
        <w:lastRenderedPageBreak/>
        <w:t>Procedimiento: Se solicitó una confirmación escrita del abogado de la empresa sobre el estado del litigio y su posible desenlace.</w:t>
      </w:r>
    </w:p>
    <w:p w:rsidR="008E2AC8" w:rsidRDefault="008E2AC8" w:rsidP="008E2AC8">
      <w:r>
        <w:t>Resultado: El abogado confirmó que la probabilidad de pérdida era "alta" y estimó que, en caso de fallo en contra, la empresa podría tener que pagar el monto total de la reclamación de $500,000.</w:t>
      </w:r>
    </w:p>
    <w:p w:rsidR="008E2AC8" w:rsidRDefault="008E2AC8" w:rsidP="008E2AC8"/>
    <w:p w:rsidR="008E2AC8" w:rsidRDefault="008E2AC8" w:rsidP="008E2AC8"/>
    <w:p w:rsidR="008E2AC8" w:rsidRDefault="008E2AC8" w:rsidP="008E2AC8">
      <w:r>
        <w:t>D. Revisión de Políticas Contables</w:t>
      </w:r>
    </w:p>
    <w:p w:rsidR="008E2AC8" w:rsidRDefault="008E2AC8" w:rsidP="008E2AC8">
      <w:r>
        <w:t>Políticas de Reconocimiento:</w:t>
      </w:r>
    </w:p>
    <w:p w:rsidR="008E2AC8" w:rsidRDefault="008E2AC8" w:rsidP="008E2AC8">
      <w:r>
        <w:t>Procedimiento: Se revisaron las políticas contables de la empresa en relación con el reconocimiento de provisiones y pasivos contingentes.</w:t>
      </w:r>
    </w:p>
    <w:p w:rsidR="008E2AC8" w:rsidRDefault="008E2AC8" w:rsidP="008E2AC8">
      <w:r>
        <w:t>Resultado: Se determinó que la empresa no había seguido adecuadamente las NIIF, ya que no había reconocido una provisión a pesar de la alta probabilidad de pérdida.</w:t>
      </w:r>
    </w:p>
    <w:p w:rsidR="008E2AC8" w:rsidRDefault="008E2AC8" w:rsidP="008E2AC8"/>
    <w:p w:rsidR="008E2AC8" w:rsidRDefault="008E2AC8" w:rsidP="008E2AC8"/>
    <w:p w:rsidR="008E2AC8" w:rsidRDefault="008E2AC8" w:rsidP="008E2AC8">
      <w:r>
        <w:t>E. Evaluación de Revelaciones</w:t>
      </w:r>
    </w:p>
    <w:p w:rsidR="008E2AC8" w:rsidRDefault="008E2AC8" w:rsidP="008E2AC8">
      <w:r>
        <w:t>Evaluación de Revelaciones</w:t>
      </w:r>
    </w:p>
    <w:p w:rsidR="008E2AC8" w:rsidRDefault="008E2AC8" w:rsidP="008E2AC8">
      <w:r>
        <w:t>Revisión de Notas a los Estados Financieros:</w:t>
      </w:r>
    </w:p>
    <w:p w:rsidR="008E2AC8" w:rsidRDefault="008E2AC8" w:rsidP="008E2AC8">
      <w:r>
        <w:t>Procedimiento: Se revisaron las notas a los estados financieros para verificar la revelación del litigio.</w:t>
      </w:r>
    </w:p>
    <w:p w:rsidR="008E2AC8" w:rsidRDefault="008E2AC8" w:rsidP="008E2AC8">
      <w:r>
        <w:t>Resultado: Las notas no contenían información suficiente sobre el litigio, lo que no cumplía con los requisitos de revelación de las NIIF.</w:t>
      </w:r>
    </w:p>
    <w:p w:rsidR="008E2AC8" w:rsidRDefault="008E2AC8" w:rsidP="008E2AC8"/>
    <w:p w:rsidR="008E2AC8" w:rsidRDefault="008E2AC8" w:rsidP="008E2AC8">
      <w:r>
        <w:t>5. Documentación</w:t>
      </w:r>
    </w:p>
    <w:p w:rsidR="008E2AC8" w:rsidRDefault="008E2AC8" w:rsidP="008E2AC8">
      <w:r>
        <w:t>Informe de Auditoría: El auditor incluye observaciones sobre el litigio y recomendaciones sobre la provisión y revelación en el informe de auditoría.</w:t>
      </w:r>
    </w:p>
    <w:p w:rsidR="008E2AC8" w:rsidRDefault="008E2AC8" w:rsidP="008E2AC8">
      <w:r>
        <w:t>Papeles de Trabajo: Se documentan todos los procedimientos realizados, las evidencias obtenidas y las conclusiones alcanzadas, incluyendo copias de la documentación revisada y las confirmaciones obtenidas.</w:t>
      </w:r>
    </w:p>
    <w:p w:rsidR="008E2AC8" w:rsidRDefault="008E2AC8" w:rsidP="008E2AC8"/>
    <w:p w:rsidR="008E2AC8" w:rsidRDefault="008E2AC8" w:rsidP="008E2AC8">
      <w:r w:rsidRPr="008E2AC8">
        <w:t>Conclusiones</w:t>
      </w:r>
    </w:p>
    <w:p w:rsidR="008E2AC8" w:rsidRDefault="008E2AC8" w:rsidP="008E2AC8">
      <w:r>
        <w:t xml:space="preserve">Reflejo en los Estados Financieros: Se concluyó que la información sobre el litigio no estaba adecuadamente reflejada en los estados financieros. Dada la alta probabilidad de pérdida y el </w:t>
      </w:r>
      <w:r>
        <w:lastRenderedPageBreak/>
        <w:t>monto significativo de la reclamación, se recomendó reconocer una provisión de $500,000 en los estados financieros.</w:t>
      </w:r>
    </w:p>
    <w:p w:rsidR="008E2AC8" w:rsidRDefault="008E2AC8" w:rsidP="008E2AC8">
      <w:r>
        <w:t>Revelaciones Inadecuadas: Las revelaciones sobre el litigio eran insuficientes y no cumplían con los requisitos de las NIIF, lo que podría llevar a una falta de transparencia para los usuarios de los estados financieros.</w:t>
      </w:r>
    </w:p>
    <w:p w:rsidR="008E2AC8" w:rsidRDefault="008E2AC8" w:rsidP="008E2AC8"/>
    <w:p w:rsidR="008E2AC8" w:rsidRDefault="008E2AC8" w:rsidP="008E2AC8"/>
    <w:p w:rsidR="008E2AC8" w:rsidRDefault="008E2AC8" w:rsidP="008E2AC8">
      <w:r>
        <w:t>Recomendaciones</w:t>
      </w:r>
    </w:p>
    <w:p w:rsidR="008E2AC8" w:rsidRDefault="008E2AC8" w:rsidP="008E2AC8">
      <w:r>
        <w:t>Reconocimiento de Provisión: Se recomendó a la dirección de Alimentos Deliciosos S.A. que reconociera una provisión de $500,000 en sus estados financieros para reflejar adecuadamente el litigio.</w:t>
      </w:r>
    </w:p>
    <w:p w:rsidR="008E2AC8" w:rsidRDefault="008E2AC8" w:rsidP="008E2AC8">
      <w:r>
        <w:t>Mejorar la Comunicación: Se sugirió mejorar la comunicación con los asesores legales para asegurar que la información relevante sobre litigios se recopile y evalúe de manera oportuna.</w:t>
      </w:r>
    </w:p>
    <w:p w:rsidR="008E2AC8" w:rsidRDefault="008E2AC8" w:rsidP="008E2AC8">
      <w:r>
        <w:t>Sistema de Seguimiento: Se recomendó implementar un sistema de seguimiento para litigios y contingencias legales, asegurando que se mantenga un registro actualizado de todos los litigios y su estado.</w:t>
      </w:r>
    </w:p>
    <w:p w:rsidR="008E2AC8" w:rsidRDefault="008E2AC8" w:rsidP="008E2AC8">
      <w:r>
        <w:t>Este enfoque sistemático y los resultados obtenidos permiten a Alimentos Deliciosos S.A. abordar adecuadamente el litigio y cumplir con las normativas contables, mejorando la transparencia y la confianza de los inversores.</w:t>
      </w:r>
    </w:p>
    <w:p w:rsidR="008E2AC8" w:rsidRDefault="008E2AC8" w:rsidP="008E2AC8"/>
    <w:sectPr w:rsidR="008E2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C8"/>
    <w:rsid w:val="0029058A"/>
    <w:rsid w:val="00344EC8"/>
    <w:rsid w:val="008E2AC8"/>
    <w:rsid w:val="00B127EB"/>
    <w:rsid w:val="00C041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73878-B8D5-4608-B437-26C63143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1224">
      <w:bodyDiv w:val="1"/>
      <w:marLeft w:val="0"/>
      <w:marRight w:val="0"/>
      <w:marTop w:val="0"/>
      <w:marBottom w:val="0"/>
      <w:divBdr>
        <w:top w:val="none" w:sz="0" w:space="0" w:color="auto"/>
        <w:left w:val="none" w:sz="0" w:space="0" w:color="auto"/>
        <w:bottom w:val="none" w:sz="0" w:space="0" w:color="auto"/>
        <w:right w:val="none" w:sz="0" w:space="0" w:color="auto"/>
      </w:divBdr>
    </w:div>
    <w:div w:id="153304543">
      <w:bodyDiv w:val="1"/>
      <w:marLeft w:val="0"/>
      <w:marRight w:val="0"/>
      <w:marTop w:val="0"/>
      <w:marBottom w:val="0"/>
      <w:divBdr>
        <w:top w:val="none" w:sz="0" w:space="0" w:color="auto"/>
        <w:left w:val="none" w:sz="0" w:space="0" w:color="auto"/>
        <w:bottom w:val="none" w:sz="0" w:space="0" w:color="auto"/>
        <w:right w:val="none" w:sz="0" w:space="0" w:color="auto"/>
      </w:divBdr>
    </w:div>
    <w:div w:id="469513901">
      <w:bodyDiv w:val="1"/>
      <w:marLeft w:val="0"/>
      <w:marRight w:val="0"/>
      <w:marTop w:val="0"/>
      <w:marBottom w:val="0"/>
      <w:divBdr>
        <w:top w:val="none" w:sz="0" w:space="0" w:color="auto"/>
        <w:left w:val="none" w:sz="0" w:space="0" w:color="auto"/>
        <w:bottom w:val="none" w:sz="0" w:space="0" w:color="auto"/>
        <w:right w:val="none" w:sz="0" w:space="0" w:color="auto"/>
      </w:divBdr>
    </w:div>
    <w:div w:id="583225467">
      <w:bodyDiv w:val="1"/>
      <w:marLeft w:val="0"/>
      <w:marRight w:val="0"/>
      <w:marTop w:val="0"/>
      <w:marBottom w:val="0"/>
      <w:divBdr>
        <w:top w:val="none" w:sz="0" w:space="0" w:color="auto"/>
        <w:left w:val="none" w:sz="0" w:space="0" w:color="auto"/>
        <w:bottom w:val="none" w:sz="0" w:space="0" w:color="auto"/>
        <w:right w:val="none" w:sz="0" w:space="0" w:color="auto"/>
      </w:divBdr>
    </w:div>
    <w:div w:id="724527009">
      <w:bodyDiv w:val="1"/>
      <w:marLeft w:val="0"/>
      <w:marRight w:val="0"/>
      <w:marTop w:val="0"/>
      <w:marBottom w:val="0"/>
      <w:divBdr>
        <w:top w:val="none" w:sz="0" w:space="0" w:color="auto"/>
        <w:left w:val="none" w:sz="0" w:space="0" w:color="auto"/>
        <w:bottom w:val="none" w:sz="0" w:space="0" w:color="auto"/>
        <w:right w:val="none" w:sz="0" w:space="0" w:color="auto"/>
      </w:divBdr>
    </w:div>
    <w:div w:id="1040086850">
      <w:bodyDiv w:val="1"/>
      <w:marLeft w:val="0"/>
      <w:marRight w:val="0"/>
      <w:marTop w:val="0"/>
      <w:marBottom w:val="0"/>
      <w:divBdr>
        <w:top w:val="none" w:sz="0" w:space="0" w:color="auto"/>
        <w:left w:val="none" w:sz="0" w:space="0" w:color="auto"/>
        <w:bottom w:val="none" w:sz="0" w:space="0" w:color="auto"/>
        <w:right w:val="none" w:sz="0" w:space="0" w:color="auto"/>
      </w:divBdr>
    </w:div>
    <w:div w:id="1447432373">
      <w:bodyDiv w:val="1"/>
      <w:marLeft w:val="0"/>
      <w:marRight w:val="0"/>
      <w:marTop w:val="0"/>
      <w:marBottom w:val="0"/>
      <w:divBdr>
        <w:top w:val="none" w:sz="0" w:space="0" w:color="auto"/>
        <w:left w:val="none" w:sz="0" w:space="0" w:color="auto"/>
        <w:bottom w:val="none" w:sz="0" w:space="0" w:color="auto"/>
        <w:right w:val="none" w:sz="0" w:space="0" w:color="auto"/>
      </w:divBdr>
    </w:div>
    <w:div w:id="1558665534">
      <w:bodyDiv w:val="1"/>
      <w:marLeft w:val="0"/>
      <w:marRight w:val="0"/>
      <w:marTop w:val="0"/>
      <w:marBottom w:val="0"/>
      <w:divBdr>
        <w:top w:val="none" w:sz="0" w:space="0" w:color="auto"/>
        <w:left w:val="none" w:sz="0" w:space="0" w:color="auto"/>
        <w:bottom w:val="none" w:sz="0" w:space="0" w:color="auto"/>
        <w:right w:val="none" w:sz="0" w:space="0" w:color="auto"/>
      </w:divBdr>
    </w:div>
    <w:div w:id="1865367009">
      <w:bodyDiv w:val="1"/>
      <w:marLeft w:val="0"/>
      <w:marRight w:val="0"/>
      <w:marTop w:val="0"/>
      <w:marBottom w:val="0"/>
      <w:divBdr>
        <w:top w:val="none" w:sz="0" w:space="0" w:color="auto"/>
        <w:left w:val="none" w:sz="0" w:space="0" w:color="auto"/>
        <w:bottom w:val="none" w:sz="0" w:space="0" w:color="auto"/>
        <w:right w:val="none" w:sz="0" w:space="0" w:color="auto"/>
      </w:divBdr>
    </w:div>
    <w:div w:id="20783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887</Words>
  <Characters>4883</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4</cp:revision>
  <dcterms:created xsi:type="dcterms:W3CDTF">2024-10-23T18:41:00Z</dcterms:created>
  <dcterms:modified xsi:type="dcterms:W3CDTF">2025-02-28T16:04:00Z</dcterms:modified>
</cp:coreProperties>
</file>