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ABB" w:rsidRDefault="00164CEF" w:rsidP="00DA1D50">
      <w:pPr>
        <w:pStyle w:val="Ttulo1"/>
        <w:spacing w:line="360" w:lineRule="auto"/>
        <w:jc w:val="center"/>
        <w:rPr>
          <w:rFonts w:ascii="Times New Roman" w:hAnsi="Times New Roman"/>
          <w:b/>
          <w:color w:val="002060"/>
          <w:sz w:val="24"/>
          <w:szCs w:val="24"/>
          <w:highlight w:val="yellow"/>
          <w:lang w:val="es-PE"/>
        </w:rPr>
      </w:pPr>
      <w:bookmarkStart w:id="0" w:name="_Toc473732411"/>
      <w:bookmarkStart w:id="1" w:name="_GoBack"/>
      <w:bookmarkEnd w:id="1"/>
      <w:r w:rsidRPr="00EF3FF2">
        <w:rPr>
          <w:rFonts w:ascii="Times New Roman" w:hAnsi="Times New Roman"/>
          <w:b/>
          <w:color w:val="002060"/>
          <w:sz w:val="24"/>
          <w:szCs w:val="24"/>
          <w:highlight w:val="yellow"/>
          <w:lang w:val="es-PE"/>
        </w:rPr>
        <w:t>Dictamen de</w:t>
      </w:r>
      <w:r>
        <w:rPr>
          <w:rFonts w:ascii="Times New Roman" w:hAnsi="Times New Roman"/>
          <w:b/>
          <w:color w:val="002060"/>
          <w:sz w:val="24"/>
          <w:szCs w:val="24"/>
          <w:lang w:val="es-PE"/>
        </w:rPr>
        <w:t xml:space="preserve"> </w:t>
      </w:r>
      <w:r w:rsidR="00DA1D50" w:rsidRPr="00606353">
        <w:rPr>
          <w:rFonts w:ascii="Times New Roman" w:hAnsi="Times New Roman"/>
          <w:b/>
          <w:color w:val="002060"/>
          <w:sz w:val="24"/>
          <w:szCs w:val="24"/>
          <w:highlight w:val="yellow"/>
          <w:lang w:val="es-PE"/>
        </w:rPr>
        <w:t xml:space="preserve">Auditoría con Salvedad </w:t>
      </w:r>
    </w:p>
    <w:p w:rsidR="00DA1D50" w:rsidRPr="00606353" w:rsidRDefault="008E5ABB" w:rsidP="00DA1D50">
      <w:pPr>
        <w:pStyle w:val="Ttulo1"/>
        <w:spacing w:line="360" w:lineRule="auto"/>
        <w:jc w:val="center"/>
        <w:rPr>
          <w:rFonts w:ascii="Times New Roman" w:hAnsi="Times New Roman"/>
          <w:b/>
          <w:color w:val="002060"/>
          <w:sz w:val="24"/>
          <w:szCs w:val="24"/>
          <w:lang w:val="es-PE"/>
        </w:rPr>
      </w:pPr>
      <w:r>
        <w:rPr>
          <w:rFonts w:ascii="Times New Roman" w:hAnsi="Times New Roman"/>
          <w:b/>
          <w:color w:val="002060"/>
          <w:sz w:val="24"/>
          <w:szCs w:val="24"/>
          <w:highlight w:val="yellow"/>
          <w:lang w:val="es-PE"/>
        </w:rPr>
        <w:t>e</w:t>
      </w:r>
      <w:r w:rsidR="00DA1D50" w:rsidRPr="00606353">
        <w:rPr>
          <w:rFonts w:ascii="Times New Roman" w:hAnsi="Times New Roman"/>
          <w:b/>
          <w:color w:val="002060"/>
          <w:sz w:val="24"/>
          <w:szCs w:val="24"/>
          <w:highlight w:val="yellow"/>
          <w:lang w:val="es-PE"/>
        </w:rPr>
        <w:t xml:space="preserve">xiste una </w:t>
      </w:r>
      <w:r>
        <w:rPr>
          <w:rFonts w:ascii="Times New Roman" w:hAnsi="Times New Roman"/>
          <w:b/>
          <w:color w:val="002060"/>
          <w:sz w:val="24"/>
          <w:szCs w:val="24"/>
          <w:highlight w:val="yellow"/>
          <w:lang w:val="es-PE"/>
        </w:rPr>
        <w:t>i</w:t>
      </w:r>
      <w:r w:rsidR="00DA1D50" w:rsidRPr="00606353">
        <w:rPr>
          <w:rFonts w:ascii="Times New Roman" w:hAnsi="Times New Roman"/>
          <w:b/>
          <w:color w:val="002060"/>
          <w:sz w:val="24"/>
          <w:szCs w:val="24"/>
          <w:highlight w:val="yellow"/>
          <w:lang w:val="es-PE"/>
        </w:rPr>
        <w:t xml:space="preserve">ncertidumbre </w:t>
      </w:r>
      <w:r>
        <w:rPr>
          <w:rFonts w:ascii="Times New Roman" w:hAnsi="Times New Roman"/>
          <w:b/>
          <w:color w:val="002060"/>
          <w:sz w:val="24"/>
          <w:szCs w:val="24"/>
          <w:highlight w:val="yellow"/>
          <w:lang w:val="es-PE"/>
        </w:rPr>
        <w:t>m</w:t>
      </w:r>
      <w:r w:rsidR="00DA1D50" w:rsidRPr="00606353">
        <w:rPr>
          <w:rFonts w:ascii="Times New Roman" w:hAnsi="Times New Roman"/>
          <w:b/>
          <w:color w:val="002060"/>
          <w:sz w:val="24"/>
          <w:szCs w:val="24"/>
          <w:highlight w:val="yellow"/>
          <w:lang w:val="es-PE"/>
        </w:rPr>
        <w:t>aterial sobre el Principio de Empresa en Funcionamiento y en los Estados Financieros no se Encuentra Revelado Adecuadamente</w:t>
      </w:r>
      <w:bookmarkEnd w:id="0"/>
    </w:p>
    <w:p w:rsidR="00DA1D50" w:rsidRPr="00DA1D50" w:rsidRDefault="00DA1D50" w:rsidP="00DA1D50">
      <w:pPr>
        <w:spacing w:line="360" w:lineRule="auto"/>
        <w:jc w:val="center"/>
        <w:rPr>
          <w:rFonts w:ascii="Times New Roman" w:hAnsi="Times New Roman"/>
          <w:sz w:val="24"/>
          <w:szCs w:val="24"/>
          <w:lang w:val="es-ES_tradnl"/>
        </w:rPr>
      </w:pPr>
    </w:p>
    <w:p w:rsidR="00DA1D50" w:rsidRPr="00DA1D50" w:rsidRDefault="00DA1D50" w:rsidP="00DA1D50">
      <w:pPr>
        <w:pStyle w:val="Prrafodelista"/>
        <w:spacing w:line="360" w:lineRule="auto"/>
        <w:jc w:val="both"/>
        <w:rPr>
          <w:rFonts w:ascii="Times New Roman" w:hAnsi="Times New Roman"/>
          <w:sz w:val="24"/>
          <w:szCs w:val="24"/>
          <w:lang w:val="es-ES_tradnl"/>
        </w:rPr>
      </w:pPr>
    </w:p>
    <w:p w:rsidR="00DA1D50" w:rsidRPr="00DA1D50"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color w:val="000000"/>
          <w:sz w:val="24"/>
          <w:szCs w:val="24"/>
        </w:rPr>
      </w:pPr>
      <w:r w:rsidRPr="00DA1D50">
        <w:rPr>
          <w:rFonts w:ascii="Times New Roman" w:hAnsi="Times New Roman"/>
          <w:b/>
          <w:color w:val="000000"/>
          <w:sz w:val="24"/>
          <w:szCs w:val="24"/>
        </w:rPr>
        <w:t>Informe de auditoría emitido por un auditor independiente</w:t>
      </w:r>
    </w:p>
    <w:p w:rsidR="00DA1D50" w:rsidRPr="00DA1D50" w:rsidRDefault="00DA1D50" w:rsidP="00DA1D50">
      <w:pPr>
        <w:pStyle w:val="Sinespaciado"/>
        <w:jc w:val="both"/>
        <w:rPr>
          <w:rFonts w:ascii="Times New Roman" w:hAnsi="Times New Roman"/>
          <w:sz w:val="24"/>
          <w:szCs w:val="24"/>
        </w:rPr>
      </w:pPr>
    </w:p>
    <w:p w:rsidR="00DA1D50" w:rsidRPr="00DA1D50" w:rsidRDefault="00DA1D50" w:rsidP="00DA1D50">
      <w:pPr>
        <w:spacing w:line="360" w:lineRule="auto"/>
        <w:jc w:val="both"/>
        <w:rPr>
          <w:rFonts w:ascii="Times New Roman" w:hAnsi="Times New Roman"/>
          <w:sz w:val="24"/>
          <w:szCs w:val="24"/>
        </w:rPr>
      </w:pPr>
      <w:r w:rsidRPr="00DA1D50">
        <w:rPr>
          <w:rFonts w:ascii="Times New Roman" w:hAnsi="Times New Roman"/>
          <w:sz w:val="24"/>
          <w:szCs w:val="24"/>
        </w:rPr>
        <w:t xml:space="preserve">A los accionistas de la Sociedad </w:t>
      </w:r>
      <w:r w:rsidR="00655479">
        <w:rPr>
          <w:rFonts w:ascii="Arial" w:hAnsi="Arial" w:cs="Arial"/>
        </w:rPr>
        <w:t>ABC, S. A.</w:t>
      </w:r>
    </w:p>
    <w:p w:rsidR="00DA1D50" w:rsidRPr="00DA1D50" w:rsidRDefault="00DA1D50" w:rsidP="00DA1D50">
      <w:pPr>
        <w:pStyle w:val="Sinespaciado"/>
        <w:jc w:val="both"/>
        <w:rPr>
          <w:rFonts w:ascii="Times New Roman" w:hAnsi="Times New Roman"/>
          <w:sz w:val="24"/>
          <w:szCs w:val="24"/>
        </w:rPr>
      </w:pPr>
    </w:p>
    <w:p w:rsidR="00DA1D50" w:rsidRPr="00DA1D50" w:rsidRDefault="00DA1D50" w:rsidP="00DA1D50">
      <w:pPr>
        <w:spacing w:line="360" w:lineRule="auto"/>
        <w:jc w:val="both"/>
        <w:rPr>
          <w:rFonts w:ascii="Times New Roman" w:hAnsi="Times New Roman"/>
          <w:b/>
          <w:sz w:val="24"/>
          <w:szCs w:val="24"/>
        </w:rPr>
      </w:pPr>
      <w:r w:rsidRPr="00DA1D50">
        <w:rPr>
          <w:rFonts w:ascii="Times New Roman" w:hAnsi="Times New Roman"/>
          <w:b/>
          <w:sz w:val="24"/>
          <w:szCs w:val="24"/>
        </w:rPr>
        <w:t>Informe sobre la auditoría de los estados financieros</w:t>
      </w:r>
    </w:p>
    <w:p w:rsidR="00DA1D50" w:rsidRPr="00DA1D50" w:rsidRDefault="00DA1D50" w:rsidP="00DA1D50">
      <w:pPr>
        <w:pStyle w:val="Sinespaciado"/>
        <w:jc w:val="both"/>
        <w:rPr>
          <w:rFonts w:ascii="Times New Roman" w:hAnsi="Times New Roman"/>
          <w:sz w:val="24"/>
          <w:szCs w:val="24"/>
        </w:rPr>
      </w:pPr>
    </w:p>
    <w:p w:rsidR="00DA1D50" w:rsidRPr="00525521" w:rsidRDefault="00DA1D50" w:rsidP="00DA1D50">
      <w:pPr>
        <w:spacing w:line="360" w:lineRule="auto"/>
        <w:jc w:val="both"/>
        <w:rPr>
          <w:rFonts w:ascii="Times New Roman" w:hAnsi="Times New Roman"/>
          <w:b/>
          <w:bCs/>
          <w:iCs/>
          <w:sz w:val="24"/>
          <w:szCs w:val="24"/>
        </w:rPr>
      </w:pPr>
      <w:r w:rsidRPr="00525521">
        <w:rPr>
          <w:rFonts w:ascii="Times New Roman" w:hAnsi="Times New Roman"/>
          <w:b/>
          <w:bCs/>
          <w:iCs/>
          <w:sz w:val="24"/>
          <w:szCs w:val="24"/>
          <w:highlight w:val="yellow"/>
        </w:rPr>
        <w:t>Opinión con salv</w:t>
      </w:r>
      <w:r w:rsidRPr="00525521">
        <w:rPr>
          <w:rFonts w:ascii="Times New Roman" w:hAnsi="Times New Roman"/>
          <w:b/>
          <w:bCs/>
          <w:iCs/>
          <w:color w:val="1D2129"/>
          <w:sz w:val="24"/>
          <w:szCs w:val="24"/>
          <w:highlight w:val="yellow"/>
          <w:shd w:val="clear" w:color="auto" w:fill="FFFFFF"/>
        </w:rPr>
        <w:t>edades</w:t>
      </w:r>
      <w:r w:rsidRPr="00525521">
        <w:rPr>
          <w:rFonts w:ascii="Times New Roman" w:hAnsi="Times New Roman"/>
          <w:b/>
          <w:bCs/>
          <w:iCs/>
          <w:color w:val="1D2129"/>
          <w:sz w:val="24"/>
          <w:szCs w:val="24"/>
          <w:shd w:val="clear" w:color="auto" w:fill="FFFFFF"/>
        </w:rPr>
        <w:t xml:space="preserve"> </w:t>
      </w:r>
    </w:p>
    <w:p w:rsidR="00DA1D50" w:rsidRPr="00DA1D50" w:rsidRDefault="00DA1D50" w:rsidP="00DA1D50">
      <w:pPr>
        <w:pStyle w:val="Sinespaciado"/>
        <w:jc w:val="both"/>
        <w:rPr>
          <w:rFonts w:ascii="Times New Roman" w:hAnsi="Times New Roman"/>
          <w:sz w:val="24"/>
          <w:szCs w:val="24"/>
        </w:rPr>
      </w:pPr>
    </w:p>
    <w:p w:rsidR="00DA1D50" w:rsidRPr="00DA1D50" w:rsidRDefault="00DA1D50" w:rsidP="00DA1D50">
      <w:pPr>
        <w:spacing w:line="276" w:lineRule="auto"/>
        <w:jc w:val="both"/>
        <w:rPr>
          <w:rFonts w:ascii="Times New Roman" w:hAnsi="Times New Roman"/>
          <w:sz w:val="24"/>
          <w:szCs w:val="24"/>
        </w:rPr>
      </w:pPr>
      <w:r w:rsidRPr="00DA1D50">
        <w:rPr>
          <w:rFonts w:ascii="Times New Roman" w:hAnsi="Times New Roman"/>
          <w:sz w:val="24"/>
          <w:szCs w:val="24"/>
        </w:rPr>
        <w:t xml:space="preserve">Hemos auditado los estados financieros de </w:t>
      </w:r>
      <w:r w:rsidR="00525521">
        <w:rPr>
          <w:rFonts w:ascii="Arial" w:hAnsi="Arial" w:cs="Arial"/>
        </w:rPr>
        <w:t xml:space="preserve">ABC, S.A. </w:t>
      </w:r>
      <w:r w:rsidRPr="00DA1D50">
        <w:rPr>
          <w:rFonts w:ascii="Times New Roman" w:hAnsi="Times New Roman"/>
          <w:sz w:val="24"/>
          <w:szCs w:val="24"/>
        </w:rPr>
        <w:t xml:space="preserve">que comprenden el estado de situación financiera al 31 de diciembre </w:t>
      </w:r>
      <w:r w:rsidRPr="00525521">
        <w:rPr>
          <w:rFonts w:ascii="Times New Roman" w:hAnsi="Times New Roman"/>
          <w:color w:val="000000" w:themeColor="text1"/>
          <w:sz w:val="24"/>
          <w:szCs w:val="24"/>
        </w:rPr>
        <w:t xml:space="preserve">de </w:t>
      </w:r>
      <w:r w:rsidR="000A2403" w:rsidRPr="00C8256B">
        <w:rPr>
          <w:rFonts w:ascii="Times New Roman" w:hAnsi="Times New Roman"/>
          <w:sz w:val="24"/>
          <w:szCs w:val="24"/>
          <w:lang w:val="es-PE"/>
        </w:rPr>
        <w:t>20</w:t>
      </w:r>
      <w:r w:rsidR="000A2403">
        <w:rPr>
          <w:rFonts w:ascii="Times New Roman" w:hAnsi="Times New Roman"/>
          <w:sz w:val="24"/>
          <w:szCs w:val="24"/>
          <w:lang w:val="es-PE"/>
        </w:rPr>
        <w:t>23 y</w:t>
      </w:r>
      <w:r w:rsidR="000A2403" w:rsidRPr="00C8256B">
        <w:rPr>
          <w:rFonts w:ascii="Times New Roman" w:hAnsi="Times New Roman"/>
          <w:sz w:val="24"/>
          <w:szCs w:val="24"/>
          <w:lang w:val="es-PE"/>
        </w:rPr>
        <w:t xml:space="preserve"> 20</w:t>
      </w:r>
      <w:r w:rsidR="000A2403">
        <w:rPr>
          <w:rFonts w:ascii="Times New Roman" w:hAnsi="Times New Roman"/>
          <w:sz w:val="24"/>
          <w:szCs w:val="24"/>
          <w:lang w:val="es-PE"/>
        </w:rPr>
        <w:t>24,</w:t>
      </w:r>
      <w:r w:rsidRPr="00525521">
        <w:rPr>
          <w:rFonts w:ascii="Times New Roman" w:hAnsi="Times New Roman"/>
          <w:color w:val="000000" w:themeColor="text1"/>
          <w:sz w:val="24"/>
          <w:szCs w:val="24"/>
        </w:rPr>
        <w:t xml:space="preserve"> </w:t>
      </w:r>
      <w:r w:rsidRPr="00DA1D50">
        <w:rPr>
          <w:rFonts w:ascii="Times New Roman" w:hAnsi="Times New Roman"/>
          <w:sz w:val="24"/>
          <w:szCs w:val="24"/>
        </w:rPr>
        <w:t>el estado del resultado integral, el estado de cambios en el patrimonio neto y el estado de flujos de efectivo correspondientes al ejercicio terminado en dicha fecha, así como las notas explicativas de los estados financieros que incluyen un resumen de las políticas contables significativas.</w:t>
      </w:r>
    </w:p>
    <w:p w:rsidR="00DA1D50" w:rsidRPr="00DA1D50" w:rsidRDefault="00DA1D50" w:rsidP="00DA1D50">
      <w:pPr>
        <w:pStyle w:val="Sinespaciado"/>
        <w:jc w:val="both"/>
        <w:rPr>
          <w:rFonts w:ascii="Times New Roman" w:hAnsi="Times New Roman"/>
          <w:sz w:val="24"/>
          <w:szCs w:val="24"/>
        </w:rPr>
      </w:pPr>
    </w:p>
    <w:p w:rsidR="00DA1D50" w:rsidRPr="00392215" w:rsidRDefault="00DA1D50" w:rsidP="00DA1D50">
      <w:pPr>
        <w:spacing w:line="276" w:lineRule="auto"/>
        <w:jc w:val="both"/>
        <w:rPr>
          <w:rFonts w:ascii="Times New Roman" w:hAnsi="Times New Roman"/>
          <w:color w:val="000000" w:themeColor="text1"/>
          <w:sz w:val="24"/>
          <w:szCs w:val="24"/>
        </w:rPr>
      </w:pPr>
      <w:r w:rsidRPr="00DA1D50">
        <w:rPr>
          <w:rFonts w:ascii="Times New Roman" w:hAnsi="Times New Roman"/>
          <w:sz w:val="24"/>
          <w:szCs w:val="24"/>
        </w:rPr>
        <w:t xml:space="preserve">En nuestra opinión, </w:t>
      </w:r>
      <w:r w:rsidRPr="00DA1D50">
        <w:rPr>
          <w:rFonts w:ascii="Times New Roman" w:hAnsi="Times New Roman"/>
          <w:color w:val="1D2129"/>
          <w:sz w:val="24"/>
          <w:szCs w:val="24"/>
          <w:shd w:val="clear" w:color="auto" w:fill="FFFFFF"/>
        </w:rPr>
        <w:t>excepto por los efectos de la cuestión descrita en la sección “</w:t>
      </w:r>
      <w:r w:rsidRPr="005D6AAE">
        <w:rPr>
          <w:rFonts w:ascii="Times New Roman" w:hAnsi="Times New Roman"/>
          <w:iCs/>
          <w:color w:val="1D2129"/>
          <w:sz w:val="24"/>
          <w:szCs w:val="24"/>
          <w:shd w:val="clear" w:color="auto" w:fill="FFFFFF"/>
        </w:rPr>
        <w:t>Fundamento de la opinión con salvedades”</w:t>
      </w:r>
      <w:r w:rsidR="00606353">
        <w:rPr>
          <w:rFonts w:ascii="Times New Roman" w:hAnsi="Times New Roman"/>
          <w:i/>
          <w:color w:val="1D2129"/>
          <w:sz w:val="24"/>
          <w:szCs w:val="24"/>
          <w:shd w:val="clear" w:color="auto" w:fill="FFFFFF"/>
        </w:rPr>
        <w:t xml:space="preserve"> </w:t>
      </w:r>
      <w:r w:rsidRPr="00DA1D50">
        <w:rPr>
          <w:rFonts w:ascii="Times New Roman" w:hAnsi="Times New Roman"/>
          <w:color w:val="1D2129"/>
          <w:sz w:val="24"/>
          <w:szCs w:val="24"/>
          <w:shd w:val="clear" w:color="auto" w:fill="FFFFFF"/>
        </w:rPr>
        <w:t xml:space="preserve">de nuestro informe, </w:t>
      </w:r>
      <w:r w:rsidRPr="00DA1D50">
        <w:rPr>
          <w:rFonts w:ascii="Times New Roman" w:hAnsi="Times New Roman"/>
          <w:sz w:val="24"/>
          <w:szCs w:val="24"/>
        </w:rPr>
        <w:t xml:space="preserve">los estados financieros adjuntos presentan razonablemente, en todos los aspectos materiales, la situación financiera de la Sociedad al 31 de diciembre de </w:t>
      </w:r>
      <w:r w:rsidR="000A2403" w:rsidRPr="00C8256B">
        <w:rPr>
          <w:rFonts w:ascii="Times New Roman" w:hAnsi="Times New Roman"/>
          <w:sz w:val="24"/>
          <w:szCs w:val="24"/>
          <w:lang w:val="es-PE"/>
        </w:rPr>
        <w:t>20</w:t>
      </w:r>
      <w:r w:rsidR="000A2403">
        <w:rPr>
          <w:rFonts w:ascii="Times New Roman" w:hAnsi="Times New Roman"/>
          <w:sz w:val="24"/>
          <w:szCs w:val="24"/>
          <w:lang w:val="es-PE"/>
        </w:rPr>
        <w:t>23 y</w:t>
      </w:r>
      <w:r w:rsidR="000A2403" w:rsidRPr="00C8256B">
        <w:rPr>
          <w:rFonts w:ascii="Times New Roman" w:hAnsi="Times New Roman"/>
          <w:sz w:val="24"/>
          <w:szCs w:val="24"/>
          <w:lang w:val="es-PE"/>
        </w:rPr>
        <w:t xml:space="preserve"> 20</w:t>
      </w:r>
      <w:r w:rsidR="000A2403">
        <w:rPr>
          <w:rFonts w:ascii="Times New Roman" w:hAnsi="Times New Roman"/>
          <w:sz w:val="24"/>
          <w:szCs w:val="24"/>
          <w:lang w:val="es-PE"/>
        </w:rPr>
        <w:t>24,</w:t>
      </w:r>
      <w:r w:rsidR="000A2403">
        <w:rPr>
          <w:rFonts w:ascii="Times New Roman" w:hAnsi="Times New Roman"/>
          <w:sz w:val="24"/>
          <w:szCs w:val="24"/>
          <w:lang w:val="es-PE"/>
        </w:rPr>
        <w:t xml:space="preserve"> </w:t>
      </w:r>
      <w:r w:rsidRPr="00DA1D50">
        <w:rPr>
          <w:rFonts w:ascii="Times New Roman" w:hAnsi="Times New Roman"/>
          <w:sz w:val="24"/>
          <w:szCs w:val="24"/>
        </w:rPr>
        <w:t xml:space="preserve">así como sus resultados y flujos de efectivo correspondientes al ejercicio terminado en dicha fecha, de </w:t>
      </w:r>
      <w:r w:rsidRPr="00392215">
        <w:rPr>
          <w:rFonts w:ascii="Times New Roman" w:hAnsi="Times New Roman"/>
          <w:color w:val="000000" w:themeColor="text1"/>
          <w:sz w:val="24"/>
          <w:szCs w:val="24"/>
        </w:rPr>
        <w:t>conformidad con las Normas Internacionales de Información Financiera (NIIF).</w:t>
      </w:r>
    </w:p>
    <w:p w:rsidR="00DA1D50" w:rsidRPr="00DA1D50" w:rsidRDefault="00DA1D50" w:rsidP="00DA1D50">
      <w:pPr>
        <w:pStyle w:val="Sinespaciado"/>
        <w:jc w:val="both"/>
        <w:rPr>
          <w:rFonts w:ascii="Times New Roman" w:hAnsi="Times New Roman"/>
          <w:sz w:val="24"/>
          <w:szCs w:val="24"/>
        </w:rPr>
      </w:pPr>
    </w:p>
    <w:p w:rsidR="00DA1D50" w:rsidRPr="00987B26" w:rsidRDefault="00DA1D50" w:rsidP="00DA1D50">
      <w:pPr>
        <w:spacing w:line="360" w:lineRule="auto"/>
        <w:jc w:val="both"/>
        <w:rPr>
          <w:rFonts w:ascii="Times New Roman" w:hAnsi="Times New Roman"/>
          <w:b/>
          <w:bCs/>
          <w:iCs/>
          <w:color w:val="1D2129"/>
          <w:sz w:val="24"/>
          <w:szCs w:val="24"/>
          <w:shd w:val="clear" w:color="auto" w:fill="FFFFFF"/>
        </w:rPr>
      </w:pPr>
      <w:r w:rsidRPr="00987B26">
        <w:rPr>
          <w:rFonts w:ascii="Times New Roman" w:hAnsi="Times New Roman"/>
          <w:b/>
          <w:bCs/>
          <w:iCs/>
          <w:sz w:val="24"/>
          <w:szCs w:val="24"/>
          <w:highlight w:val="yellow"/>
        </w:rPr>
        <w:t>Fundamento de la opinión con salv</w:t>
      </w:r>
      <w:r w:rsidRPr="00987B26">
        <w:rPr>
          <w:rFonts w:ascii="Times New Roman" w:hAnsi="Times New Roman"/>
          <w:b/>
          <w:bCs/>
          <w:iCs/>
          <w:color w:val="1D2129"/>
          <w:sz w:val="24"/>
          <w:szCs w:val="24"/>
          <w:highlight w:val="yellow"/>
          <w:shd w:val="clear" w:color="auto" w:fill="FFFFFF"/>
        </w:rPr>
        <w:t>edades</w:t>
      </w:r>
    </w:p>
    <w:p w:rsidR="00DA1D50" w:rsidRPr="00DA1D50" w:rsidRDefault="00DA1D50" w:rsidP="00DA1D50">
      <w:pPr>
        <w:pStyle w:val="Sinespaciado"/>
        <w:jc w:val="both"/>
        <w:rPr>
          <w:rFonts w:ascii="Times New Roman" w:hAnsi="Times New Roman"/>
          <w:sz w:val="24"/>
          <w:szCs w:val="24"/>
        </w:rPr>
      </w:pPr>
    </w:p>
    <w:p w:rsidR="00DA1D50" w:rsidRDefault="00DA1D50" w:rsidP="00DA1D50">
      <w:pPr>
        <w:spacing w:line="276" w:lineRule="auto"/>
        <w:jc w:val="both"/>
        <w:rPr>
          <w:rFonts w:ascii="Times New Roman" w:hAnsi="Times New Roman"/>
          <w:sz w:val="24"/>
          <w:szCs w:val="24"/>
          <w:lang w:val="es-PE"/>
        </w:rPr>
      </w:pPr>
      <w:r w:rsidRPr="000F25CD">
        <w:rPr>
          <w:rFonts w:ascii="Times New Roman" w:hAnsi="Times New Roman"/>
          <w:color w:val="000000" w:themeColor="text1"/>
          <w:sz w:val="24"/>
          <w:szCs w:val="24"/>
        </w:rPr>
        <w:t>Como s</w:t>
      </w:r>
      <w:proofErr w:type="spellStart"/>
      <w:r w:rsidRPr="000F25CD">
        <w:rPr>
          <w:rFonts w:ascii="Times New Roman" w:hAnsi="Times New Roman"/>
          <w:color w:val="000000" w:themeColor="text1"/>
          <w:sz w:val="24"/>
          <w:szCs w:val="24"/>
          <w:lang w:val="es-PE"/>
        </w:rPr>
        <w:t>e</w:t>
      </w:r>
      <w:proofErr w:type="spellEnd"/>
      <w:r w:rsidRPr="000F25CD">
        <w:rPr>
          <w:rFonts w:ascii="Times New Roman" w:hAnsi="Times New Roman"/>
          <w:color w:val="000000" w:themeColor="text1"/>
          <w:sz w:val="24"/>
          <w:szCs w:val="24"/>
          <w:lang w:val="es-PE"/>
        </w:rPr>
        <w:t xml:space="preserve"> explica en la Nota</w:t>
      </w:r>
      <w:r w:rsidR="00EC4410">
        <w:rPr>
          <w:rFonts w:ascii="Times New Roman" w:hAnsi="Times New Roman"/>
          <w:color w:val="000000" w:themeColor="text1"/>
          <w:sz w:val="24"/>
          <w:szCs w:val="24"/>
          <w:lang w:val="es-PE"/>
        </w:rPr>
        <w:t xml:space="preserve"> 8</w:t>
      </w:r>
      <w:r w:rsidRPr="000F25CD">
        <w:rPr>
          <w:rFonts w:ascii="Times New Roman" w:hAnsi="Times New Roman"/>
          <w:color w:val="000000" w:themeColor="text1"/>
          <w:sz w:val="24"/>
          <w:szCs w:val="24"/>
          <w:lang w:val="es-PE"/>
        </w:rPr>
        <w:t xml:space="preserve">, los acuerdos de financiación de la Sociedad se terminan el 25 de </w:t>
      </w:r>
      <w:proofErr w:type="gramStart"/>
      <w:r w:rsidR="00EC4410">
        <w:rPr>
          <w:rFonts w:ascii="Times New Roman" w:hAnsi="Times New Roman"/>
          <w:color w:val="000000" w:themeColor="text1"/>
          <w:sz w:val="24"/>
          <w:szCs w:val="24"/>
          <w:lang w:val="es-PE"/>
        </w:rPr>
        <w:t>Enero</w:t>
      </w:r>
      <w:proofErr w:type="gramEnd"/>
      <w:r w:rsidR="00EC4410">
        <w:rPr>
          <w:rFonts w:ascii="Times New Roman" w:hAnsi="Times New Roman"/>
          <w:color w:val="000000" w:themeColor="text1"/>
          <w:sz w:val="24"/>
          <w:szCs w:val="24"/>
          <w:lang w:val="es-PE"/>
        </w:rPr>
        <w:t xml:space="preserve"> </w:t>
      </w:r>
      <w:r w:rsidRPr="000F25CD">
        <w:rPr>
          <w:rFonts w:ascii="Times New Roman" w:hAnsi="Times New Roman"/>
          <w:color w:val="000000" w:themeColor="text1"/>
          <w:sz w:val="24"/>
          <w:szCs w:val="24"/>
          <w:lang w:val="es-PE"/>
        </w:rPr>
        <w:t>de</w:t>
      </w:r>
      <w:r w:rsidR="00606353" w:rsidRPr="000F25CD">
        <w:rPr>
          <w:rFonts w:ascii="Times New Roman" w:hAnsi="Times New Roman"/>
          <w:color w:val="000000" w:themeColor="text1"/>
          <w:sz w:val="24"/>
          <w:szCs w:val="24"/>
          <w:lang w:val="es-PE"/>
        </w:rPr>
        <w:t xml:space="preserve"> </w:t>
      </w:r>
      <w:r w:rsidRPr="000F25CD">
        <w:rPr>
          <w:rFonts w:ascii="Times New Roman" w:hAnsi="Times New Roman"/>
          <w:color w:val="000000" w:themeColor="text1"/>
          <w:sz w:val="24"/>
          <w:szCs w:val="24"/>
          <w:lang w:val="es-PE"/>
        </w:rPr>
        <w:t>20</w:t>
      </w:r>
      <w:r w:rsidR="00EC4410">
        <w:rPr>
          <w:rFonts w:ascii="Times New Roman" w:hAnsi="Times New Roman"/>
          <w:color w:val="000000" w:themeColor="text1"/>
          <w:sz w:val="24"/>
          <w:szCs w:val="24"/>
          <w:lang w:val="es-PE"/>
        </w:rPr>
        <w:t>2</w:t>
      </w:r>
      <w:r w:rsidR="007C0889">
        <w:rPr>
          <w:rFonts w:ascii="Times New Roman" w:hAnsi="Times New Roman"/>
          <w:color w:val="000000" w:themeColor="text1"/>
          <w:sz w:val="24"/>
          <w:szCs w:val="24"/>
          <w:lang w:val="es-PE"/>
        </w:rPr>
        <w:t>4</w:t>
      </w:r>
      <w:r w:rsidR="00606353" w:rsidRPr="000F25CD">
        <w:rPr>
          <w:rFonts w:ascii="Times New Roman" w:hAnsi="Times New Roman"/>
          <w:color w:val="000000" w:themeColor="text1"/>
          <w:sz w:val="24"/>
          <w:szCs w:val="24"/>
          <w:lang w:val="es-PE"/>
        </w:rPr>
        <w:t xml:space="preserve"> </w:t>
      </w:r>
      <w:r w:rsidRPr="000F25CD">
        <w:rPr>
          <w:rFonts w:ascii="Times New Roman" w:hAnsi="Times New Roman"/>
          <w:color w:val="000000" w:themeColor="text1"/>
          <w:sz w:val="24"/>
          <w:szCs w:val="24"/>
          <w:lang w:val="es-PE"/>
        </w:rPr>
        <w:t xml:space="preserve">y los saldos pendientes deben cancelarse en esta fecha. La sociedad no ha podido renegociar ni </w:t>
      </w:r>
      <w:r w:rsidRPr="00DA1D50">
        <w:rPr>
          <w:rFonts w:ascii="Times New Roman" w:hAnsi="Times New Roman"/>
          <w:sz w:val="24"/>
          <w:szCs w:val="24"/>
          <w:lang w:val="es-PE"/>
        </w:rPr>
        <w:t xml:space="preserve">obtener financiación sustitutiva. Esta situación </w:t>
      </w:r>
      <w:r w:rsidRPr="00DA1D50">
        <w:rPr>
          <w:rFonts w:ascii="Times New Roman" w:hAnsi="Times New Roman"/>
          <w:sz w:val="24"/>
          <w:szCs w:val="24"/>
        </w:rPr>
        <w:t>indica</w:t>
      </w:r>
      <w:r w:rsidRPr="00DA1D50">
        <w:rPr>
          <w:rFonts w:ascii="Times New Roman" w:hAnsi="Times New Roman"/>
          <w:sz w:val="24"/>
          <w:szCs w:val="24"/>
          <w:lang w:val="es-PE"/>
        </w:rPr>
        <w:t xml:space="preserve"> que existe una incertidumbre material que puede generar dudas significativas sobre la capacidad de la sociedad para continuar como empresa en funcionamiento. Los estados financieros no revelan adecuadamente esta cuestión.</w:t>
      </w:r>
    </w:p>
    <w:p w:rsidR="00366CC5" w:rsidRDefault="00366CC5" w:rsidP="00DA1D50">
      <w:pPr>
        <w:spacing w:line="276" w:lineRule="auto"/>
        <w:jc w:val="both"/>
        <w:rPr>
          <w:rFonts w:ascii="Times New Roman" w:hAnsi="Times New Roman"/>
          <w:sz w:val="24"/>
          <w:szCs w:val="24"/>
          <w:lang w:val="es-PE"/>
        </w:rPr>
      </w:pPr>
    </w:p>
    <w:p w:rsidR="00366CC5" w:rsidRPr="00DA1D50" w:rsidRDefault="00366CC5" w:rsidP="00DA1D50">
      <w:pPr>
        <w:spacing w:line="276" w:lineRule="auto"/>
        <w:jc w:val="both"/>
        <w:rPr>
          <w:rFonts w:ascii="Times New Roman" w:hAnsi="Times New Roman"/>
          <w:sz w:val="24"/>
          <w:szCs w:val="24"/>
        </w:rPr>
      </w:pPr>
    </w:p>
    <w:p w:rsidR="00DA1D50" w:rsidRPr="00DA1D50" w:rsidRDefault="00DA1D50" w:rsidP="00DA1D50">
      <w:pPr>
        <w:spacing w:line="360" w:lineRule="auto"/>
        <w:jc w:val="both"/>
        <w:rPr>
          <w:rFonts w:ascii="Times New Roman" w:hAnsi="Times New Roman"/>
          <w:sz w:val="24"/>
          <w:szCs w:val="24"/>
        </w:rPr>
      </w:pPr>
    </w:p>
    <w:p w:rsidR="00DA1D50" w:rsidRPr="00791506"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91506">
        <w:rPr>
          <w:rFonts w:ascii="Times New Roman" w:hAnsi="Times New Roman"/>
          <w:color w:val="000000" w:themeColor="text1"/>
          <w:sz w:val="24"/>
          <w:szCs w:val="24"/>
          <w:lang w:val="es-PE"/>
        </w:rPr>
        <w:lastRenderedPageBreak/>
        <w:t>Hemos llevado a cabo nuestra auditoría de conformidad con las Normas Internacionales de Auditoría (NIA). Nuestras responsabilidades, de acuerdo con dichas normas, se describen más adelante en la sección Responsabilidades del auditor en relación con la auditoría de los estados financieros de nuestro informe. Somos independientes de la sociedad de conformidad con el “Código de Ética para Profesionales de la Contabilidad del Consejo de Normas Internacionales de Ética para Contadores” (“Código de Ética del IESBA”)</w:t>
      </w:r>
      <w:r w:rsidR="00D64DA4">
        <w:rPr>
          <w:rFonts w:ascii="Times New Roman" w:hAnsi="Times New Roman"/>
          <w:color w:val="000000" w:themeColor="text1"/>
          <w:sz w:val="24"/>
          <w:szCs w:val="24"/>
          <w:lang w:val="es-PE"/>
        </w:rPr>
        <w:t xml:space="preserve"> </w:t>
      </w:r>
      <w:r w:rsidRPr="00791506">
        <w:rPr>
          <w:rFonts w:ascii="Times New Roman" w:hAnsi="Times New Roman"/>
          <w:color w:val="000000" w:themeColor="text1"/>
          <w:sz w:val="24"/>
          <w:szCs w:val="24"/>
          <w:lang w:val="es-PE"/>
        </w:rPr>
        <w:t xml:space="preserve">y los requerimientos de ética aplicables a nuestra auditoría de los estados financieros por el “código de ética profesional de Contadores Públicos en </w:t>
      </w:r>
      <w:r w:rsidR="005F1FE5">
        <w:rPr>
          <w:rFonts w:ascii="Times New Roman" w:hAnsi="Times New Roman"/>
          <w:color w:val="000000" w:themeColor="text1"/>
          <w:sz w:val="24"/>
          <w:szCs w:val="24"/>
          <w:lang w:val="es-PE"/>
        </w:rPr>
        <w:t>YYYYYYY</w:t>
      </w:r>
      <w:r w:rsidRPr="00791506">
        <w:rPr>
          <w:rFonts w:ascii="Times New Roman" w:hAnsi="Times New Roman"/>
          <w:color w:val="000000" w:themeColor="text1"/>
          <w:sz w:val="24"/>
          <w:szCs w:val="24"/>
          <w:lang w:val="es-PE"/>
        </w:rPr>
        <w:t>”, y hemos cumplido las demás responsabilidades de ética de conformidad con esos requerimientos. Consideramos que la evidencia de auditoría que hemos obtenido proporciona una base suficiente y adecuada para nuestra opinión con</w:t>
      </w:r>
      <w:r w:rsidRPr="00791506">
        <w:rPr>
          <w:rFonts w:ascii="Times New Roman" w:hAnsi="Times New Roman"/>
          <w:color w:val="000000" w:themeColor="text1"/>
          <w:sz w:val="24"/>
          <w:szCs w:val="24"/>
        </w:rPr>
        <w:t>salvedades.</w:t>
      </w:r>
    </w:p>
    <w:p w:rsidR="00DA1D50" w:rsidRPr="00DA1D50" w:rsidRDefault="00DA1D50" w:rsidP="00DA1D50">
      <w:pPr>
        <w:pStyle w:val="Sinespaciado"/>
        <w:spacing w:line="360" w:lineRule="auto"/>
        <w:jc w:val="both"/>
        <w:rPr>
          <w:rFonts w:ascii="Times New Roman" w:hAnsi="Times New Roman"/>
          <w:sz w:val="24"/>
          <w:szCs w:val="24"/>
          <w:lang w:val="es-PE"/>
        </w:rPr>
      </w:pPr>
    </w:p>
    <w:p w:rsidR="00DA1D50" w:rsidRPr="00DA1D50" w:rsidRDefault="00DA1D50" w:rsidP="00DA1D50">
      <w:pPr>
        <w:pStyle w:val="Sinespaciado"/>
        <w:spacing w:line="360" w:lineRule="auto"/>
        <w:jc w:val="both"/>
        <w:rPr>
          <w:rFonts w:ascii="Times New Roman" w:hAnsi="Times New Roman"/>
          <w:sz w:val="24"/>
          <w:szCs w:val="24"/>
          <w:lang w:val="es-PE"/>
        </w:rPr>
      </w:pPr>
    </w:p>
    <w:p w:rsidR="00DA1D50" w:rsidRPr="001F58F4"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sz w:val="24"/>
          <w:szCs w:val="24"/>
          <w:lang w:val="es-PE"/>
        </w:rPr>
      </w:pPr>
      <w:r w:rsidRPr="001F58F4">
        <w:rPr>
          <w:rFonts w:ascii="Times New Roman" w:hAnsi="Times New Roman"/>
          <w:b/>
          <w:bCs/>
          <w:iCs/>
          <w:sz w:val="24"/>
          <w:szCs w:val="24"/>
          <w:highlight w:val="yellow"/>
          <w:lang w:val="es-PE"/>
        </w:rPr>
        <w:t>Responsabilidad de la Dirección y de los responsables del gobierno de la entidad en relación con los estados financieros</w:t>
      </w:r>
    </w:p>
    <w:p w:rsidR="00DA1D50" w:rsidRPr="00DA1D50" w:rsidRDefault="00DA1D50" w:rsidP="00DA1D50">
      <w:pPr>
        <w:pStyle w:val="Sinespaciado"/>
        <w:jc w:val="both"/>
        <w:rPr>
          <w:rFonts w:ascii="Times New Roman" w:hAnsi="Times New Roman"/>
          <w:sz w:val="24"/>
          <w:szCs w:val="24"/>
        </w:rPr>
      </w:pPr>
    </w:p>
    <w:p w:rsidR="00DA1D50" w:rsidRPr="001F58F4"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1F58F4">
        <w:rPr>
          <w:rFonts w:ascii="Times New Roman" w:hAnsi="Times New Roman"/>
          <w:color w:val="000000" w:themeColor="text1"/>
          <w:sz w:val="24"/>
          <w:szCs w:val="24"/>
          <w:lang w:val="es-PE"/>
        </w:rPr>
        <w:t>La Dirección es responsable de la preparación y presentación razonable de</w:t>
      </w:r>
      <w:r w:rsidR="00A6097C">
        <w:rPr>
          <w:rFonts w:ascii="Times New Roman" w:hAnsi="Times New Roman"/>
          <w:color w:val="000000" w:themeColor="text1"/>
          <w:sz w:val="24"/>
          <w:szCs w:val="24"/>
          <w:lang w:val="es-PE"/>
        </w:rPr>
        <w:t xml:space="preserve"> </w:t>
      </w:r>
      <w:r w:rsidRPr="001F58F4">
        <w:rPr>
          <w:rFonts w:ascii="Times New Roman" w:hAnsi="Times New Roman"/>
          <w:color w:val="000000" w:themeColor="text1"/>
          <w:sz w:val="24"/>
          <w:szCs w:val="24"/>
          <w:lang w:val="es-PE"/>
        </w:rPr>
        <w:t>los estados financieros adjuntos de conformidad con las Normas Internacionales de información financiera NIIF,</w:t>
      </w:r>
      <w:r w:rsidR="00F90672">
        <w:rPr>
          <w:rFonts w:ascii="Times New Roman" w:hAnsi="Times New Roman"/>
          <w:color w:val="000000" w:themeColor="text1"/>
          <w:sz w:val="24"/>
          <w:szCs w:val="24"/>
          <w:lang w:val="es-PE"/>
        </w:rPr>
        <w:t xml:space="preserve"> </w:t>
      </w:r>
      <w:r w:rsidRPr="001F58F4">
        <w:rPr>
          <w:rFonts w:ascii="Times New Roman" w:hAnsi="Times New Roman"/>
          <w:color w:val="000000" w:themeColor="text1"/>
          <w:sz w:val="24"/>
          <w:szCs w:val="24"/>
          <w:lang w:val="es-PE"/>
        </w:rPr>
        <w:t>y del control interno que la Dirección considere necesario para permitir la preparación de los estados financieros libres de incorrección material, debido a fraude o error.</w:t>
      </w:r>
    </w:p>
    <w:p w:rsidR="00DA1D50" w:rsidRPr="001F58F4" w:rsidRDefault="00DA1D50" w:rsidP="00DA1D50">
      <w:pPr>
        <w:pStyle w:val="Sinespaciado"/>
        <w:jc w:val="both"/>
        <w:rPr>
          <w:rFonts w:ascii="Times New Roman" w:hAnsi="Times New Roman"/>
          <w:color w:val="000000" w:themeColor="text1"/>
          <w:sz w:val="24"/>
          <w:szCs w:val="24"/>
          <w:lang w:val="es-PE"/>
        </w:rPr>
      </w:pPr>
    </w:p>
    <w:p w:rsidR="00DA1D50" w:rsidRPr="001F58F4"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1F58F4">
        <w:rPr>
          <w:rFonts w:ascii="Times New Roman" w:hAnsi="Times New Roman"/>
          <w:color w:val="000000" w:themeColor="text1"/>
          <w:sz w:val="24"/>
          <w:szCs w:val="24"/>
          <w:lang w:val="es-PE"/>
        </w:rPr>
        <w:t>En la preparación de los estados financieros, la Dirección es responsable de la valoración de la capacidad de la Sociedad de continuar como empresa en funcionamiento, revelando, según corresponda, las cuestiones relacionadas con la empresa en funcionamiento y utilizando el principio contable de empresa en funcionamiento, excepto si la Dirección tiene intención de liquidar la sociedad o de cesar sus operaciones, o no exista otra alternativa realista.</w:t>
      </w:r>
    </w:p>
    <w:p w:rsidR="00DA1D50" w:rsidRPr="001F58F4" w:rsidRDefault="00DA1D50" w:rsidP="00DA1D50">
      <w:pPr>
        <w:pStyle w:val="Sinespaciado"/>
        <w:jc w:val="both"/>
        <w:rPr>
          <w:rFonts w:ascii="Times New Roman" w:hAnsi="Times New Roman"/>
          <w:color w:val="000000" w:themeColor="text1"/>
          <w:sz w:val="24"/>
          <w:szCs w:val="24"/>
          <w:lang w:val="es-PE"/>
        </w:rPr>
      </w:pPr>
    </w:p>
    <w:p w:rsidR="00DA1D50" w:rsidRPr="001F58F4"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1F58F4">
        <w:rPr>
          <w:rFonts w:ascii="Times New Roman" w:hAnsi="Times New Roman"/>
          <w:color w:val="000000" w:themeColor="text1"/>
          <w:sz w:val="24"/>
          <w:szCs w:val="24"/>
          <w:lang w:val="es-PE"/>
        </w:rPr>
        <w:t>Los responsables del gobierno de la entidad son responsables de la supervisión del proceso de información financiera de la sociedad.</w:t>
      </w:r>
    </w:p>
    <w:p w:rsidR="00DA1D50" w:rsidRPr="00DA1D50" w:rsidRDefault="00DA1D50" w:rsidP="00DA1D50">
      <w:pPr>
        <w:pStyle w:val="Sinespaciado"/>
        <w:jc w:val="both"/>
        <w:rPr>
          <w:rFonts w:ascii="Times New Roman" w:hAnsi="Times New Roman"/>
          <w:sz w:val="24"/>
          <w:szCs w:val="24"/>
          <w:lang w:val="es-PE"/>
        </w:rPr>
      </w:pPr>
    </w:p>
    <w:p w:rsidR="00DA1D50" w:rsidRPr="0006168D"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bCs/>
          <w:iCs/>
          <w:sz w:val="24"/>
          <w:szCs w:val="24"/>
          <w:lang w:val="es-PE"/>
        </w:rPr>
      </w:pPr>
      <w:r w:rsidRPr="0006168D">
        <w:rPr>
          <w:rFonts w:ascii="Times New Roman" w:hAnsi="Times New Roman"/>
          <w:b/>
          <w:bCs/>
          <w:iCs/>
          <w:sz w:val="24"/>
          <w:szCs w:val="24"/>
          <w:highlight w:val="yellow"/>
          <w:lang w:val="es-PE"/>
        </w:rPr>
        <w:t>Responsabilidad del auditor en relación con la auditoría de los estados financieros</w:t>
      </w:r>
      <w:r w:rsidRPr="0006168D">
        <w:rPr>
          <w:rFonts w:ascii="Times New Roman" w:hAnsi="Times New Roman"/>
          <w:b/>
          <w:bCs/>
          <w:iCs/>
          <w:sz w:val="24"/>
          <w:szCs w:val="24"/>
          <w:lang w:val="es-PE"/>
        </w:rPr>
        <w:t xml:space="preserve"> </w:t>
      </w:r>
    </w:p>
    <w:p w:rsidR="00DA1D50" w:rsidRPr="00DA1D50" w:rsidRDefault="00DA1D50" w:rsidP="00DA1D50">
      <w:pPr>
        <w:pStyle w:val="Sinespaciado"/>
        <w:jc w:val="both"/>
        <w:rPr>
          <w:rFonts w:ascii="Times New Roman" w:hAnsi="Times New Roman"/>
          <w:sz w:val="24"/>
          <w:szCs w:val="24"/>
          <w:lang w:val="es-PE"/>
        </w:rPr>
      </w:pPr>
    </w:p>
    <w:p w:rsidR="00DA1D50" w:rsidRPr="00DA1D50"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DA1D50">
        <w:rPr>
          <w:rFonts w:ascii="Times New Roman" w:hAnsi="Times New Roman"/>
          <w:sz w:val="24"/>
          <w:szCs w:val="24"/>
          <w:lang w:val="es-PE"/>
        </w:rPr>
        <w:t>Nuestros objetivos son: obtener una seguridad razonable de que los estados financieros en su conjunto están libres de incorrección material, debido a fraude o error, y emitir un informe de auditoría que contenga nuestra opinión. Seguridad razonable es un alto grado de seguridad, pero no garantiza que una auditoría realizada de conformidad con la NIA siempre detecte una incorrección material cuando existe. Las incorrecciones pueden deberse a fraude o</w:t>
      </w:r>
      <w:r w:rsidR="00B652CF">
        <w:rPr>
          <w:rFonts w:ascii="Times New Roman" w:hAnsi="Times New Roman"/>
          <w:sz w:val="24"/>
          <w:szCs w:val="24"/>
          <w:lang w:val="es-PE"/>
        </w:rPr>
        <w:t xml:space="preserve"> </w:t>
      </w:r>
      <w:r w:rsidRPr="00DA1D50">
        <w:rPr>
          <w:rFonts w:ascii="Times New Roman" w:hAnsi="Times New Roman"/>
          <w:sz w:val="24"/>
          <w:szCs w:val="24"/>
          <w:lang w:val="es-PE"/>
        </w:rPr>
        <w:t>error y se consideran materiales si, individualmente o de forma agregada, puede preverse razonablemente que influyen en las decisiones económicas que los usuarios toman basándose en los estados financieros.</w:t>
      </w:r>
    </w:p>
    <w:p w:rsidR="00DA1D50" w:rsidRPr="00DA1D50" w:rsidRDefault="00DA1D50" w:rsidP="00DA1D50">
      <w:pPr>
        <w:pStyle w:val="Sinespaciado"/>
        <w:jc w:val="both"/>
        <w:rPr>
          <w:rFonts w:ascii="Times New Roman" w:hAnsi="Times New Roman"/>
          <w:sz w:val="24"/>
          <w:szCs w:val="24"/>
          <w:lang w:val="es-PE"/>
        </w:rPr>
      </w:pPr>
    </w:p>
    <w:p w:rsidR="00DA1D50" w:rsidRPr="00DA1D50"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DA1D50">
        <w:rPr>
          <w:rFonts w:ascii="Times New Roman" w:hAnsi="Times New Roman"/>
          <w:sz w:val="24"/>
          <w:szCs w:val="24"/>
          <w:lang w:val="es-PE"/>
        </w:rPr>
        <w:t>De acuerdo con las Normas Internacionales de Auditoría, en anexo único a este informe, se describe en detalle nuestra responsabilidad en relación con la auditoría a los estados financieros. Esta descripción se encuentra en el anexo único como parte integrante de nuestro informe de auditoría.</w:t>
      </w:r>
    </w:p>
    <w:p w:rsidR="00DA1D50" w:rsidRPr="00DA1D50" w:rsidRDefault="00DA1D50" w:rsidP="00DA1D50">
      <w:pPr>
        <w:pStyle w:val="Sinespaciado"/>
        <w:jc w:val="both"/>
        <w:rPr>
          <w:rFonts w:ascii="Times New Roman" w:hAnsi="Times New Roman"/>
          <w:sz w:val="24"/>
          <w:szCs w:val="24"/>
          <w:lang w:val="es-PE"/>
        </w:rPr>
      </w:pPr>
    </w:p>
    <w:p w:rsidR="00DA1D50" w:rsidRPr="00C71C61"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iCs/>
          <w:sz w:val="24"/>
          <w:szCs w:val="24"/>
          <w:lang w:val="es-PE"/>
        </w:rPr>
      </w:pPr>
      <w:r w:rsidRPr="00C71C61">
        <w:rPr>
          <w:rFonts w:ascii="Times New Roman" w:hAnsi="Times New Roman"/>
          <w:b/>
          <w:iCs/>
          <w:sz w:val="24"/>
          <w:szCs w:val="24"/>
          <w:lang w:val="es-PE"/>
        </w:rPr>
        <w:t>Informe sobre otros requerimientos legales y reglamentarios</w:t>
      </w:r>
    </w:p>
    <w:p w:rsidR="00DA1D50" w:rsidRPr="00DA1D50" w:rsidRDefault="00DA1D50" w:rsidP="00DA1D50">
      <w:pPr>
        <w:pStyle w:val="Sinespaciado"/>
        <w:jc w:val="both"/>
        <w:rPr>
          <w:rFonts w:ascii="Times New Roman" w:hAnsi="Times New Roman"/>
          <w:sz w:val="24"/>
          <w:szCs w:val="24"/>
          <w:lang w:val="es-PE"/>
        </w:rPr>
      </w:pPr>
    </w:p>
    <w:p w:rsidR="00DA1D50" w:rsidRPr="00486816" w:rsidRDefault="00DA1D50" w:rsidP="00DA1D50">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360" w:lineRule="auto"/>
        <w:jc w:val="both"/>
        <w:rPr>
          <w:rFonts w:ascii="Times New Roman" w:hAnsi="Times New Roman"/>
          <w:color w:val="000000" w:themeColor="text1"/>
          <w:sz w:val="24"/>
          <w:szCs w:val="24"/>
          <w:lang w:val="es-PE"/>
        </w:rPr>
      </w:pPr>
      <w:r w:rsidRPr="00486816">
        <w:rPr>
          <w:rFonts w:ascii="Times New Roman" w:hAnsi="Times New Roman"/>
          <w:color w:val="000000" w:themeColor="text1"/>
          <w:sz w:val="24"/>
          <w:szCs w:val="24"/>
          <w:lang w:val="es-PE"/>
        </w:rPr>
        <w:t xml:space="preserve">La contabilidad de la Compañía ha sido llevada conforme a las normas legales y a la técnica contable. </w:t>
      </w:r>
    </w:p>
    <w:p w:rsidR="00DA1D50" w:rsidRPr="00486816"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360"/>
        <w:jc w:val="both"/>
        <w:rPr>
          <w:rFonts w:ascii="Times New Roman" w:hAnsi="Times New Roman"/>
          <w:color w:val="000000" w:themeColor="text1"/>
          <w:sz w:val="24"/>
          <w:szCs w:val="24"/>
          <w:lang w:val="es-PE"/>
        </w:rPr>
      </w:pPr>
    </w:p>
    <w:p w:rsidR="00DA1D50" w:rsidRPr="00486816" w:rsidRDefault="00DA1D50" w:rsidP="00DA1D50">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360" w:lineRule="auto"/>
        <w:jc w:val="both"/>
        <w:rPr>
          <w:rFonts w:ascii="Times New Roman" w:hAnsi="Times New Roman"/>
          <w:color w:val="000000" w:themeColor="text1"/>
          <w:sz w:val="24"/>
          <w:szCs w:val="24"/>
          <w:lang w:val="es-PE"/>
        </w:rPr>
      </w:pPr>
      <w:r w:rsidRPr="00486816">
        <w:rPr>
          <w:rFonts w:ascii="Times New Roman" w:hAnsi="Times New Roman"/>
          <w:color w:val="000000" w:themeColor="text1"/>
          <w:sz w:val="24"/>
          <w:szCs w:val="24"/>
          <w:lang w:val="es-PE"/>
        </w:rPr>
        <w:t>Las operaciones registradas en los libros y los actos de los administradores se ajustan a los estatutos y a las decisiones de la Asamblea de Accionistas.</w:t>
      </w:r>
    </w:p>
    <w:p w:rsidR="00DA1D50" w:rsidRPr="00486816"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360"/>
        <w:jc w:val="both"/>
        <w:rPr>
          <w:rFonts w:ascii="Times New Roman" w:hAnsi="Times New Roman"/>
          <w:color w:val="000000" w:themeColor="text1"/>
          <w:sz w:val="24"/>
          <w:szCs w:val="24"/>
          <w:lang w:val="es-PE"/>
        </w:rPr>
      </w:pPr>
    </w:p>
    <w:p w:rsidR="00DA1D50" w:rsidRPr="00486816" w:rsidRDefault="00DA1D50" w:rsidP="00DA1D50">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360" w:lineRule="auto"/>
        <w:jc w:val="both"/>
        <w:rPr>
          <w:rFonts w:ascii="Times New Roman" w:hAnsi="Times New Roman"/>
          <w:color w:val="000000" w:themeColor="text1"/>
          <w:sz w:val="24"/>
          <w:szCs w:val="24"/>
          <w:lang w:val="es-PE"/>
        </w:rPr>
      </w:pPr>
      <w:r w:rsidRPr="00486816">
        <w:rPr>
          <w:rFonts w:ascii="Times New Roman" w:hAnsi="Times New Roman"/>
          <w:color w:val="000000" w:themeColor="text1"/>
          <w:sz w:val="24"/>
          <w:szCs w:val="24"/>
          <w:lang w:val="es-PE"/>
        </w:rPr>
        <w:t>La correspondencia, los comprobantes de las cuentas y los libros de actas y de registro de acciones se llevan y se conservan debidamente.</w:t>
      </w:r>
    </w:p>
    <w:p w:rsidR="00DA1D50" w:rsidRPr="00486816"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360"/>
        <w:jc w:val="both"/>
        <w:rPr>
          <w:rFonts w:ascii="Times New Roman" w:hAnsi="Times New Roman"/>
          <w:color w:val="000000" w:themeColor="text1"/>
          <w:sz w:val="24"/>
          <w:szCs w:val="24"/>
          <w:lang w:val="es-PE"/>
        </w:rPr>
      </w:pPr>
    </w:p>
    <w:p w:rsidR="00DA1D50" w:rsidRPr="00486816" w:rsidRDefault="00DA1D50" w:rsidP="00DA1D50">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360" w:lineRule="auto"/>
        <w:jc w:val="both"/>
        <w:rPr>
          <w:rFonts w:ascii="Times New Roman" w:hAnsi="Times New Roman"/>
          <w:color w:val="000000" w:themeColor="text1"/>
          <w:sz w:val="24"/>
          <w:szCs w:val="24"/>
          <w:lang w:val="es-PE"/>
        </w:rPr>
      </w:pPr>
      <w:r w:rsidRPr="00486816">
        <w:rPr>
          <w:rFonts w:ascii="Times New Roman" w:hAnsi="Times New Roman"/>
          <w:color w:val="000000" w:themeColor="text1"/>
          <w:sz w:val="24"/>
          <w:szCs w:val="24"/>
          <w:lang w:val="es-PE"/>
        </w:rPr>
        <w:t>Existen medidas adecuadas de control interno, de prevención y control de lavado de activos y de la financiación del terrorismo, de conservación y custodia de los bienes de la Compañía y los de terceros que están en su poder.</w:t>
      </w:r>
    </w:p>
    <w:p w:rsidR="00DA1D50" w:rsidRPr="00486816"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360"/>
        <w:jc w:val="both"/>
        <w:rPr>
          <w:rFonts w:ascii="Times New Roman" w:hAnsi="Times New Roman"/>
          <w:color w:val="000000" w:themeColor="text1"/>
          <w:sz w:val="24"/>
          <w:szCs w:val="24"/>
          <w:lang w:val="es-PE"/>
        </w:rPr>
      </w:pPr>
    </w:p>
    <w:p w:rsidR="00DA1D50" w:rsidRPr="00486816" w:rsidRDefault="00DA1D50" w:rsidP="00DA1D50">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360" w:lineRule="auto"/>
        <w:jc w:val="both"/>
        <w:rPr>
          <w:rFonts w:ascii="Times New Roman" w:hAnsi="Times New Roman"/>
          <w:color w:val="000000" w:themeColor="text1"/>
          <w:sz w:val="24"/>
          <w:szCs w:val="24"/>
          <w:lang w:val="es-PE"/>
        </w:rPr>
      </w:pPr>
      <w:r w:rsidRPr="00486816">
        <w:rPr>
          <w:rFonts w:ascii="Times New Roman" w:hAnsi="Times New Roman"/>
          <w:color w:val="000000" w:themeColor="text1"/>
          <w:sz w:val="24"/>
          <w:szCs w:val="24"/>
          <w:lang w:val="es-PE"/>
        </w:rPr>
        <w:t xml:space="preserve">La información contenida en las declaraciones de autoliquidación de aportes al sistema de seguridad social integral, en particular la relativa a los afiliados y a sus ingresos base de cotización, ha sido tomada de los registros y soportes contables. </w:t>
      </w:r>
    </w:p>
    <w:p w:rsidR="00DA1D50" w:rsidRPr="00486816"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360"/>
        <w:jc w:val="both"/>
        <w:rPr>
          <w:rFonts w:ascii="Times New Roman" w:hAnsi="Times New Roman"/>
          <w:color w:val="000000" w:themeColor="text1"/>
          <w:sz w:val="24"/>
          <w:szCs w:val="24"/>
          <w:lang w:val="es-PE"/>
        </w:rPr>
      </w:pPr>
    </w:p>
    <w:p w:rsidR="00DA1D50" w:rsidRPr="0019769C" w:rsidRDefault="00DA1D50" w:rsidP="0055669C">
      <w:pPr>
        <w:pStyle w:val="Textoindependiente"/>
        <w:numPr>
          <w:ilvl w:val="0"/>
          <w:numId w:val="1"/>
        </w:numPr>
        <w:tabs>
          <w:tab w:val="left" w:pos="1985"/>
          <w:tab w:val="left" w:pos="3402"/>
          <w:tab w:val="left" w:pos="3540"/>
          <w:tab w:val="left" w:pos="4248"/>
          <w:tab w:val="left" w:pos="4956"/>
          <w:tab w:val="left" w:pos="5664"/>
          <w:tab w:val="left" w:pos="6372"/>
          <w:tab w:val="left" w:pos="7080"/>
          <w:tab w:val="left" w:pos="7788"/>
          <w:tab w:val="left" w:pos="8496"/>
        </w:tabs>
        <w:spacing w:line="360" w:lineRule="auto"/>
        <w:jc w:val="both"/>
        <w:rPr>
          <w:rFonts w:ascii="Times New Roman" w:hAnsi="Times New Roman"/>
          <w:sz w:val="24"/>
          <w:szCs w:val="24"/>
          <w:lang w:val="es-PE"/>
        </w:rPr>
      </w:pPr>
      <w:r w:rsidRPr="0019769C">
        <w:rPr>
          <w:rFonts w:ascii="Times New Roman" w:hAnsi="Times New Roman"/>
          <w:color w:val="000000" w:themeColor="text1"/>
          <w:sz w:val="24"/>
          <w:szCs w:val="24"/>
          <w:lang w:val="es-PE"/>
        </w:rPr>
        <w:t>La Compañía no se encuentra en mora por concepto de aportes al sistema de seguridad social integral</w:t>
      </w:r>
      <w:r w:rsidR="0019769C" w:rsidRPr="0019769C">
        <w:rPr>
          <w:rFonts w:ascii="Times New Roman" w:hAnsi="Times New Roman"/>
          <w:color w:val="000000" w:themeColor="text1"/>
          <w:sz w:val="24"/>
          <w:szCs w:val="24"/>
          <w:lang w:val="es-PE"/>
        </w:rPr>
        <w:t xml:space="preserve"> y ente fiscalizados de Impuestos.</w:t>
      </w:r>
    </w:p>
    <w:p w:rsidR="00DA1D50" w:rsidRPr="00DA1D50" w:rsidRDefault="00DA1D50" w:rsidP="00DA1D50">
      <w:pPr>
        <w:pStyle w:val="Sinespaciado"/>
        <w:spacing w:line="360" w:lineRule="auto"/>
        <w:jc w:val="both"/>
        <w:rPr>
          <w:rFonts w:ascii="Times New Roman" w:hAnsi="Times New Roman"/>
          <w:sz w:val="24"/>
          <w:szCs w:val="24"/>
          <w:lang w:val="es-PE"/>
        </w:rPr>
      </w:pPr>
    </w:p>
    <w:p w:rsidR="00274DCE" w:rsidRDefault="00274DCE"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Firma:</w:t>
      </w:r>
    </w:p>
    <w:p w:rsidR="00DA1D50" w:rsidRPr="00200E12"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color w:val="000000" w:themeColor="text1"/>
          <w:sz w:val="24"/>
          <w:szCs w:val="24"/>
          <w:lang w:val="es-PE"/>
        </w:rPr>
      </w:pPr>
      <w:r w:rsidRPr="00200E12">
        <w:rPr>
          <w:rFonts w:ascii="Times New Roman" w:hAnsi="Times New Roman"/>
          <w:color w:val="000000" w:themeColor="text1"/>
          <w:sz w:val="24"/>
          <w:szCs w:val="24"/>
          <w:lang w:val="es-PE"/>
        </w:rPr>
        <w:t xml:space="preserve">Auditor </w:t>
      </w:r>
    </w:p>
    <w:p w:rsidR="00DA1D50" w:rsidRPr="00200E12" w:rsidRDefault="00200E12"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Guatemala, </w:t>
      </w:r>
      <w:r w:rsidR="00DA1D50" w:rsidRPr="00200E12">
        <w:rPr>
          <w:rFonts w:ascii="Times New Roman" w:hAnsi="Times New Roman"/>
          <w:color w:val="000000" w:themeColor="text1"/>
          <w:sz w:val="24"/>
          <w:szCs w:val="24"/>
          <w:lang w:val="es-PE"/>
        </w:rPr>
        <w:t>31 de enero de 20</w:t>
      </w:r>
      <w:r>
        <w:rPr>
          <w:rFonts w:ascii="Times New Roman" w:hAnsi="Times New Roman"/>
          <w:color w:val="000000" w:themeColor="text1"/>
          <w:sz w:val="24"/>
          <w:szCs w:val="24"/>
          <w:lang w:val="es-PE"/>
        </w:rPr>
        <w:t>2</w:t>
      </w:r>
      <w:r w:rsidR="007C0889">
        <w:rPr>
          <w:rFonts w:ascii="Times New Roman" w:hAnsi="Times New Roman"/>
          <w:color w:val="000000" w:themeColor="text1"/>
          <w:sz w:val="24"/>
          <w:szCs w:val="24"/>
          <w:lang w:val="es-PE"/>
        </w:rPr>
        <w:t>X</w:t>
      </w:r>
    </w:p>
    <w:p w:rsidR="00DA1D50" w:rsidRPr="00DA1D50"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color w:val="2E74B5"/>
          <w:sz w:val="24"/>
          <w:szCs w:val="24"/>
          <w:lang w:val="es-PE"/>
        </w:rPr>
      </w:pPr>
    </w:p>
    <w:p w:rsidR="00DA1D50" w:rsidRPr="00DA1D50" w:rsidRDefault="00DA1D50" w:rsidP="00DA1D50">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b/>
          <w:color w:val="2E74B5"/>
          <w:sz w:val="24"/>
          <w:szCs w:val="24"/>
          <w:lang w:val="es-PE"/>
        </w:rPr>
      </w:pPr>
    </w:p>
    <w:sectPr w:rsidR="00DA1D50" w:rsidRPr="00DA1D50" w:rsidSect="00F956CC">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F75" w:rsidRDefault="00C16F75">
      <w:r>
        <w:separator/>
      </w:r>
    </w:p>
  </w:endnote>
  <w:endnote w:type="continuationSeparator" w:id="0">
    <w:p w:rsidR="00C16F75" w:rsidRDefault="00C16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D1A" w:rsidRDefault="00C16F75">
    <w:pPr>
      <w:pStyle w:val="Piedepgina"/>
      <w:jc w:val="right"/>
    </w:pPr>
  </w:p>
  <w:p w:rsidR="008D1D1A" w:rsidRDefault="00C16F7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F75" w:rsidRDefault="00C16F75">
      <w:r>
        <w:separator/>
      </w:r>
    </w:p>
  </w:footnote>
  <w:footnote w:type="continuationSeparator" w:id="0">
    <w:p w:rsidR="00C16F75" w:rsidRDefault="00C16F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3109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50"/>
    <w:rsid w:val="0006168D"/>
    <w:rsid w:val="000A2403"/>
    <w:rsid w:val="000F25CD"/>
    <w:rsid w:val="0014196A"/>
    <w:rsid w:val="00164CEF"/>
    <w:rsid w:val="0016522B"/>
    <w:rsid w:val="00167941"/>
    <w:rsid w:val="0019769C"/>
    <w:rsid w:val="001F58F4"/>
    <w:rsid w:val="00200E12"/>
    <w:rsid w:val="00274DCE"/>
    <w:rsid w:val="00366CC5"/>
    <w:rsid w:val="00392215"/>
    <w:rsid w:val="003A512F"/>
    <w:rsid w:val="00486816"/>
    <w:rsid w:val="004A7FB0"/>
    <w:rsid w:val="00525521"/>
    <w:rsid w:val="005D6AAE"/>
    <w:rsid w:val="005F1FE5"/>
    <w:rsid w:val="00606353"/>
    <w:rsid w:val="00655479"/>
    <w:rsid w:val="00662FB2"/>
    <w:rsid w:val="00791506"/>
    <w:rsid w:val="007C0889"/>
    <w:rsid w:val="008859EF"/>
    <w:rsid w:val="008E5ABB"/>
    <w:rsid w:val="00925F99"/>
    <w:rsid w:val="00987B26"/>
    <w:rsid w:val="00A10B70"/>
    <w:rsid w:val="00A6097C"/>
    <w:rsid w:val="00AB313D"/>
    <w:rsid w:val="00B652CF"/>
    <w:rsid w:val="00C167B0"/>
    <w:rsid w:val="00C16F75"/>
    <w:rsid w:val="00C71C61"/>
    <w:rsid w:val="00D64DA4"/>
    <w:rsid w:val="00DA1D50"/>
    <w:rsid w:val="00EC4410"/>
    <w:rsid w:val="00EF3FF2"/>
    <w:rsid w:val="00F906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C4A6"/>
  <w15:chartTrackingRefBased/>
  <w15:docId w15:val="{84815B7B-4C00-4DD2-9FE5-76E8C3CF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A1D50"/>
    <w:pPr>
      <w:widowControl w:val="0"/>
      <w:spacing w:after="0" w:line="240" w:lineRule="auto"/>
    </w:pPr>
    <w:rPr>
      <w:rFonts w:ascii="Calibri" w:eastAsia="Calibri" w:hAnsi="Calibri" w:cs="Times New Roman"/>
      <w:lang w:val="es-CO"/>
    </w:rPr>
  </w:style>
  <w:style w:type="paragraph" w:styleId="Ttulo1">
    <w:name w:val="heading 1"/>
    <w:basedOn w:val="Normal"/>
    <w:next w:val="Normal"/>
    <w:link w:val="Ttulo1Car"/>
    <w:uiPriority w:val="9"/>
    <w:qFormat/>
    <w:rsid w:val="00DA1D50"/>
    <w:pPr>
      <w:keepNext/>
      <w:keepLines/>
      <w:spacing w:before="240"/>
      <w:outlineLvl w:val="0"/>
    </w:pPr>
    <w:rPr>
      <w:rFonts w:ascii="Calibri Light" w:eastAsia="Times New Roman" w:hAnsi="Calibri Light"/>
      <w:color w:val="2F5496"/>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D50"/>
    <w:rPr>
      <w:rFonts w:ascii="Calibri Light" w:eastAsia="Times New Roman" w:hAnsi="Calibri Light" w:cs="Times New Roman"/>
      <w:color w:val="2F5496"/>
      <w:sz w:val="32"/>
      <w:szCs w:val="32"/>
      <w:lang w:val="es-CO"/>
    </w:rPr>
  </w:style>
  <w:style w:type="paragraph" w:styleId="Textoindependiente">
    <w:name w:val="Body Text"/>
    <w:basedOn w:val="Normal"/>
    <w:link w:val="TextoindependienteCar"/>
    <w:uiPriority w:val="1"/>
    <w:qFormat/>
    <w:rsid w:val="00DA1D50"/>
    <w:pPr>
      <w:ind w:left="1256"/>
    </w:pPr>
    <w:rPr>
      <w:rFonts w:ascii="Arial" w:eastAsia="Arial" w:hAnsi="Arial"/>
      <w:sz w:val="20"/>
      <w:szCs w:val="20"/>
    </w:rPr>
  </w:style>
  <w:style w:type="character" w:customStyle="1" w:styleId="TextoindependienteCar">
    <w:name w:val="Texto independiente Car"/>
    <w:basedOn w:val="Fuentedeprrafopredeter"/>
    <w:link w:val="Textoindependiente"/>
    <w:uiPriority w:val="1"/>
    <w:rsid w:val="00DA1D50"/>
    <w:rPr>
      <w:rFonts w:ascii="Arial" w:eastAsia="Arial" w:hAnsi="Arial" w:cs="Times New Roman"/>
      <w:sz w:val="20"/>
      <w:szCs w:val="20"/>
      <w:lang w:val="es-CO"/>
    </w:rPr>
  </w:style>
  <w:style w:type="paragraph" w:styleId="Prrafodelista">
    <w:name w:val="List Paragraph"/>
    <w:basedOn w:val="Normal"/>
    <w:uiPriority w:val="34"/>
    <w:qFormat/>
    <w:rsid w:val="00DA1D50"/>
  </w:style>
  <w:style w:type="paragraph" w:styleId="Sinespaciado">
    <w:name w:val="No Spacing"/>
    <w:uiPriority w:val="1"/>
    <w:qFormat/>
    <w:rsid w:val="00DA1D50"/>
    <w:pPr>
      <w:spacing w:after="0" w:line="240" w:lineRule="auto"/>
    </w:pPr>
    <w:rPr>
      <w:rFonts w:ascii="Calibri" w:eastAsia="Calibri" w:hAnsi="Calibri" w:cs="Times New Roman"/>
      <w:lang w:val="es-CO"/>
    </w:rPr>
  </w:style>
  <w:style w:type="paragraph" w:styleId="Piedepgina">
    <w:name w:val="footer"/>
    <w:basedOn w:val="Normal"/>
    <w:link w:val="PiedepginaCar"/>
    <w:uiPriority w:val="99"/>
    <w:unhideWhenUsed/>
    <w:rsid w:val="00DA1D50"/>
    <w:pPr>
      <w:tabs>
        <w:tab w:val="center" w:pos="4252"/>
        <w:tab w:val="right" w:pos="8504"/>
      </w:tabs>
    </w:pPr>
  </w:style>
  <w:style w:type="character" w:customStyle="1" w:styleId="PiedepginaCar">
    <w:name w:val="Pie de página Car"/>
    <w:basedOn w:val="Fuentedeprrafopredeter"/>
    <w:link w:val="Piedepgina"/>
    <w:uiPriority w:val="99"/>
    <w:rsid w:val="00DA1D50"/>
    <w:rPr>
      <w:rFonts w:ascii="Calibri" w:eastAsia="Calibri" w:hAnsi="Calibri" w:cs="Times New Roman"/>
      <w:lang w:val="es-CO"/>
    </w:rPr>
  </w:style>
  <w:style w:type="paragraph" w:styleId="Encabezado">
    <w:name w:val="header"/>
    <w:basedOn w:val="Normal"/>
    <w:link w:val="EncabezadoCar"/>
    <w:uiPriority w:val="99"/>
    <w:unhideWhenUsed/>
    <w:rsid w:val="0014196A"/>
    <w:pPr>
      <w:tabs>
        <w:tab w:val="center" w:pos="4419"/>
        <w:tab w:val="right" w:pos="8838"/>
      </w:tabs>
    </w:pPr>
  </w:style>
  <w:style w:type="character" w:customStyle="1" w:styleId="EncabezadoCar">
    <w:name w:val="Encabezado Car"/>
    <w:basedOn w:val="Fuentedeprrafopredeter"/>
    <w:link w:val="Encabezado"/>
    <w:uiPriority w:val="99"/>
    <w:rsid w:val="0014196A"/>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918</Words>
  <Characters>5049</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Victor Juárez</cp:lastModifiedBy>
  <cp:revision>35</cp:revision>
  <dcterms:created xsi:type="dcterms:W3CDTF">2020-03-31T20:52:00Z</dcterms:created>
  <dcterms:modified xsi:type="dcterms:W3CDTF">2024-10-31T12:51:00Z</dcterms:modified>
</cp:coreProperties>
</file>