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410" w:rsidRDefault="00607410" w:rsidP="00601FA5">
      <w:pPr>
        <w:pStyle w:val="Ttulo1"/>
        <w:spacing w:line="360" w:lineRule="auto"/>
        <w:jc w:val="center"/>
        <w:rPr>
          <w:rFonts w:ascii="Times New Roman" w:hAnsi="Times New Roman"/>
          <w:b/>
          <w:color w:val="auto"/>
          <w:sz w:val="24"/>
          <w:szCs w:val="24"/>
          <w:highlight w:val="yellow"/>
          <w:lang w:val="es-PE"/>
        </w:rPr>
      </w:pPr>
      <w:bookmarkStart w:id="0" w:name="_Toc473732411"/>
      <w:bookmarkStart w:id="1" w:name="_GoBack"/>
      <w:bookmarkEnd w:id="1"/>
      <w:r w:rsidRPr="00607410">
        <w:rPr>
          <w:rFonts w:ascii="Times New Roman" w:hAnsi="Times New Roman"/>
          <w:b/>
          <w:color w:val="auto"/>
          <w:sz w:val="24"/>
          <w:szCs w:val="24"/>
          <w:highlight w:val="yellow"/>
          <w:lang w:val="es-PE"/>
        </w:rPr>
        <w:t>Dictamen</w:t>
      </w:r>
      <w:r w:rsidRPr="00607410">
        <w:rPr>
          <w:rFonts w:ascii="Times New Roman" w:hAnsi="Times New Roman"/>
          <w:b/>
          <w:color w:val="auto"/>
          <w:sz w:val="24"/>
          <w:szCs w:val="24"/>
          <w:lang w:val="es-PE"/>
        </w:rPr>
        <w:t xml:space="preserve"> </w:t>
      </w:r>
      <w:r w:rsidR="00601FA5" w:rsidRPr="00462E26">
        <w:rPr>
          <w:rFonts w:ascii="Times New Roman" w:hAnsi="Times New Roman"/>
          <w:b/>
          <w:color w:val="auto"/>
          <w:sz w:val="24"/>
          <w:szCs w:val="24"/>
          <w:highlight w:val="yellow"/>
          <w:lang w:val="es-PE"/>
        </w:rPr>
        <w:t xml:space="preserve">de Auditoría. Estados Financieros </w:t>
      </w:r>
    </w:p>
    <w:p w:rsidR="00601FA5" w:rsidRPr="00601FA5" w:rsidRDefault="00601FA5" w:rsidP="00601FA5">
      <w:pPr>
        <w:pStyle w:val="Ttulo1"/>
        <w:spacing w:line="360" w:lineRule="auto"/>
        <w:jc w:val="center"/>
        <w:rPr>
          <w:rFonts w:ascii="Times New Roman" w:hAnsi="Times New Roman"/>
          <w:b/>
          <w:color w:val="auto"/>
          <w:sz w:val="24"/>
          <w:szCs w:val="24"/>
          <w:lang w:val="es-PE"/>
        </w:rPr>
      </w:pPr>
      <w:r w:rsidRPr="00462E26">
        <w:rPr>
          <w:rFonts w:ascii="Times New Roman" w:hAnsi="Times New Roman"/>
          <w:b/>
          <w:color w:val="auto"/>
          <w:sz w:val="24"/>
          <w:szCs w:val="24"/>
          <w:highlight w:val="yellow"/>
          <w:lang w:val="es-PE"/>
        </w:rPr>
        <w:t>Preparados con base en Disposiciones Especiales de un Contrato</w:t>
      </w:r>
    </w:p>
    <w:bookmarkEnd w:id="0"/>
    <w:p w:rsidR="00601FA5" w:rsidRPr="00005C9C" w:rsidRDefault="00601FA5" w:rsidP="00601FA5">
      <w:pPr>
        <w:pStyle w:val="Sinespaciado"/>
        <w:rPr>
          <w:rFonts w:ascii="Times New Roman" w:hAnsi="Times New Roman"/>
          <w:sz w:val="24"/>
          <w:szCs w:val="24"/>
          <w:lang w:val="es-PE"/>
        </w:rPr>
      </w:pPr>
    </w:p>
    <w:p w:rsidR="00601FA5" w:rsidRPr="00601FA5" w:rsidRDefault="00601FA5" w:rsidP="00601FA5">
      <w:pPr>
        <w:pStyle w:val="Sinespaciado"/>
        <w:spacing w:line="360" w:lineRule="auto"/>
        <w:jc w:val="both"/>
        <w:rPr>
          <w:rFonts w:ascii="Times New Roman" w:hAnsi="Times New Roman"/>
          <w:sz w:val="24"/>
          <w:szCs w:val="24"/>
          <w:lang w:val="es-ES_tradnl"/>
        </w:rPr>
      </w:pPr>
    </w:p>
    <w:p w:rsidR="00601FA5" w:rsidRPr="00601FA5" w:rsidRDefault="00601FA5" w:rsidP="00601FA5">
      <w:pPr>
        <w:pStyle w:val="Sinespaciado"/>
        <w:spacing w:line="360" w:lineRule="auto"/>
        <w:jc w:val="both"/>
        <w:rPr>
          <w:rFonts w:ascii="Times New Roman" w:hAnsi="Times New Roman"/>
          <w:sz w:val="24"/>
          <w:szCs w:val="24"/>
          <w:lang w:val="es-ES_tradnl"/>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themeColor="text1"/>
          <w:sz w:val="24"/>
          <w:szCs w:val="24"/>
        </w:rPr>
      </w:pPr>
      <w:bookmarkStart w:id="2" w:name="_Hlk504899989"/>
      <w:r w:rsidRPr="005F4313">
        <w:rPr>
          <w:rFonts w:ascii="Times New Roman" w:hAnsi="Times New Roman"/>
          <w:b/>
          <w:color w:val="000000" w:themeColor="text1"/>
          <w:sz w:val="24"/>
          <w:szCs w:val="24"/>
        </w:rPr>
        <w:t>Informe de auditoría emitido por un auditor independiente</w:t>
      </w:r>
    </w:p>
    <w:bookmarkEnd w:id="2"/>
    <w:p w:rsidR="00601FA5" w:rsidRPr="005F4313" w:rsidRDefault="00601FA5" w:rsidP="00601FA5">
      <w:pPr>
        <w:pStyle w:val="Sinespaciado"/>
        <w:rPr>
          <w:rFonts w:ascii="Times New Roman" w:hAnsi="Times New Roman"/>
          <w:color w:val="000000" w:themeColor="text1"/>
          <w:sz w:val="24"/>
          <w:szCs w:val="24"/>
        </w:rPr>
      </w:pPr>
    </w:p>
    <w:p w:rsidR="00601FA5" w:rsidRDefault="00601FA5" w:rsidP="002B5F5E">
      <w:pPr>
        <w:spacing w:line="360" w:lineRule="auto"/>
        <w:rPr>
          <w:rFonts w:ascii="Arial" w:hAnsi="Arial" w:cs="Arial"/>
        </w:rPr>
      </w:pPr>
      <w:r w:rsidRPr="005F4313">
        <w:rPr>
          <w:rFonts w:ascii="Times New Roman" w:hAnsi="Times New Roman"/>
          <w:color w:val="000000" w:themeColor="text1"/>
          <w:sz w:val="24"/>
          <w:szCs w:val="24"/>
        </w:rPr>
        <w:t xml:space="preserve">A los accionistas de la Sociedad </w:t>
      </w:r>
      <w:r w:rsidR="002B5F5E">
        <w:rPr>
          <w:rFonts w:ascii="Arial" w:hAnsi="Arial" w:cs="Arial"/>
        </w:rPr>
        <w:t xml:space="preserve">ABC, S.A.  </w:t>
      </w:r>
    </w:p>
    <w:p w:rsidR="002B5F5E" w:rsidRPr="005F4313" w:rsidRDefault="002B5F5E" w:rsidP="002B5F5E">
      <w:pPr>
        <w:spacing w:line="360" w:lineRule="auto"/>
        <w:rPr>
          <w:rFonts w:ascii="Times New Roman" w:hAnsi="Times New Roman"/>
          <w:color w:val="000000" w:themeColor="text1"/>
          <w:sz w:val="24"/>
          <w:szCs w:val="24"/>
        </w:rPr>
      </w:pPr>
    </w:p>
    <w:p w:rsidR="00601FA5" w:rsidRPr="005F4313" w:rsidRDefault="00601FA5" w:rsidP="00601FA5">
      <w:pPr>
        <w:spacing w:line="360" w:lineRule="auto"/>
        <w:rPr>
          <w:rFonts w:ascii="Times New Roman" w:hAnsi="Times New Roman"/>
          <w:b/>
          <w:color w:val="000000" w:themeColor="text1"/>
          <w:sz w:val="24"/>
          <w:szCs w:val="24"/>
        </w:rPr>
      </w:pPr>
      <w:r w:rsidRPr="005F4313">
        <w:rPr>
          <w:rFonts w:ascii="Times New Roman" w:hAnsi="Times New Roman"/>
          <w:b/>
          <w:color w:val="000000" w:themeColor="text1"/>
          <w:sz w:val="24"/>
          <w:szCs w:val="24"/>
        </w:rPr>
        <w:t>Informe sobre la auditoría de los estados financieros</w:t>
      </w:r>
    </w:p>
    <w:p w:rsidR="00601FA5" w:rsidRPr="005F4313" w:rsidRDefault="00601FA5" w:rsidP="00601FA5">
      <w:pPr>
        <w:pStyle w:val="Sinespaciado"/>
        <w:rPr>
          <w:rFonts w:ascii="Times New Roman" w:hAnsi="Times New Roman"/>
          <w:color w:val="000000" w:themeColor="text1"/>
          <w:sz w:val="24"/>
          <w:szCs w:val="24"/>
        </w:rPr>
      </w:pPr>
    </w:p>
    <w:p w:rsidR="00601FA5" w:rsidRPr="000D6D15" w:rsidRDefault="00601FA5" w:rsidP="00601FA5">
      <w:pPr>
        <w:spacing w:line="360" w:lineRule="auto"/>
        <w:rPr>
          <w:rFonts w:ascii="Times New Roman" w:hAnsi="Times New Roman"/>
          <w:b/>
          <w:bCs/>
          <w:iCs/>
          <w:color w:val="000000" w:themeColor="text1"/>
          <w:sz w:val="24"/>
          <w:szCs w:val="24"/>
        </w:rPr>
      </w:pPr>
      <w:r w:rsidRPr="000D6D15">
        <w:rPr>
          <w:rFonts w:ascii="Times New Roman" w:hAnsi="Times New Roman"/>
          <w:b/>
          <w:bCs/>
          <w:iCs/>
          <w:color w:val="000000" w:themeColor="text1"/>
          <w:sz w:val="24"/>
          <w:szCs w:val="24"/>
          <w:highlight w:val="yellow"/>
        </w:rPr>
        <w:t>Opinión</w:t>
      </w:r>
    </w:p>
    <w:p w:rsidR="00601FA5" w:rsidRPr="005F4313" w:rsidRDefault="00601FA5" w:rsidP="00601FA5">
      <w:pPr>
        <w:pStyle w:val="Sinespaciado"/>
        <w:rPr>
          <w:rFonts w:ascii="Times New Roman" w:hAnsi="Times New Roman"/>
          <w:color w:val="000000" w:themeColor="text1"/>
          <w:sz w:val="24"/>
          <w:szCs w:val="24"/>
        </w:rPr>
      </w:pPr>
    </w:p>
    <w:p w:rsidR="00601FA5" w:rsidRPr="005F4313" w:rsidRDefault="00601FA5" w:rsidP="00601FA5">
      <w:pPr>
        <w:spacing w:line="276" w:lineRule="auto"/>
        <w:jc w:val="both"/>
        <w:rPr>
          <w:rFonts w:ascii="Times New Roman" w:hAnsi="Times New Roman"/>
          <w:color w:val="000000" w:themeColor="text1"/>
          <w:sz w:val="24"/>
          <w:szCs w:val="24"/>
        </w:rPr>
      </w:pPr>
      <w:r w:rsidRPr="005F4313">
        <w:rPr>
          <w:rFonts w:ascii="Times New Roman" w:hAnsi="Times New Roman"/>
          <w:color w:val="000000" w:themeColor="text1"/>
          <w:sz w:val="24"/>
          <w:szCs w:val="24"/>
        </w:rPr>
        <w:t>Hemos auditado los estados financieros de Ejemplo</w:t>
      </w:r>
      <w:r w:rsidR="002B5F5E">
        <w:rPr>
          <w:rFonts w:ascii="Times New Roman" w:hAnsi="Times New Roman"/>
          <w:color w:val="000000" w:themeColor="text1"/>
          <w:sz w:val="24"/>
          <w:szCs w:val="24"/>
        </w:rPr>
        <w:t xml:space="preserve"> </w:t>
      </w:r>
      <w:r w:rsidR="002B5F5E">
        <w:rPr>
          <w:rFonts w:ascii="Arial" w:hAnsi="Arial" w:cs="Arial"/>
        </w:rPr>
        <w:t>ABC, S. A.</w:t>
      </w:r>
      <w:r w:rsidRPr="005F4313">
        <w:rPr>
          <w:rFonts w:ascii="Times New Roman" w:hAnsi="Times New Roman"/>
          <w:color w:val="000000" w:themeColor="text1"/>
          <w:sz w:val="24"/>
          <w:szCs w:val="24"/>
        </w:rPr>
        <w:t xml:space="preserve">, que comprenden el estado de situación financiera al 31 de diciembre de </w:t>
      </w:r>
      <w:r w:rsidR="00976F84" w:rsidRPr="00C8256B">
        <w:rPr>
          <w:rFonts w:ascii="Times New Roman" w:hAnsi="Times New Roman"/>
          <w:sz w:val="24"/>
          <w:szCs w:val="24"/>
          <w:lang w:val="es-PE"/>
        </w:rPr>
        <w:t>20</w:t>
      </w:r>
      <w:r w:rsidR="00976F84">
        <w:rPr>
          <w:rFonts w:ascii="Times New Roman" w:hAnsi="Times New Roman"/>
          <w:sz w:val="24"/>
          <w:szCs w:val="24"/>
          <w:lang w:val="es-PE"/>
        </w:rPr>
        <w:t>23 y</w:t>
      </w:r>
      <w:r w:rsidR="00976F84" w:rsidRPr="00C8256B">
        <w:rPr>
          <w:rFonts w:ascii="Times New Roman" w:hAnsi="Times New Roman"/>
          <w:sz w:val="24"/>
          <w:szCs w:val="24"/>
          <w:lang w:val="es-PE"/>
        </w:rPr>
        <w:t xml:space="preserve"> 20</w:t>
      </w:r>
      <w:r w:rsidR="00976F84">
        <w:rPr>
          <w:rFonts w:ascii="Times New Roman" w:hAnsi="Times New Roman"/>
          <w:sz w:val="24"/>
          <w:szCs w:val="24"/>
          <w:lang w:val="es-PE"/>
        </w:rPr>
        <w:t>24,</w:t>
      </w:r>
      <w:r w:rsidR="00976F84">
        <w:rPr>
          <w:rFonts w:ascii="Times New Roman" w:hAnsi="Times New Roman"/>
          <w:sz w:val="24"/>
          <w:szCs w:val="24"/>
          <w:lang w:val="es-PE"/>
        </w:rPr>
        <w:t xml:space="preserve"> </w:t>
      </w:r>
      <w:r w:rsidRPr="005F4313">
        <w:rPr>
          <w:rFonts w:ascii="Times New Roman" w:hAnsi="Times New Roman"/>
          <w:color w:val="000000" w:themeColor="text1"/>
          <w:sz w:val="24"/>
          <w:szCs w:val="24"/>
        </w:rPr>
        <w:t>el estado del resultado global, el estado de cambios en el patrimonio neto y el estado de flujos de efectivo correspondientes al ejercicio terminado en dicha fecha, así como las notas explicativas de los estados financieros que incluyen un resumen de las políticas contables significativas.</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spacing w:line="276" w:lineRule="auto"/>
        <w:jc w:val="both"/>
        <w:rPr>
          <w:rFonts w:ascii="Times New Roman" w:hAnsi="Times New Roman"/>
          <w:color w:val="000000" w:themeColor="text1"/>
          <w:sz w:val="24"/>
          <w:szCs w:val="24"/>
        </w:rPr>
      </w:pPr>
      <w:r w:rsidRPr="005F4313">
        <w:rPr>
          <w:rFonts w:ascii="Times New Roman" w:hAnsi="Times New Roman"/>
          <w:color w:val="000000" w:themeColor="text1"/>
          <w:sz w:val="24"/>
          <w:szCs w:val="24"/>
        </w:rPr>
        <w:t xml:space="preserve">En nuestra opinión, </w:t>
      </w:r>
      <w:r w:rsidRPr="005F4313">
        <w:rPr>
          <w:rFonts w:ascii="Times New Roman" w:hAnsi="Times New Roman"/>
          <w:color w:val="000000" w:themeColor="text1"/>
          <w:sz w:val="24"/>
          <w:szCs w:val="24"/>
          <w:shd w:val="clear" w:color="auto" w:fill="FFFFFF"/>
        </w:rPr>
        <w:t>excepto por los efectos de la cuestión descrita en la sección “</w:t>
      </w:r>
      <w:r w:rsidRPr="005F4313">
        <w:rPr>
          <w:rFonts w:ascii="Times New Roman" w:hAnsi="Times New Roman"/>
          <w:i/>
          <w:color w:val="000000" w:themeColor="text1"/>
          <w:sz w:val="24"/>
          <w:szCs w:val="24"/>
          <w:shd w:val="clear" w:color="auto" w:fill="FFFFFF"/>
        </w:rPr>
        <w:t>Fundamento de la opinión”</w:t>
      </w:r>
      <w:r w:rsidR="00F2787D" w:rsidRPr="005F4313">
        <w:rPr>
          <w:rFonts w:ascii="Times New Roman" w:hAnsi="Times New Roman"/>
          <w:i/>
          <w:color w:val="000000" w:themeColor="text1"/>
          <w:sz w:val="24"/>
          <w:szCs w:val="24"/>
          <w:shd w:val="clear" w:color="auto" w:fill="FFFFFF"/>
        </w:rPr>
        <w:t xml:space="preserve"> </w:t>
      </w:r>
      <w:r w:rsidRPr="005F4313">
        <w:rPr>
          <w:rFonts w:ascii="Times New Roman" w:hAnsi="Times New Roman"/>
          <w:color w:val="000000" w:themeColor="text1"/>
          <w:sz w:val="24"/>
          <w:szCs w:val="24"/>
          <w:shd w:val="clear" w:color="auto" w:fill="FFFFFF"/>
        </w:rPr>
        <w:t xml:space="preserve">de nuestro informe, </w:t>
      </w:r>
      <w:r w:rsidRPr="005F4313">
        <w:rPr>
          <w:rFonts w:ascii="Times New Roman" w:hAnsi="Times New Roman"/>
          <w:color w:val="000000" w:themeColor="text1"/>
          <w:sz w:val="24"/>
          <w:szCs w:val="24"/>
        </w:rPr>
        <w:t>los estados financieros adjuntos presentan razonablemente, en todos los aspectos materiales, la situación financiera de la Sociedad al</w:t>
      </w:r>
      <w:r w:rsidR="00976F84">
        <w:rPr>
          <w:rFonts w:ascii="Times New Roman" w:hAnsi="Times New Roman"/>
          <w:color w:val="000000" w:themeColor="text1"/>
          <w:sz w:val="24"/>
          <w:szCs w:val="24"/>
        </w:rPr>
        <w:t xml:space="preserve"> </w:t>
      </w:r>
      <w:r w:rsidRPr="005F4313">
        <w:rPr>
          <w:rFonts w:ascii="Times New Roman" w:hAnsi="Times New Roman"/>
          <w:color w:val="000000" w:themeColor="text1"/>
          <w:sz w:val="24"/>
          <w:szCs w:val="24"/>
        </w:rPr>
        <w:t xml:space="preserve">31 de diciembre de </w:t>
      </w:r>
      <w:r w:rsidR="00976F84" w:rsidRPr="00C8256B">
        <w:rPr>
          <w:rFonts w:ascii="Times New Roman" w:hAnsi="Times New Roman"/>
          <w:sz w:val="24"/>
          <w:szCs w:val="24"/>
          <w:lang w:val="es-PE"/>
        </w:rPr>
        <w:t>20</w:t>
      </w:r>
      <w:r w:rsidR="00976F84">
        <w:rPr>
          <w:rFonts w:ascii="Times New Roman" w:hAnsi="Times New Roman"/>
          <w:sz w:val="24"/>
          <w:szCs w:val="24"/>
          <w:lang w:val="es-PE"/>
        </w:rPr>
        <w:t>23 y</w:t>
      </w:r>
      <w:r w:rsidR="00976F84" w:rsidRPr="00C8256B">
        <w:rPr>
          <w:rFonts w:ascii="Times New Roman" w:hAnsi="Times New Roman"/>
          <w:sz w:val="24"/>
          <w:szCs w:val="24"/>
          <w:lang w:val="es-PE"/>
        </w:rPr>
        <w:t xml:space="preserve"> 20</w:t>
      </w:r>
      <w:r w:rsidR="00976F84">
        <w:rPr>
          <w:rFonts w:ascii="Times New Roman" w:hAnsi="Times New Roman"/>
          <w:sz w:val="24"/>
          <w:szCs w:val="24"/>
          <w:lang w:val="es-PE"/>
        </w:rPr>
        <w:t>24,</w:t>
      </w:r>
      <w:r w:rsidR="00976F84">
        <w:rPr>
          <w:rFonts w:ascii="Times New Roman" w:hAnsi="Times New Roman"/>
          <w:sz w:val="24"/>
          <w:szCs w:val="24"/>
          <w:lang w:val="es-PE"/>
        </w:rPr>
        <w:t xml:space="preserve"> </w:t>
      </w:r>
      <w:r w:rsidRPr="005F4313">
        <w:rPr>
          <w:rFonts w:ascii="Times New Roman" w:hAnsi="Times New Roman"/>
          <w:color w:val="000000" w:themeColor="text1"/>
          <w:sz w:val="24"/>
          <w:szCs w:val="24"/>
        </w:rPr>
        <w:t>así como sus resultados y flujos de efectivo correspondientes al ejercicio terminado en dicha fecha, de conformidad con las Normas Internacionales de Información Financiera (NIIF).</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0D6D15" w:rsidRDefault="00601FA5" w:rsidP="00601FA5">
      <w:pPr>
        <w:spacing w:line="276" w:lineRule="auto"/>
        <w:jc w:val="both"/>
        <w:rPr>
          <w:rFonts w:ascii="Times New Roman" w:hAnsi="Times New Roman"/>
          <w:b/>
          <w:bCs/>
          <w:iCs/>
          <w:color w:val="000000" w:themeColor="text1"/>
          <w:sz w:val="24"/>
          <w:szCs w:val="24"/>
          <w:shd w:val="clear" w:color="auto" w:fill="FFFFFF"/>
        </w:rPr>
      </w:pPr>
      <w:r w:rsidRPr="000D6D15">
        <w:rPr>
          <w:rFonts w:ascii="Times New Roman" w:hAnsi="Times New Roman"/>
          <w:b/>
          <w:bCs/>
          <w:iCs/>
          <w:color w:val="000000" w:themeColor="text1"/>
          <w:sz w:val="24"/>
          <w:szCs w:val="24"/>
          <w:highlight w:val="yellow"/>
        </w:rPr>
        <w:t>Fundamento de la opinión con salv</w:t>
      </w:r>
      <w:r w:rsidRPr="000D6D15">
        <w:rPr>
          <w:rFonts w:ascii="Times New Roman" w:hAnsi="Times New Roman"/>
          <w:b/>
          <w:bCs/>
          <w:iCs/>
          <w:color w:val="000000" w:themeColor="text1"/>
          <w:sz w:val="24"/>
          <w:szCs w:val="24"/>
          <w:highlight w:val="yellow"/>
          <w:shd w:val="clear" w:color="auto" w:fill="FFFFFF"/>
        </w:rPr>
        <w:t>edades</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spacing w:line="276" w:lineRule="auto"/>
        <w:jc w:val="both"/>
        <w:rPr>
          <w:rFonts w:ascii="Times New Roman" w:hAnsi="Times New Roman"/>
          <w:color w:val="000000" w:themeColor="text1"/>
          <w:sz w:val="24"/>
          <w:szCs w:val="24"/>
        </w:rPr>
      </w:pPr>
      <w:r w:rsidRPr="005F4313">
        <w:rPr>
          <w:rFonts w:ascii="Times New Roman" w:hAnsi="Times New Roman"/>
          <w:color w:val="000000" w:themeColor="text1"/>
          <w:sz w:val="24"/>
          <w:szCs w:val="24"/>
          <w:lang w:val="es-PE"/>
        </w:rPr>
        <w:t xml:space="preserve">Hemos llevado a cabo nuestra auditoría de conformidad con las Normas Internacionales de Auditoría (NIA). Nuestras responsabilidades, de acuerdo con dichas normas, se describen más adelante en la sección </w:t>
      </w:r>
      <w:r w:rsidRPr="005F4313">
        <w:rPr>
          <w:rFonts w:ascii="Times New Roman" w:hAnsi="Times New Roman"/>
          <w:i/>
          <w:color w:val="000000" w:themeColor="text1"/>
          <w:sz w:val="24"/>
          <w:szCs w:val="24"/>
          <w:lang w:val="es-PE"/>
        </w:rPr>
        <w:t>Responsabilidades del auditor en relación con la auditoría de los estados financieros de nuestro informe</w:t>
      </w:r>
      <w:r w:rsidRPr="005F4313">
        <w:rPr>
          <w:rFonts w:ascii="Times New Roman" w:hAnsi="Times New Roman"/>
          <w:color w:val="000000" w:themeColor="text1"/>
          <w:sz w:val="24"/>
          <w:szCs w:val="24"/>
          <w:lang w:val="es-PE"/>
        </w:rPr>
        <w:t xml:space="preserve">. Somos independientes de la sociedad de conformidad con el </w:t>
      </w:r>
      <w:r w:rsidRPr="005F4313">
        <w:rPr>
          <w:rFonts w:ascii="Times New Roman" w:eastAsia="Arial" w:hAnsi="Times New Roman"/>
          <w:color w:val="000000" w:themeColor="text1"/>
          <w:sz w:val="24"/>
          <w:szCs w:val="24"/>
          <w:lang w:val="es-PE"/>
        </w:rPr>
        <w:t>“Código de Ética para Profesionales de la Contabilidad del Consejo de Normas Internacionales de Ética para Contadores” (“Código de Ética del IESBA”)</w:t>
      </w:r>
      <w:r w:rsidR="000D6D15">
        <w:rPr>
          <w:rFonts w:ascii="Times New Roman" w:eastAsia="Arial" w:hAnsi="Times New Roman"/>
          <w:color w:val="000000" w:themeColor="text1"/>
          <w:sz w:val="24"/>
          <w:szCs w:val="24"/>
          <w:lang w:val="es-PE"/>
        </w:rPr>
        <w:t xml:space="preserve"> </w:t>
      </w:r>
      <w:r w:rsidRPr="005F4313">
        <w:rPr>
          <w:rFonts w:ascii="Times New Roman" w:eastAsia="Arial" w:hAnsi="Times New Roman"/>
          <w:color w:val="000000" w:themeColor="text1"/>
          <w:sz w:val="24"/>
          <w:szCs w:val="24"/>
          <w:lang w:val="es-PE"/>
        </w:rPr>
        <w:t xml:space="preserve">y </w:t>
      </w:r>
      <w:r w:rsidRPr="005F4313">
        <w:rPr>
          <w:rFonts w:ascii="Times New Roman" w:hAnsi="Times New Roman"/>
          <w:color w:val="000000" w:themeColor="text1"/>
          <w:sz w:val="24"/>
          <w:szCs w:val="24"/>
          <w:lang w:val="es-PE"/>
        </w:rPr>
        <w:t>los requerimientos de ética aplicables a nuestra auditoría de los estados financieros por el</w:t>
      </w:r>
      <w:r w:rsidR="00F2787D" w:rsidRPr="005F4313">
        <w:rPr>
          <w:rFonts w:ascii="Times New Roman" w:hAnsi="Times New Roman"/>
          <w:color w:val="000000" w:themeColor="text1"/>
          <w:sz w:val="24"/>
          <w:szCs w:val="24"/>
          <w:lang w:val="es-PE"/>
        </w:rPr>
        <w:t xml:space="preserve"> </w:t>
      </w:r>
      <w:r w:rsidRPr="005F4313">
        <w:rPr>
          <w:rFonts w:ascii="Times New Roman" w:hAnsi="Times New Roman"/>
          <w:color w:val="000000" w:themeColor="text1"/>
          <w:sz w:val="24"/>
          <w:szCs w:val="24"/>
          <w:lang w:val="es-PE"/>
        </w:rPr>
        <w:t xml:space="preserve">“código de ética profesional para Contadores Públicos en </w:t>
      </w:r>
      <w:r w:rsidR="00462E26" w:rsidRPr="005F4313">
        <w:rPr>
          <w:rFonts w:ascii="Times New Roman" w:hAnsi="Times New Roman"/>
          <w:color w:val="000000" w:themeColor="text1"/>
          <w:sz w:val="24"/>
          <w:szCs w:val="24"/>
          <w:lang w:val="es-PE"/>
        </w:rPr>
        <w:t>XXXXX</w:t>
      </w:r>
      <w:r w:rsidRPr="005F4313">
        <w:rPr>
          <w:rFonts w:ascii="Times New Roman" w:hAnsi="Times New Roman"/>
          <w:color w:val="000000" w:themeColor="text1"/>
          <w:sz w:val="24"/>
          <w:szCs w:val="24"/>
          <w:lang w:val="es-PE"/>
        </w:rPr>
        <w:t xml:space="preserve">” y hemos cumplido las demás responsabilidades de ética de conformidad con esos </w:t>
      </w:r>
      <w:r w:rsidRPr="005F4313">
        <w:rPr>
          <w:rFonts w:ascii="Times New Roman" w:hAnsi="Times New Roman"/>
          <w:color w:val="000000" w:themeColor="text1"/>
          <w:sz w:val="24"/>
          <w:szCs w:val="24"/>
          <w:lang w:val="es-PE"/>
        </w:rPr>
        <w:lastRenderedPageBreak/>
        <w:t xml:space="preserve">requerimientos. Consideramos que la evidencia de auditoría que hemos obtenido proporciona una base suficiente y adecuada para nuestra opinión </w:t>
      </w:r>
      <w:r w:rsidRPr="005F4313">
        <w:rPr>
          <w:rFonts w:ascii="Times New Roman" w:hAnsi="Times New Roman"/>
          <w:color w:val="000000" w:themeColor="text1"/>
          <w:sz w:val="24"/>
          <w:szCs w:val="24"/>
        </w:rPr>
        <w:t>con salvedades.</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i/>
          <w:color w:val="000000" w:themeColor="text1"/>
          <w:sz w:val="24"/>
          <w:szCs w:val="24"/>
          <w:lang w:val="es-PE"/>
        </w:rPr>
      </w:pPr>
    </w:p>
    <w:p w:rsidR="00601FA5" w:rsidRPr="000D6D15"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sidRPr="000D6D15">
        <w:rPr>
          <w:rFonts w:ascii="Times New Roman" w:hAnsi="Times New Roman"/>
          <w:b/>
          <w:bCs/>
          <w:iCs/>
          <w:color w:val="000000" w:themeColor="text1"/>
          <w:sz w:val="24"/>
          <w:szCs w:val="24"/>
          <w:highlight w:val="yellow"/>
          <w:lang w:val="es-PE"/>
        </w:rPr>
        <w:t>Incertidumbre material relacionada con Negocio en Marcha</w:t>
      </w:r>
      <w:r w:rsidRPr="000D6D15">
        <w:rPr>
          <w:rFonts w:ascii="Times New Roman" w:hAnsi="Times New Roman"/>
          <w:b/>
          <w:bCs/>
          <w:iCs/>
          <w:color w:val="000000" w:themeColor="text1"/>
          <w:sz w:val="24"/>
          <w:szCs w:val="24"/>
          <w:lang w:val="es-PE"/>
        </w:rPr>
        <w:t xml:space="preserve"> </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eastAsia="Calibri" w:hAnsi="Times New Roman"/>
          <w:color w:val="000000" w:themeColor="text1"/>
          <w:sz w:val="24"/>
          <w:szCs w:val="24"/>
          <w:lang w:val="es-PE"/>
        </w:rPr>
      </w:pPr>
      <w:r w:rsidRPr="005F4313">
        <w:rPr>
          <w:rFonts w:ascii="Times New Roman" w:eastAsia="Calibri" w:hAnsi="Times New Roman"/>
          <w:color w:val="000000" w:themeColor="text1"/>
          <w:sz w:val="24"/>
          <w:szCs w:val="24"/>
          <w:lang w:val="es-PE"/>
        </w:rPr>
        <w:t xml:space="preserve">Como se explica en la Nota </w:t>
      </w:r>
      <w:r w:rsidR="000D6D15">
        <w:rPr>
          <w:rFonts w:ascii="Times New Roman" w:eastAsia="Calibri" w:hAnsi="Times New Roman"/>
          <w:color w:val="000000" w:themeColor="text1"/>
          <w:sz w:val="24"/>
          <w:szCs w:val="24"/>
          <w:lang w:val="es-PE"/>
        </w:rPr>
        <w:t>5</w:t>
      </w:r>
      <w:r w:rsidRPr="005F4313">
        <w:rPr>
          <w:rFonts w:ascii="Times New Roman" w:eastAsia="Calibri" w:hAnsi="Times New Roman"/>
          <w:color w:val="000000" w:themeColor="text1"/>
          <w:sz w:val="24"/>
          <w:szCs w:val="24"/>
          <w:lang w:val="es-PE"/>
        </w:rPr>
        <w:t xml:space="preserve"> a los estados financieros, la empresa ha incurrido en pérdidas netas recurrentes, al 31 de diciembre de 20</w:t>
      </w:r>
      <w:r w:rsidR="00976F84">
        <w:rPr>
          <w:rFonts w:ascii="Times New Roman" w:eastAsia="Calibri" w:hAnsi="Times New Roman"/>
          <w:color w:val="000000" w:themeColor="text1"/>
          <w:sz w:val="24"/>
          <w:szCs w:val="24"/>
          <w:lang w:val="es-PE"/>
        </w:rPr>
        <w:t>24,</w:t>
      </w:r>
      <w:r w:rsidRPr="005F4313">
        <w:rPr>
          <w:rFonts w:ascii="Times New Roman" w:eastAsia="Calibri" w:hAnsi="Times New Roman"/>
          <w:color w:val="000000" w:themeColor="text1"/>
          <w:sz w:val="24"/>
          <w:szCs w:val="24"/>
          <w:lang w:val="es-PE"/>
        </w:rPr>
        <w:t xml:space="preserve"> sus pasivos corrientes superan sus activos totales en </w:t>
      </w:r>
      <w:r w:rsidR="000D6D15">
        <w:rPr>
          <w:rFonts w:ascii="Times New Roman" w:eastAsia="Calibri" w:hAnsi="Times New Roman"/>
          <w:color w:val="000000" w:themeColor="text1"/>
          <w:sz w:val="24"/>
          <w:szCs w:val="24"/>
          <w:lang w:val="es-PE"/>
        </w:rPr>
        <w:t>Q.100</w:t>
      </w:r>
      <w:r w:rsidR="00BA1576">
        <w:rPr>
          <w:rFonts w:ascii="Times New Roman" w:eastAsia="Calibri" w:hAnsi="Times New Roman"/>
          <w:color w:val="000000" w:themeColor="text1"/>
          <w:sz w:val="24"/>
          <w:szCs w:val="24"/>
          <w:lang w:val="es-PE"/>
        </w:rPr>
        <w:t>,</w:t>
      </w:r>
      <w:r w:rsidR="000D6D15">
        <w:rPr>
          <w:rFonts w:ascii="Times New Roman" w:eastAsia="Calibri" w:hAnsi="Times New Roman"/>
          <w:color w:val="000000" w:themeColor="text1"/>
          <w:sz w:val="24"/>
          <w:szCs w:val="24"/>
          <w:lang w:val="es-PE"/>
        </w:rPr>
        <w:t>000.00</w:t>
      </w:r>
      <w:r w:rsidRPr="005F4313">
        <w:rPr>
          <w:rFonts w:ascii="Times New Roman" w:eastAsia="Calibri" w:hAnsi="Times New Roman"/>
          <w:color w:val="000000" w:themeColor="text1"/>
          <w:sz w:val="24"/>
          <w:szCs w:val="24"/>
          <w:lang w:val="es-PE"/>
        </w:rPr>
        <w:t xml:space="preserve">. Como se menciona en la nota Y, estos hechos, junto con otras cuestiones expuestas en la nota Y, indican la existencia de una incertidumbre material que puede generar dudas significativas sobre la capacidad de la entidad para continuar como empresa en funcionamiento. Los planes desarrollados por la administración de la compañía para remediar estas situaciones se describen en la nota Y a los estados financieros. Los estados financieros no presentan ajustes que pudieran surgir debido a esta incertidumbre. Nuestra opinión no ha sido modificada en relación con esta cuestión. </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142506"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sidRPr="00142506">
        <w:rPr>
          <w:rFonts w:ascii="Times New Roman" w:hAnsi="Times New Roman"/>
          <w:b/>
          <w:bCs/>
          <w:iCs/>
          <w:color w:val="000000" w:themeColor="text1"/>
          <w:sz w:val="24"/>
          <w:szCs w:val="24"/>
          <w:highlight w:val="yellow"/>
          <w:lang w:val="es-PE"/>
        </w:rPr>
        <w:t>Responsabilidad de la Dirección y de los responsables del gobierno de la entidad en relación con los estados financieros</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La Dirección es responsable de la preparación y presentación razonable de los estados financieros adjuntos de conformidad con las Normas Internacionales de información financiera NIIF</w:t>
      </w:r>
      <w:r w:rsidR="00F2787D" w:rsidRPr="005F4313">
        <w:rPr>
          <w:rFonts w:ascii="Times New Roman" w:hAnsi="Times New Roman"/>
          <w:color w:val="000000" w:themeColor="text1"/>
          <w:sz w:val="24"/>
          <w:szCs w:val="24"/>
          <w:lang w:val="es-PE"/>
        </w:rPr>
        <w:t xml:space="preserve"> </w:t>
      </w:r>
      <w:r w:rsidRPr="005F4313">
        <w:rPr>
          <w:rFonts w:ascii="Times New Roman" w:hAnsi="Times New Roman"/>
          <w:color w:val="000000" w:themeColor="text1"/>
          <w:sz w:val="24"/>
          <w:szCs w:val="24"/>
          <w:lang w:val="es-PE"/>
        </w:rPr>
        <w:t>y del control interno que la Dirección considere necesario para permitir la preparación de los estados financieros libres de incorrección material, debido a fraude o error.</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En la preparación de los estados financieros, la Dirección es responsable de la valoración de la capacidad de la Sociedad de continuar como empresa en funcionamiento, revelando, según corresponda, las cuestiones relacionadas con la empresa en funcionamiento y utilizando el principio contable de empresa en funcionamiento, excepto si la Dirección tiene intención de liquidar la sociedad o de cesar sus operaciones, o no exista otra alternativa realista.</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Los responsables del gobierno de la entidad son responsables de la supervisión del proceso de información financiera de la sociedad.</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F2787D" w:rsidRPr="005F4313" w:rsidRDefault="00F2787D" w:rsidP="00601FA5">
      <w:pPr>
        <w:pStyle w:val="Sinespaciado"/>
        <w:spacing w:line="276" w:lineRule="auto"/>
        <w:rPr>
          <w:rFonts w:ascii="Times New Roman" w:hAnsi="Times New Roman"/>
          <w:color w:val="000000" w:themeColor="text1"/>
          <w:sz w:val="24"/>
          <w:szCs w:val="24"/>
          <w:lang w:val="es-PE"/>
        </w:rPr>
      </w:pPr>
    </w:p>
    <w:p w:rsidR="00F2787D" w:rsidRPr="005F4313" w:rsidRDefault="00F2787D" w:rsidP="00601FA5">
      <w:pPr>
        <w:pStyle w:val="Sinespaciado"/>
        <w:spacing w:line="276" w:lineRule="auto"/>
        <w:rPr>
          <w:rFonts w:ascii="Times New Roman" w:hAnsi="Times New Roman"/>
          <w:color w:val="000000" w:themeColor="text1"/>
          <w:sz w:val="24"/>
          <w:szCs w:val="24"/>
          <w:lang w:val="es-PE"/>
        </w:rPr>
      </w:pPr>
    </w:p>
    <w:p w:rsidR="00F2787D" w:rsidRDefault="00F2787D" w:rsidP="00601FA5">
      <w:pPr>
        <w:pStyle w:val="Sinespaciado"/>
        <w:spacing w:line="276" w:lineRule="auto"/>
        <w:rPr>
          <w:rFonts w:ascii="Times New Roman" w:hAnsi="Times New Roman"/>
          <w:color w:val="000000" w:themeColor="text1"/>
          <w:sz w:val="24"/>
          <w:szCs w:val="24"/>
          <w:lang w:val="es-PE"/>
        </w:rPr>
      </w:pPr>
    </w:p>
    <w:p w:rsidR="00133689" w:rsidRDefault="00133689" w:rsidP="00601FA5">
      <w:pPr>
        <w:pStyle w:val="Sinespaciado"/>
        <w:spacing w:line="276" w:lineRule="auto"/>
        <w:rPr>
          <w:rFonts w:ascii="Times New Roman" w:hAnsi="Times New Roman"/>
          <w:color w:val="000000" w:themeColor="text1"/>
          <w:sz w:val="24"/>
          <w:szCs w:val="24"/>
          <w:lang w:val="es-PE"/>
        </w:rPr>
      </w:pPr>
    </w:p>
    <w:p w:rsidR="00133689" w:rsidRDefault="00133689" w:rsidP="00601FA5">
      <w:pPr>
        <w:pStyle w:val="Sinespaciado"/>
        <w:spacing w:line="276" w:lineRule="auto"/>
        <w:rPr>
          <w:rFonts w:ascii="Times New Roman" w:hAnsi="Times New Roman"/>
          <w:color w:val="000000" w:themeColor="text1"/>
          <w:sz w:val="24"/>
          <w:szCs w:val="24"/>
          <w:lang w:val="es-PE"/>
        </w:rPr>
      </w:pPr>
    </w:p>
    <w:p w:rsidR="00133689" w:rsidRPr="005F4313" w:rsidRDefault="00133689" w:rsidP="00601FA5">
      <w:pPr>
        <w:pStyle w:val="Sinespaciado"/>
        <w:spacing w:line="276" w:lineRule="auto"/>
        <w:rPr>
          <w:rFonts w:ascii="Times New Roman" w:hAnsi="Times New Roman"/>
          <w:color w:val="000000" w:themeColor="text1"/>
          <w:sz w:val="24"/>
          <w:szCs w:val="24"/>
          <w:lang w:val="es-PE"/>
        </w:rPr>
      </w:pPr>
    </w:p>
    <w:p w:rsidR="00F2787D" w:rsidRPr="005F4313" w:rsidRDefault="00F2787D" w:rsidP="00601FA5">
      <w:pPr>
        <w:pStyle w:val="Sinespaciado"/>
        <w:spacing w:line="276" w:lineRule="auto"/>
        <w:rPr>
          <w:rFonts w:ascii="Times New Roman" w:hAnsi="Times New Roman"/>
          <w:color w:val="000000" w:themeColor="text1"/>
          <w:sz w:val="24"/>
          <w:szCs w:val="24"/>
          <w:lang w:val="es-PE"/>
        </w:rPr>
      </w:pPr>
    </w:p>
    <w:p w:rsidR="00601FA5" w:rsidRPr="00351FF4"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sidRPr="00351FF4">
        <w:rPr>
          <w:rFonts w:ascii="Times New Roman" w:hAnsi="Times New Roman"/>
          <w:b/>
          <w:bCs/>
          <w:iCs/>
          <w:color w:val="000000" w:themeColor="text1"/>
          <w:sz w:val="24"/>
          <w:szCs w:val="24"/>
          <w:highlight w:val="yellow"/>
          <w:lang w:val="es-PE"/>
        </w:rPr>
        <w:t>Responsabilidad del auditor en relación con la auditoría de los estados financieros</w:t>
      </w:r>
      <w:r w:rsidRPr="00351FF4">
        <w:rPr>
          <w:rFonts w:ascii="Times New Roman" w:hAnsi="Times New Roman"/>
          <w:b/>
          <w:bCs/>
          <w:iCs/>
          <w:color w:val="000000" w:themeColor="text1"/>
          <w:sz w:val="24"/>
          <w:szCs w:val="24"/>
          <w:lang w:val="es-PE"/>
        </w:rPr>
        <w:t xml:space="preserve"> </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931"/>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Nuestros objetivos son obtener una seguridad razonable de que los estados financieros en su conjunto están libres de incorrección material, debida a fraude o error, y emitir un informe de auditoría que contiene nuestra opinión. Seguridad razonable es un alto grado de seguridad, pero no garantiza que una auditoría realizada de conformidad con las NIA siempre detecte una incorrección material cuando existe. Las incorrecciones pueden deberse a fraude o</w:t>
      </w:r>
      <w:r w:rsidR="00F2787D" w:rsidRPr="005F4313">
        <w:rPr>
          <w:rFonts w:ascii="Times New Roman" w:hAnsi="Times New Roman"/>
          <w:color w:val="000000" w:themeColor="text1"/>
          <w:sz w:val="24"/>
          <w:szCs w:val="24"/>
          <w:lang w:val="es-PE"/>
        </w:rPr>
        <w:t xml:space="preserve"> </w:t>
      </w:r>
      <w:r w:rsidRPr="005F4313">
        <w:rPr>
          <w:rFonts w:ascii="Times New Roman" w:hAnsi="Times New Roman"/>
          <w:color w:val="000000" w:themeColor="text1"/>
          <w:sz w:val="24"/>
          <w:szCs w:val="24"/>
          <w:lang w:val="es-PE"/>
        </w:rPr>
        <w:t>error y se consideran materiales si, individualmente o de forma agregada, puede preverse razonablemente que influyen en las decisiones económicas que los usuarios toman basándose en los estados financieros.</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Como parte de una auditoría de conformidad con las NIA, aplicamos nuestro juicio profesional y mantenemos una actitud de escepticismo profesional durante toda la auditoría. También identificamos y valoramos los riesgos de incorrecciones materiales en los estados financieros, debido a fraude o</w:t>
      </w:r>
      <w:r w:rsidR="00F2787D" w:rsidRPr="005F4313">
        <w:rPr>
          <w:rFonts w:ascii="Times New Roman" w:hAnsi="Times New Roman"/>
          <w:color w:val="000000" w:themeColor="text1"/>
          <w:sz w:val="24"/>
          <w:szCs w:val="24"/>
          <w:lang w:val="es-PE"/>
        </w:rPr>
        <w:t xml:space="preserve"> </w:t>
      </w:r>
      <w:r w:rsidRPr="005F4313">
        <w:rPr>
          <w:rFonts w:ascii="Times New Roman" w:hAnsi="Times New Roman"/>
          <w:color w:val="000000" w:themeColor="text1"/>
          <w:sz w:val="24"/>
          <w:szCs w:val="24"/>
          <w:lang w:val="es-PE"/>
        </w:rPr>
        <w:t>error; diseñamos y aplicamos procedimientos de auditoría para responder a dichos riesgos y obtenemos evidencia de auditoría suficiente y adecuada para proporcionar una base para nuestra opinión. El riesgo de no detectar una incorrección material debida a fraude es más elevado que en el caso de una incorrección debido a error, ya que el fraude puede implicar colusión, falsificación, manifestaciones intencionalmente erróneas o elución del control interno.</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Obtenemos conocimiento del control interno con el fin de diseñar procedimientos de auditoría que sean adecuados en función de las circunstancias y no con la finalidad de expresar una opinión sobre la eficacia de control interno de la entidad.</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Concluimos sobre lo adecuado de la utilización, por parte de la Dirección, del principio contable de empresa en funcionamiento, y basándonos en la evidencia obtenida concluimos si existe o no una incertidumbre material relacionada con hechos o con condiciones que puedan generar dudas significativas sobre la capacidad de la sociedad para continuar como empresa en funcionamiento. Si concluimos que existe una incertidumbre material, se requiere que llamemos la atención en nuestro informe de auditoría sobre la correspondiente información revelada en los estados financieros, o si dichas revelaciones no son adecuadas, que expresen una opinión modificada. Nuestras conclusiones se basan en la evidencia de auditoría obtenida hasta la fecha de nuestro informe de auditoría. Sin embargo, hechos o condiciones futuras pueden ser causa de que la sociedad deje de ser una empresa en funcionamiento.</w:t>
      </w: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 xml:space="preserve">Evaluamos en su conjunto, la presentación, la estructura y el contenido de los estados financieros, incluida la información revelada, y si los estados financieros representan las </w:t>
      </w:r>
      <w:r w:rsidRPr="005F4313">
        <w:rPr>
          <w:rFonts w:ascii="Times New Roman" w:hAnsi="Times New Roman"/>
          <w:color w:val="000000" w:themeColor="text1"/>
          <w:sz w:val="24"/>
          <w:szCs w:val="24"/>
          <w:lang w:val="es-PE"/>
        </w:rPr>
        <w:lastRenderedPageBreak/>
        <w:t>transacciones y hechos subyacentes de modo que logren la presentación razonable.</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 xml:space="preserve">Otra de nuestras responsabilidades es comunicarnos con los responsables del gobierno de la entidad en relación con el alcance y el momento de realización de auditoría planificada y los hallazgos significativos de la auditoría, así como cualquier deficiencia significativa del control interno que identificamos en el transcurso de la auditoría. </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Asimismo, proporcionar a los responsables del gobierno de la entidad una declaración de que hemos cumplido los requerimientos de ética aplicables en relación con la independencia, y comunicarnos con ellos acerca de todas las relaciones y demás cuestiones que puedan afectar nuestra independencia y, en su caso, las correspondientes salvaguardas.</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themeColor="text1"/>
          <w:sz w:val="24"/>
          <w:szCs w:val="24"/>
          <w:lang w:val="es-PE"/>
        </w:rPr>
      </w:pPr>
      <w:r w:rsidRPr="005F4313">
        <w:rPr>
          <w:rFonts w:ascii="Times New Roman" w:hAnsi="Times New Roman"/>
          <w:b/>
          <w:color w:val="000000" w:themeColor="text1"/>
          <w:sz w:val="24"/>
          <w:szCs w:val="24"/>
          <w:lang w:val="es-PE"/>
        </w:rPr>
        <w:t>Informe sobre otros requerimientos legales y reglamentarios</w:t>
      </w:r>
    </w:p>
    <w:p w:rsidR="00601FA5" w:rsidRPr="005F4313" w:rsidRDefault="00601FA5" w:rsidP="00601FA5">
      <w:pPr>
        <w:pStyle w:val="Sinespaciado"/>
        <w:spacing w:line="276" w:lineRule="auto"/>
        <w:rPr>
          <w:rFonts w:ascii="Times New Roman" w:hAnsi="Times New Roman"/>
          <w:color w:val="000000" w:themeColor="text1"/>
          <w:sz w:val="24"/>
          <w:szCs w:val="24"/>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 xml:space="preserve">La contabilidad de la Compañía ha sido llevada conforme a las normas legales y a la técnica contable. </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Las operaciones registradas en los libros y los actos de los administradores se ajustan a los estatutos y a las decisiones de la Asamblea de Accionistas.</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La correspondencia, los comprobantes de las cuentas y los libros de actas y de registro de acciones se llevan y se conservan debidamente.</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Existen medidas adecuadas de control interno, de prevención y control de lavado de activos y de la financiación del terrorismo, de conservación y custodia de los bienes de la Compañía y los de terceros que están en su poder.</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 xml:space="preserve">La información contenida en las declaraciones de autoliquidación de aportes al sistema de seguridad social integral, en particular la relativa a los afiliados y a sus ingresos base de cotización, ha sido tomada de los registros y soportes contables. </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601FA5" w:rsidRPr="005F4313" w:rsidRDefault="00601FA5" w:rsidP="00601FA5">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276" w:lineRule="auto"/>
        <w:jc w:val="both"/>
        <w:rPr>
          <w:rFonts w:ascii="Times New Roman" w:hAnsi="Times New Roman"/>
          <w:color w:val="000000" w:themeColor="text1"/>
          <w:sz w:val="24"/>
          <w:szCs w:val="24"/>
          <w:lang w:val="es-PE"/>
        </w:rPr>
      </w:pPr>
      <w:r w:rsidRPr="005F4313">
        <w:rPr>
          <w:rFonts w:ascii="Times New Roman" w:hAnsi="Times New Roman"/>
          <w:color w:val="000000" w:themeColor="text1"/>
          <w:sz w:val="24"/>
          <w:szCs w:val="24"/>
          <w:lang w:val="es-PE"/>
        </w:rPr>
        <w:t>La Compañía no se encuentra en mora por concepto de aportes al sistema de seguridad social integral</w:t>
      </w:r>
      <w:r w:rsidR="00197348">
        <w:rPr>
          <w:rFonts w:ascii="Times New Roman" w:hAnsi="Times New Roman"/>
          <w:color w:val="000000" w:themeColor="text1"/>
          <w:sz w:val="24"/>
          <w:szCs w:val="24"/>
          <w:lang w:val="es-PE"/>
        </w:rPr>
        <w:t xml:space="preserve"> y de impuestos.</w:t>
      </w:r>
    </w:p>
    <w:p w:rsidR="00601FA5" w:rsidRPr="005F4313" w:rsidRDefault="00601FA5" w:rsidP="00601FA5">
      <w:pPr>
        <w:pStyle w:val="Sinespaciado"/>
        <w:spacing w:line="276" w:lineRule="auto"/>
        <w:rPr>
          <w:rFonts w:ascii="Times New Roman" w:hAnsi="Times New Roman"/>
          <w:color w:val="000000" w:themeColor="text1"/>
          <w:sz w:val="24"/>
          <w:szCs w:val="24"/>
          <w:lang w:val="es-PE"/>
        </w:rPr>
      </w:pPr>
    </w:p>
    <w:p w:rsidR="00CC441D" w:rsidRDefault="00CC441D" w:rsidP="00601FA5">
      <w:pPr>
        <w:pStyle w:val="Sinespaciado"/>
        <w:spacing w:line="276" w:lineRule="auto"/>
        <w:rPr>
          <w:rFonts w:ascii="Times New Roman" w:hAnsi="Times New Roman"/>
          <w:color w:val="000000" w:themeColor="text1"/>
          <w:sz w:val="24"/>
          <w:szCs w:val="24"/>
          <w:lang w:val="es-PE"/>
        </w:rPr>
      </w:pPr>
    </w:p>
    <w:p w:rsidR="00CC441D" w:rsidRDefault="00CC441D" w:rsidP="00601FA5">
      <w:pPr>
        <w:pStyle w:val="Sinespaciado"/>
        <w:spacing w:line="276" w:lineRule="auto"/>
        <w:rPr>
          <w:rFonts w:ascii="Times New Roman" w:hAnsi="Times New Roman"/>
          <w:color w:val="000000" w:themeColor="text1"/>
          <w:sz w:val="24"/>
          <w:szCs w:val="24"/>
          <w:lang w:val="es-PE"/>
        </w:rPr>
      </w:pPr>
    </w:p>
    <w:p w:rsidR="00CC441D" w:rsidRPr="005F4313" w:rsidRDefault="00CC441D" w:rsidP="00601FA5">
      <w:pPr>
        <w:pStyle w:val="Sinespaciado"/>
        <w:spacing w:line="276" w:lineRule="auto"/>
        <w:rPr>
          <w:rFonts w:ascii="Times New Roman" w:hAnsi="Times New Roman"/>
          <w:color w:val="000000" w:themeColor="text1"/>
          <w:sz w:val="24"/>
          <w:szCs w:val="24"/>
          <w:lang w:val="es-PE"/>
        </w:rPr>
      </w:pPr>
    </w:p>
    <w:p w:rsidR="00875242" w:rsidRPr="005843DD" w:rsidRDefault="001B2294"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Pr>
          <w:rFonts w:ascii="Times New Roman" w:hAnsi="Times New Roman"/>
          <w:b/>
          <w:bCs/>
          <w:iCs/>
          <w:color w:val="000000" w:themeColor="text1"/>
          <w:sz w:val="24"/>
          <w:szCs w:val="24"/>
          <w:lang w:val="es-PE"/>
        </w:rPr>
        <w:t>Firma</w:t>
      </w:r>
    </w:p>
    <w:p w:rsidR="00601FA5" w:rsidRPr="005843DD" w:rsidRDefault="001B2294" w:rsidP="00601FA5">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Pr>
          <w:rFonts w:ascii="Times New Roman" w:hAnsi="Times New Roman"/>
          <w:b/>
          <w:bCs/>
          <w:iCs/>
          <w:color w:val="000000" w:themeColor="text1"/>
          <w:sz w:val="24"/>
          <w:szCs w:val="24"/>
          <w:lang w:val="es-PE"/>
        </w:rPr>
        <w:t>Auditor</w:t>
      </w:r>
    </w:p>
    <w:p w:rsidR="00AD2D7A" w:rsidRPr="005843DD" w:rsidRDefault="00875242" w:rsidP="00686B69">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color w:val="000000" w:themeColor="text1"/>
          <w:sz w:val="24"/>
          <w:szCs w:val="24"/>
          <w:lang w:val="es-PE"/>
        </w:rPr>
      </w:pPr>
      <w:r w:rsidRPr="005843DD">
        <w:rPr>
          <w:rFonts w:ascii="Times New Roman" w:hAnsi="Times New Roman"/>
          <w:b/>
          <w:bCs/>
          <w:iCs/>
          <w:color w:val="000000" w:themeColor="text1"/>
          <w:sz w:val="24"/>
          <w:szCs w:val="24"/>
          <w:lang w:val="es-PE"/>
        </w:rPr>
        <w:t xml:space="preserve">Guatemala, </w:t>
      </w:r>
      <w:r w:rsidR="00601FA5" w:rsidRPr="005843DD">
        <w:rPr>
          <w:rFonts w:ascii="Times New Roman" w:hAnsi="Times New Roman"/>
          <w:b/>
          <w:bCs/>
          <w:iCs/>
          <w:color w:val="000000" w:themeColor="text1"/>
          <w:sz w:val="24"/>
          <w:szCs w:val="24"/>
          <w:lang w:val="es-PE"/>
        </w:rPr>
        <w:t>31 de enero de 20</w:t>
      </w:r>
      <w:r w:rsidR="00976F84">
        <w:rPr>
          <w:rFonts w:ascii="Times New Roman" w:hAnsi="Times New Roman"/>
          <w:b/>
          <w:bCs/>
          <w:iCs/>
          <w:color w:val="000000" w:themeColor="text1"/>
          <w:sz w:val="24"/>
          <w:szCs w:val="24"/>
          <w:lang w:val="es-PE"/>
        </w:rPr>
        <w:t>2X</w:t>
      </w:r>
    </w:p>
    <w:sectPr w:rsidR="00AD2D7A" w:rsidRPr="005843DD" w:rsidSect="001E6738">
      <w:footerReference w:type="default" r:id="rId7"/>
      <w:pgSz w:w="12240" w:h="15840"/>
      <w:pgMar w:top="1417" w:right="1750"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A70" w:rsidRDefault="00CD5A70">
      <w:r>
        <w:separator/>
      </w:r>
    </w:p>
  </w:endnote>
  <w:endnote w:type="continuationSeparator" w:id="0">
    <w:p w:rsidR="00CD5A70" w:rsidRDefault="00CD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71A" w:rsidRDefault="00CD5A70">
    <w:pPr>
      <w:pStyle w:val="Piedepgina"/>
      <w:jc w:val="right"/>
    </w:pPr>
  </w:p>
  <w:p w:rsidR="00AB071A" w:rsidRDefault="00CD5A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A70" w:rsidRDefault="00CD5A70">
      <w:r>
        <w:separator/>
      </w:r>
    </w:p>
  </w:footnote>
  <w:footnote w:type="continuationSeparator" w:id="0">
    <w:p w:rsidR="00CD5A70" w:rsidRDefault="00CD5A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0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A5"/>
    <w:rsid w:val="00005C9C"/>
    <w:rsid w:val="000D6D15"/>
    <w:rsid w:val="00133689"/>
    <w:rsid w:val="00142506"/>
    <w:rsid w:val="00197348"/>
    <w:rsid w:val="001B2294"/>
    <w:rsid w:val="001E4CC7"/>
    <w:rsid w:val="002B5F5E"/>
    <w:rsid w:val="00351FF4"/>
    <w:rsid w:val="0037540B"/>
    <w:rsid w:val="00462E26"/>
    <w:rsid w:val="004A4371"/>
    <w:rsid w:val="004B0712"/>
    <w:rsid w:val="00565AAB"/>
    <w:rsid w:val="005843DD"/>
    <w:rsid w:val="005B035D"/>
    <w:rsid w:val="005F4313"/>
    <w:rsid w:val="00601FA5"/>
    <w:rsid w:val="00607410"/>
    <w:rsid w:val="00686B69"/>
    <w:rsid w:val="0081378F"/>
    <w:rsid w:val="00875242"/>
    <w:rsid w:val="00976F84"/>
    <w:rsid w:val="009A76AB"/>
    <w:rsid w:val="00AD2D7A"/>
    <w:rsid w:val="00BA1576"/>
    <w:rsid w:val="00CC441D"/>
    <w:rsid w:val="00CD5A70"/>
    <w:rsid w:val="00F2787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31B0"/>
  <w15:chartTrackingRefBased/>
  <w15:docId w15:val="{94E94BD7-B926-4FDD-8D84-98A9E69F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1FA5"/>
    <w:pPr>
      <w:widowControl w:val="0"/>
      <w:spacing w:after="0" w:line="240" w:lineRule="auto"/>
    </w:pPr>
    <w:rPr>
      <w:rFonts w:ascii="Calibri" w:eastAsia="Calibri" w:hAnsi="Calibri" w:cs="Times New Roman"/>
      <w:lang w:val="es-CO"/>
    </w:rPr>
  </w:style>
  <w:style w:type="paragraph" w:styleId="Ttulo1">
    <w:name w:val="heading 1"/>
    <w:basedOn w:val="Normal"/>
    <w:next w:val="Normal"/>
    <w:link w:val="Ttulo1Car"/>
    <w:uiPriority w:val="9"/>
    <w:qFormat/>
    <w:rsid w:val="00601FA5"/>
    <w:pPr>
      <w:keepNext/>
      <w:keepLines/>
      <w:spacing w:before="240"/>
      <w:outlineLvl w:val="0"/>
    </w:pPr>
    <w:rPr>
      <w:rFonts w:ascii="Calibri Light" w:eastAsia="Times New Roman"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1FA5"/>
    <w:rPr>
      <w:rFonts w:ascii="Calibri Light" w:eastAsia="Times New Roman" w:hAnsi="Calibri Light" w:cs="Times New Roman"/>
      <w:color w:val="2F5496"/>
      <w:sz w:val="32"/>
      <w:szCs w:val="32"/>
      <w:lang w:val="es-CO"/>
    </w:rPr>
  </w:style>
  <w:style w:type="paragraph" w:styleId="Textoindependiente">
    <w:name w:val="Body Text"/>
    <w:basedOn w:val="Normal"/>
    <w:link w:val="TextoindependienteCar"/>
    <w:uiPriority w:val="1"/>
    <w:qFormat/>
    <w:rsid w:val="00601FA5"/>
    <w:pPr>
      <w:ind w:left="1256"/>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601FA5"/>
    <w:rPr>
      <w:rFonts w:ascii="Arial" w:eastAsia="Arial" w:hAnsi="Arial" w:cs="Times New Roman"/>
      <w:sz w:val="20"/>
      <w:szCs w:val="20"/>
      <w:lang w:val="es-CO"/>
    </w:rPr>
  </w:style>
  <w:style w:type="paragraph" w:styleId="Sinespaciado">
    <w:name w:val="No Spacing"/>
    <w:uiPriority w:val="1"/>
    <w:qFormat/>
    <w:rsid w:val="00601FA5"/>
    <w:pPr>
      <w:spacing w:after="0" w:line="240" w:lineRule="auto"/>
    </w:pPr>
    <w:rPr>
      <w:rFonts w:ascii="Calibri" w:eastAsia="Calibri" w:hAnsi="Calibri" w:cs="Times New Roman"/>
      <w:lang w:val="es-CO"/>
    </w:rPr>
  </w:style>
  <w:style w:type="paragraph" w:styleId="Piedepgina">
    <w:name w:val="footer"/>
    <w:basedOn w:val="Normal"/>
    <w:link w:val="PiedepginaCar"/>
    <w:uiPriority w:val="99"/>
    <w:unhideWhenUsed/>
    <w:rsid w:val="00601FA5"/>
    <w:pPr>
      <w:tabs>
        <w:tab w:val="center" w:pos="4252"/>
        <w:tab w:val="right" w:pos="8504"/>
      </w:tabs>
    </w:pPr>
  </w:style>
  <w:style w:type="character" w:customStyle="1" w:styleId="PiedepginaCar">
    <w:name w:val="Pie de página Car"/>
    <w:basedOn w:val="Fuentedeprrafopredeter"/>
    <w:link w:val="Piedepgina"/>
    <w:uiPriority w:val="99"/>
    <w:rsid w:val="00601FA5"/>
    <w:rPr>
      <w:rFonts w:ascii="Calibri" w:eastAsia="Calibri" w:hAnsi="Calibri" w:cs="Times New Roman"/>
      <w:lang w:val="es-CO"/>
    </w:rPr>
  </w:style>
  <w:style w:type="paragraph" w:styleId="Encabezado">
    <w:name w:val="header"/>
    <w:basedOn w:val="Normal"/>
    <w:link w:val="EncabezadoCar"/>
    <w:uiPriority w:val="99"/>
    <w:unhideWhenUsed/>
    <w:rsid w:val="00F2787D"/>
    <w:pPr>
      <w:tabs>
        <w:tab w:val="center" w:pos="4419"/>
        <w:tab w:val="right" w:pos="8838"/>
      </w:tabs>
    </w:pPr>
  </w:style>
  <w:style w:type="character" w:customStyle="1" w:styleId="EncabezadoCar">
    <w:name w:val="Encabezado Car"/>
    <w:basedOn w:val="Fuentedeprrafopredeter"/>
    <w:link w:val="Encabezado"/>
    <w:uiPriority w:val="99"/>
    <w:rsid w:val="00F2787D"/>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1348</Words>
  <Characters>7419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Victor Juárez</cp:lastModifiedBy>
  <cp:revision>23</cp:revision>
  <dcterms:created xsi:type="dcterms:W3CDTF">2020-03-31T21:03:00Z</dcterms:created>
  <dcterms:modified xsi:type="dcterms:W3CDTF">2024-10-31T12:55:00Z</dcterms:modified>
</cp:coreProperties>
</file>