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EE" w:rsidRPr="00DD494A" w:rsidRDefault="00DC303B" w:rsidP="00072FEE">
      <w:pPr>
        <w:pStyle w:val="Ttulo1"/>
        <w:spacing w:line="360" w:lineRule="auto"/>
        <w:jc w:val="center"/>
        <w:rPr>
          <w:rFonts w:ascii="Times New Roman" w:hAnsi="Times New Roman"/>
          <w:b/>
          <w:color w:val="000000" w:themeColor="text1"/>
          <w:sz w:val="24"/>
          <w:szCs w:val="24"/>
          <w:highlight w:val="yellow"/>
          <w:lang w:val="es-PE"/>
        </w:rPr>
      </w:pPr>
      <w:bookmarkStart w:id="0" w:name="_Toc473732411"/>
      <w:bookmarkStart w:id="1" w:name="_GoBack"/>
      <w:bookmarkEnd w:id="1"/>
      <w:r w:rsidRPr="002E4A2E">
        <w:rPr>
          <w:rFonts w:ascii="Times New Roman" w:hAnsi="Times New Roman"/>
          <w:b/>
          <w:color w:val="000000" w:themeColor="text1"/>
          <w:sz w:val="24"/>
          <w:szCs w:val="24"/>
          <w:highlight w:val="yellow"/>
          <w:lang w:val="es-PE"/>
        </w:rPr>
        <w:t>Dictamen</w:t>
      </w:r>
      <w:r w:rsidRPr="00DC303B">
        <w:rPr>
          <w:rFonts w:ascii="Times New Roman" w:hAnsi="Times New Roman"/>
          <w:b/>
          <w:color w:val="000000" w:themeColor="text1"/>
          <w:sz w:val="24"/>
          <w:szCs w:val="24"/>
          <w:lang w:val="es-PE"/>
        </w:rPr>
        <w:t xml:space="preserve"> </w:t>
      </w:r>
      <w:r w:rsidR="00072FEE" w:rsidRPr="00DD494A">
        <w:rPr>
          <w:rFonts w:ascii="Times New Roman" w:hAnsi="Times New Roman"/>
          <w:b/>
          <w:color w:val="000000" w:themeColor="text1"/>
          <w:sz w:val="24"/>
          <w:szCs w:val="24"/>
          <w:highlight w:val="yellow"/>
          <w:lang w:val="es-PE"/>
        </w:rPr>
        <w:t>de auditoría con salvedad</w:t>
      </w:r>
    </w:p>
    <w:p w:rsidR="00072FEE" w:rsidRPr="00072FEE" w:rsidRDefault="00072FEE" w:rsidP="00072FEE">
      <w:pPr>
        <w:pStyle w:val="Ttulo1"/>
        <w:spacing w:line="360" w:lineRule="auto"/>
        <w:jc w:val="center"/>
        <w:rPr>
          <w:rFonts w:ascii="Times New Roman" w:hAnsi="Times New Roman"/>
          <w:b/>
          <w:color w:val="000000" w:themeColor="text1"/>
          <w:sz w:val="24"/>
          <w:szCs w:val="24"/>
          <w:lang w:val="es-PE"/>
        </w:rPr>
      </w:pPr>
      <w:r w:rsidRPr="00DD494A">
        <w:rPr>
          <w:rFonts w:ascii="Times New Roman" w:hAnsi="Times New Roman"/>
          <w:b/>
          <w:color w:val="000000" w:themeColor="text1"/>
          <w:sz w:val="24"/>
          <w:szCs w:val="24"/>
          <w:highlight w:val="yellow"/>
          <w:lang w:val="es-PE"/>
        </w:rPr>
        <w:t>Es cuando se corrige un error del año anterior en el actual y no se corrige en forma retrospectiva en los estados financieros del año o años anteriores</w:t>
      </w:r>
      <w:bookmarkEnd w:id="0"/>
    </w:p>
    <w:p w:rsidR="00072FEE" w:rsidRPr="00072FEE" w:rsidRDefault="00072FEE" w:rsidP="00072FEE">
      <w:pPr>
        <w:pStyle w:val="Sinespaciado"/>
        <w:jc w:val="center"/>
        <w:rPr>
          <w:rFonts w:ascii="Times New Roman" w:hAnsi="Times New Roman"/>
          <w:color w:val="000000" w:themeColor="text1"/>
          <w:sz w:val="24"/>
          <w:szCs w:val="24"/>
        </w:rPr>
      </w:pPr>
    </w:p>
    <w:p w:rsidR="00072FEE" w:rsidRPr="00072FEE"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color w:val="000000"/>
          <w:sz w:val="24"/>
          <w:szCs w:val="24"/>
        </w:rPr>
      </w:pPr>
      <w:r w:rsidRPr="00072FEE">
        <w:rPr>
          <w:rFonts w:ascii="Times New Roman" w:hAnsi="Times New Roman"/>
          <w:b/>
          <w:color w:val="000000"/>
          <w:sz w:val="24"/>
          <w:szCs w:val="24"/>
        </w:rPr>
        <w:t>Informe de auditoría emitido por un auditor independiente</w:t>
      </w:r>
    </w:p>
    <w:p w:rsidR="00072FEE" w:rsidRPr="00072FEE" w:rsidRDefault="00072FEE" w:rsidP="00072FEE">
      <w:pPr>
        <w:pStyle w:val="Sinespaciado"/>
        <w:jc w:val="both"/>
        <w:rPr>
          <w:rFonts w:ascii="Times New Roman" w:hAnsi="Times New Roman"/>
          <w:sz w:val="24"/>
          <w:szCs w:val="24"/>
        </w:rPr>
      </w:pPr>
    </w:p>
    <w:p w:rsidR="00072FEE" w:rsidRPr="007405D6" w:rsidRDefault="00072FEE" w:rsidP="00072FEE">
      <w:pPr>
        <w:spacing w:line="276" w:lineRule="auto"/>
        <w:jc w:val="both"/>
        <w:rPr>
          <w:rFonts w:ascii="Times New Roman" w:hAnsi="Times New Roman"/>
          <w:color w:val="000000" w:themeColor="text1"/>
          <w:sz w:val="24"/>
          <w:szCs w:val="24"/>
        </w:rPr>
      </w:pPr>
      <w:r w:rsidRPr="007405D6">
        <w:rPr>
          <w:rFonts w:ascii="Times New Roman" w:hAnsi="Times New Roman"/>
          <w:color w:val="000000" w:themeColor="text1"/>
          <w:sz w:val="24"/>
          <w:szCs w:val="24"/>
        </w:rPr>
        <w:t>A los accionistas de la Sociedad EJEMPLO 1</w:t>
      </w:r>
      <w:r w:rsidR="00DD494A" w:rsidRPr="007405D6">
        <w:rPr>
          <w:rFonts w:ascii="Times New Roman" w:hAnsi="Times New Roman"/>
          <w:color w:val="000000" w:themeColor="text1"/>
          <w:sz w:val="24"/>
          <w:szCs w:val="24"/>
        </w:rPr>
        <w:t>.</w:t>
      </w:r>
    </w:p>
    <w:p w:rsidR="00072FEE" w:rsidRPr="007405D6" w:rsidRDefault="00072FEE" w:rsidP="00072FEE">
      <w:pPr>
        <w:pStyle w:val="Sinespaciado"/>
        <w:jc w:val="both"/>
        <w:rPr>
          <w:rFonts w:ascii="Times New Roman" w:hAnsi="Times New Roman"/>
          <w:color w:val="000000" w:themeColor="text1"/>
          <w:sz w:val="24"/>
          <w:szCs w:val="24"/>
        </w:rPr>
      </w:pPr>
    </w:p>
    <w:p w:rsidR="00072FEE" w:rsidRPr="007405D6" w:rsidRDefault="00072FEE" w:rsidP="00072FEE">
      <w:pPr>
        <w:spacing w:line="276" w:lineRule="auto"/>
        <w:jc w:val="both"/>
        <w:rPr>
          <w:rFonts w:ascii="Times New Roman" w:hAnsi="Times New Roman"/>
          <w:b/>
          <w:color w:val="000000" w:themeColor="text1"/>
          <w:sz w:val="24"/>
          <w:szCs w:val="24"/>
        </w:rPr>
      </w:pPr>
      <w:r w:rsidRPr="007405D6">
        <w:rPr>
          <w:rFonts w:ascii="Times New Roman" w:hAnsi="Times New Roman"/>
          <w:b/>
          <w:color w:val="000000" w:themeColor="text1"/>
          <w:sz w:val="24"/>
          <w:szCs w:val="24"/>
        </w:rPr>
        <w:t>Informe sobre la auditoría de los estados financieros</w:t>
      </w:r>
    </w:p>
    <w:p w:rsidR="00072FEE" w:rsidRPr="007405D6" w:rsidRDefault="00072FEE" w:rsidP="00072FEE">
      <w:pPr>
        <w:pStyle w:val="Sinespaciado"/>
        <w:jc w:val="both"/>
        <w:rPr>
          <w:rFonts w:ascii="Times New Roman" w:hAnsi="Times New Roman"/>
          <w:color w:val="000000" w:themeColor="text1"/>
          <w:sz w:val="24"/>
          <w:szCs w:val="24"/>
        </w:rPr>
      </w:pPr>
    </w:p>
    <w:p w:rsidR="00072FEE" w:rsidRPr="007405D6" w:rsidRDefault="00072FEE" w:rsidP="00072FEE">
      <w:pPr>
        <w:spacing w:line="276" w:lineRule="auto"/>
        <w:jc w:val="both"/>
        <w:rPr>
          <w:rFonts w:ascii="Times New Roman" w:hAnsi="Times New Roman"/>
          <w:color w:val="000000" w:themeColor="text1"/>
          <w:sz w:val="24"/>
          <w:szCs w:val="24"/>
        </w:rPr>
      </w:pPr>
      <w:r w:rsidRPr="007405D6">
        <w:rPr>
          <w:rFonts w:ascii="Times New Roman" w:hAnsi="Times New Roman"/>
          <w:color w:val="000000" w:themeColor="text1"/>
          <w:sz w:val="24"/>
          <w:szCs w:val="24"/>
          <w:highlight w:val="yellow"/>
        </w:rPr>
        <w:t>Opinión con salv</w:t>
      </w:r>
      <w:r w:rsidRPr="007405D6">
        <w:rPr>
          <w:rFonts w:ascii="Times New Roman" w:hAnsi="Times New Roman"/>
          <w:color w:val="000000" w:themeColor="text1"/>
          <w:sz w:val="24"/>
          <w:szCs w:val="24"/>
          <w:highlight w:val="yellow"/>
          <w:shd w:val="clear" w:color="auto" w:fill="FFFFFF"/>
        </w:rPr>
        <w:t>edades</w:t>
      </w:r>
      <w:r w:rsidRPr="007405D6">
        <w:rPr>
          <w:rFonts w:ascii="Times New Roman" w:hAnsi="Times New Roman"/>
          <w:color w:val="000000" w:themeColor="text1"/>
          <w:sz w:val="24"/>
          <w:szCs w:val="24"/>
          <w:shd w:val="clear" w:color="auto" w:fill="FFFFFF"/>
        </w:rPr>
        <w:t xml:space="preserve"> </w:t>
      </w:r>
    </w:p>
    <w:p w:rsidR="00072FEE" w:rsidRPr="007405D6" w:rsidRDefault="00072FEE" w:rsidP="00072FEE">
      <w:pPr>
        <w:pStyle w:val="Sinespaciado"/>
        <w:jc w:val="both"/>
        <w:rPr>
          <w:rFonts w:ascii="Times New Roman" w:hAnsi="Times New Roman"/>
          <w:color w:val="000000" w:themeColor="text1"/>
          <w:sz w:val="24"/>
          <w:szCs w:val="24"/>
        </w:rPr>
      </w:pPr>
    </w:p>
    <w:p w:rsidR="00072FEE" w:rsidRPr="007405D6" w:rsidRDefault="00072FEE" w:rsidP="00072FEE">
      <w:pPr>
        <w:spacing w:line="276" w:lineRule="auto"/>
        <w:jc w:val="both"/>
        <w:rPr>
          <w:rFonts w:ascii="Times New Roman" w:hAnsi="Times New Roman"/>
          <w:color w:val="000000" w:themeColor="text1"/>
          <w:sz w:val="24"/>
          <w:szCs w:val="24"/>
        </w:rPr>
      </w:pPr>
      <w:r w:rsidRPr="007405D6">
        <w:rPr>
          <w:rFonts w:ascii="Times New Roman" w:hAnsi="Times New Roman"/>
          <w:color w:val="000000" w:themeColor="text1"/>
          <w:sz w:val="24"/>
          <w:szCs w:val="24"/>
        </w:rPr>
        <w:t xml:space="preserve">Hemos auditado los estados financieros de la sociedad Ejemplo </w:t>
      </w:r>
      <w:r w:rsidR="005A7A92">
        <w:rPr>
          <w:rFonts w:ascii="Times New Roman" w:hAnsi="Times New Roman"/>
          <w:color w:val="000000" w:themeColor="text1"/>
          <w:sz w:val="24"/>
          <w:szCs w:val="24"/>
        </w:rPr>
        <w:t>1,</w:t>
      </w:r>
      <w:r w:rsidRPr="007405D6">
        <w:rPr>
          <w:rFonts w:ascii="Times New Roman" w:hAnsi="Times New Roman"/>
          <w:color w:val="000000" w:themeColor="text1"/>
          <w:sz w:val="24"/>
          <w:szCs w:val="24"/>
        </w:rPr>
        <w:t xml:space="preserve"> que comprenden el estado de situación financiera al 31 de diciembre de 20X</w:t>
      </w:r>
      <w:r w:rsidR="00580A2C">
        <w:rPr>
          <w:rFonts w:ascii="Times New Roman" w:hAnsi="Times New Roman"/>
          <w:color w:val="000000" w:themeColor="text1"/>
          <w:sz w:val="24"/>
          <w:szCs w:val="24"/>
        </w:rPr>
        <w:t>X</w:t>
      </w:r>
      <w:r w:rsidRPr="007405D6">
        <w:rPr>
          <w:rFonts w:ascii="Times New Roman" w:hAnsi="Times New Roman"/>
          <w:color w:val="000000" w:themeColor="text1"/>
          <w:sz w:val="24"/>
          <w:szCs w:val="24"/>
        </w:rPr>
        <w:t xml:space="preserve"> y 20X</w:t>
      </w:r>
      <w:r w:rsidR="00580A2C">
        <w:rPr>
          <w:rFonts w:ascii="Times New Roman" w:hAnsi="Times New Roman"/>
          <w:color w:val="000000" w:themeColor="text1"/>
          <w:sz w:val="24"/>
          <w:szCs w:val="24"/>
        </w:rPr>
        <w:t>X</w:t>
      </w:r>
      <w:r w:rsidRPr="007405D6">
        <w:rPr>
          <w:rFonts w:ascii="Times New Roman" w:hAnsi="Times New Roman"/>
          <w:color w:val="000000" w:themeColor="text1"/>
          <w:sz w:val="24"/>
          <w:szCs w:val="24"/>
        </w:rPr>
        <w:t>, el estado del resultado integral, el estado de cambios en el patrimonio y el estado de flujos de efectivo correspondientes al ejercicio terminado en dicha fecha, así como las notas explicativas de los estados financieros que incluyen un resumen de las políticas contables significativas.</w:t>
      </w:r>
    </w:p>
    <w:p w:rsidR="00072FEE" w:rsidRPr="007405D6" w:rsidRDefault="00072FEE" w:rsidP="00072FEE">
      <w:pPr>
        <w:pStyle w:val="Sinespaciado"/>
        <w:spacing w:line="276" w:lineRule="auto"/>
        <w:jc w:val="both"/>
        <w:rPr>
          <w:rFonts w:ascii="Times New Roman" w:hAnsi="Times New Roman"/>
          <w:color w:val="000000" w:themeColor="text1"/>
          <w:sz w:val="24"/>
          <w:szCs w:val="24"/>
        </w:rPr>
      </w:pPr>
    </w:p>
    <w:p w:rsidR="00072FEE" w:rsidRPr="007405D6" w:rsidRDefault="00072FEE" w:rsidP="00072FEE">
      <w:pPr>
        <w:spacing w:line="276" w:lineRule="auto"/>
        <w:jc w:val="both"/>
        <w:rPr>
          <w:rFonts w:ascii="Times New Roman" w:hAnsi="Times New Roman"/>
          <w:color w:val="000000" w:themeColor="text1"/>
          <w:sz w:val="24"/>
          <w:szCs w:val="24"/>
        </w:rPr>
      </w:pPr>
      <w:r w:rsidRPr="007405D6">
        <w:rPr>
          <w:rFonts w:ascii="Times New Roman" w:hAnsi="Times New Roman"/>
          <w:color w:val="000000" w:themeColor="text1"/>
          <w:sz w:val="24"/>
          <w:szCs w:val="24"/>
        </w:rPr>
        <w:t xml:space="preserve">En nuestra opinión, </w:t>
      </w:r>
      <w:r w:rsidRPr="007405D6">
        <w:rPr>
          <w:rFonts w:ascii="Times New Roman" w:hAnsi="Times New Roman"/>
          <w:color w:val="000000" w:themeColor="text1"/>
          <w:sz w:val="24"/>
          <w:szCs w:val="24"/>
          <w:shd w:val="clear" w:color="auto" w:fill="FFFFFF"/>
        </w:rPr>
        <w:t xml:space="preserve">excepto por los efectos de la cuestión descrita en la sección “Fundamento de la opinión con salvedades” de nuestro informe, </w:t>
      </w:r>
      <w:r w:rsidRPr="007405D6">
        <w:rPr>
          <w:rFonts w:ascii="Times New Roman" w:hAnsi="Times New Roman"/>
          <w:color w:val="000000" w:themeColor="text1"/>
          <w:sz w:val="24"/>
          <w:szCs w:val="24"/>
        </w:rPr>
        <w:t>los estados financieros adjuntos presentan razonablemente, en todos los aspectos materiales, la situación financiera de la Sociedad al</w:t>
      </w:r>
      <w:r w:rsidR="00DD494A" w:rsidRPr="007405D6">
        <w:rPr>
          <w:rFonts w:ascii="Times New Roman" w:hAnsi="Times New Roman"/>
          <w:color w:val="000000" w:themeColor="text1"/>
          <w:sz w:val="24"/>
          <w:szCs w:val="24"/>
        </w:rPr>
        <w:t xml:space="preserve"> </w:t>
      </w:r>
      <w:r w:rsidRPr="007405D6">
        <w:rPr>
          <w:rFonts w:ascii="Times New Roman" w:hAnsi="Times New Roman"/>
          <w:color w:val="000000" w:themeColor="text1"/>
          <w:sz w:val="24"/>
          <w:szCs w:val="24"/>
        </w:rPr>
        <w:t xml:space="preserve">31 de diciembre de </w:t>
      </w:r>
      <w:r w:rsidR="00580A2C" w:rsidRPr="00C8256B">
        <w:rPr>
          <w:rFonts w:ascii="Times New Roman" w:hAnsi="Times New Roman"/>
          <w:sz w:val="24"/>
          <w:szCs w:val="24"/>
          <w:lang w:val="es-PE"/>
        </w:rPr>
        <w:t>20</w:t>
      </w:r>
      <w:r w:rsidR="00580A2C">
        <w:rPr>
          <w:rFonts w:ascii="Times New Roman" w:hAnsi="Times New Roman"/>
          <w:sz w:val="24"/>
          <w:szCs w:val="24"/>
          <w:lang w:val="es-PE"/>
        </w:rPr>
        <w:t>23 y</w:t>
      </w:r>
      <w:r w:rsidR="00580A2C" w:rsidRPr="00C8256B">
        <w:rPr>
          <w:rFonts w:ascii="Times New Roman" w:hAnsi="Times New Roman"/>
          <w:sz w:val="24"/>
          <w:szCs w:val="24"/>
          <w:lang w:val="es-PE"/>
        </w:rPr>
        <w:t xml:space="preserve"> 20</w:t>
      </w:r>
      <w:r w:rsidR="00580A2C">
        <w:rPr>
          <w:rFonts w:ascii="Times New Roman" w:hAnsi="Times New Roman"/>
          <w:sz w:val="24"/>
          <w:szCs w:val="24"/>
          <w:lang w:val="es-PE"/>
        </w:rPr>
        <w:t>24,</w:t>
      </w:r>
      <w:r w:rsidR="00580A2C">
        <w:rPr>
          <w:rFonts w:ascii="Times New Roman" w:hAnsi="Times New Roman"/>
          <w:sz w:val="24"/>
          <w:szCs w:val="24"/>
          <w:lang w:val="es-PE"/>
        </w:rPr>
        <w:t xml:space="preserve"> </w:t>
      </w:r>
      <w:r w:rsidRPr="007405D6">
        <w:rPr>
          <w:rFonts w:ascii="Times New Roman" w:hAnsi="Times New Roman"/>
          <w:color w:val="000000" w:themeColor="text1"/>
          <w:sz w:val="24"/>
          <w:szCs w:val="24"/>
        </w:rPr>
        <w:t>así como sus resultados y flujos de efectivo correspondientes al ejercicio terminado en dicha fecha, de conformidad con las Normas Internacionales de Información Financiera (NIIF).</w:t>
      </w:r>
    </w:p>
    <w:p w:rsidR="00072FEE" w:rsidRPr="007405D6" w:rsidRDefault="00072FEE" w:rsidP="00072FEE">
      <w:pPr>
        <w:spacing w:line="276" w:lineRule="auto"/>
        <w:jc w:val="both"/>
        <w:rPr>
          <w:rFonts w:ascii="Times New Roman" w:hAnsi="Times New Roman"/>
          <w:color w:val="000000" w:themeColor="text1"/>
          <w:sz w:val="24"/>
          <w:szCs w:val="24"/>
        </w:rPr>
      </w:pPr>
    </w:p>
    <w:p w:rsidR="00072FEE" w:rsidRPr="00851DCB" w:rsidRDefault="00072FEE" w:rsidP="00072FEE">
      <w:pPr>
        <w:spacing w:line="276" w:lineRule="auto"/>
        <w:jc w:val="both"/>
        <w:rPr>
          <w:rFonts w:ascii="Times New Roman" w:hAnsi="Times New Roman"/>
          <w:b/>
          <w:bCs/>
          <w:color w:val="000000" w:themeColor="text1"/>
          <w:sz w:val="24"/>
          <w:szCs w:val="24"/>
          <w:shd w:val="clear" w:color="auto" w:fill="FFFFFF"/>
        </w:rPr>
      </w:pPr>
      <w:r w:rsidRPr="00851DCB">
        <w:rPr>
          <w:rFonts w:ascii="Times New Roman" w:hAnsi="Times New Roman"/>
          <w:b/>
          <w:bCs/>
          <w:color w:val="000000" w:themeColor="text1"/>
          <w:sz w:val="24"/>
          <w:szCs w:val="24"/>
          <w:highlight w:val="yellow"/>
        </w:rPr>
        <w:t>Fundamento de la opinión con salv</w:t>
      </w:r>
      <w:r w:rsidRPr="00851DCB">
        <w:rPr>
          <w:rFonts w:ascii="Times New Roman" w:hAnsi="Times New Roman"/>
          <w:b/>
          <w:bCs/>
          <w:color w:val="000000" w:themeColor="text1"/>
          <w:sz w:val="24"/>
          <w:szCs w:val="24"/>
          <w:highlight w:val="yellow"/>
          <w:shd w:val="clear" w:color="auto" w:fill="FFFFFF"/>
        </w:rPr>
        <w:t>edades</w:t>
      </w:r>
    </w:p>
    <w:p w:rsidR="00072FEE" w:rsidRPr="007405D6" w:rsidRDefault="00072FEE" w:rsidP="00072FEE">
      <w:pPr>
        <w:pStyle w:val="Sinespaciado"/>
        <w:spacing w:line="276" w:lineRule="auto"/>
        <w:jc w:val="both"/>
        <w:rPr>
          <w:rFonts w:ascii="Times New Roman" w:hAnsi="Times New Roman"/>
          <w:color w:val="000000" w:themeColor="text1"/>
          <w:sz w:val="24"/>
          <w:szCs w:val="24"/>
        </w:rPr>
      </w:pPr>
    </w:p>
    <w:p w:rsidR="00072FEE" w:rsidRPr="007405D6" w:rsidRDefault="00072FEE" w:rsidP="00072FEE">
      <w:pPr>
        <w:pStyle w:val="Sinespaciado"/>
        <w:spacing w:line="276" w:lineRule="auto"/>
        <w:jc w:val="both"/>
        <w:rPr>
          <w:rFonts w:ascii="Times New Roman" w:hAnsi="Times New Roman"/>
          <w:color w:val="000000" w:themeColor="text1"/>
          <w:sz w:val="24"/>
          <w:szCs w:val="24"/>
        </w:rPr>
      </w:pPr>
      <w:r w:rsidRPr="007405D6">
        <w:rPr>
          <w:rFonts w:ascii="Times New Roman" w:hAnsi="Times New Roman"/>
          <w:color w:val="000000" w:themeColor="text1"/>
          <w:sz w:val="24"/>
          <w:szCs w:val="24"/>
        </w:rPr>
        <w:t>Durante el año 20</w:t>
      </w:r>
      <w:r w:rsidR="00580A2C">
        <w:rPr>
          <w:rFonts w:ascii="Times New Roman" w:hAnsi="Times New Roman"/>
          <w:color w:val="000000" w:themeColor="text1"/>
          <w:sz w:val="24"/>
          <w:szCs w:val="24"/>
        </w:rPr>
        <w:t>24,</w:t>
      </w:r>
      <w:r w:rsidR="00DD494A" w:rsidRPr="007405D6">
        <w:rPr>
          <w:rFonts w:ascii="Times New Roman" w:hAnsi="Times New Roman"/>
          <w:color w:val="000000" w:themeColor="text1"/>
          <w:sz w:val="24"/>
          <w:szCs w:val="24"/>
        </w:rPr>
        <w:t>,</w:t>
      </w:r>
      <w:r w:rsidRPr="007405D6">
        <w:rPr>
          <w:rFonts w:ascii="Times New Roman" w:hAnsi="Times New Roman"/>
          <w:color w:val="000000" w:themeColor="text1"/>
          <w:sz w:val="24"/>
          <w:szCs w:val="24"/>
        </w:rPr>
        <w:t xml:space="preserve"> la compañía determinó que en el año 20</w:t>
      </w:r>
      <w:r w:rsidR="00580A2C">
        <w:rPr>
          <w:rFonts w:ascii="Times New Roman" w:hAnsi="Times New Roman"/>
          <w:color w:val="000000" w:themeColor="text1"/>
          <w:sz w:val="24"/>
          <w:szCs w:val="24"/>
        </w:rPr>
        <w:t>23</w:t>
      </w:r>
      <w:r w:rsidRPr="007405D6">
        <w:rPr>
          <w:rFonts w:ascii="Times New Roman" w:hAnsi="Times New Roman"/>
          <w:color w:val="000000" w:themeColor="text1"/>
          <w:sz w:val="24"/>
          <w:szCs w:val="24"/>
        </w:rPr>
        <w:t xml:space="preserve"> se omitió el reconocimiento de </w:t>
      </w:r>
      <w:r w:rsidR="00953A95">
        <w:rPr>
          <w:rFonts w:ascii="Times New Roman" w:hAnsi="Times New Roman"/>
          <w:color w:val="000000" w:themeColor="text1"/>
          <w:sz w:val="24"/>
          <w:szCs w:val="24"/>
        </w:rPr>
        <w:t>Q.500,000.00</w:t>
      </w:r>
      <w:r w:rsidRPr="007405D6">
        <w:rPr>
          <w:rFonts w:ascii="Times New Roman" w:hAnsi="Times New Roman"/>
          <w:color w:val="000000" w:themeColor="text1"/>
          <w:sz w:val="24"/>
          <w:szCs w:val="24"/>
        </w:rPr>
        <w:t xml:space="preserve"> correspondiente a la depreciación de la maquinaria y equipo, a razón de </w:t>
      </w:r>
      <w:r w:rsidR="00953A95">
        <w:rPr>
          <w:rFonts w:ascii="Times New Roman" w:hAnsi="Times New Roman"/>
          <w:color w:val="000000" w:themeColor="text1"/>
          <w:sz w:val="24"/>
          <w:szCs w:val="24"/>
        </w:rPr>
        <w:t>Q.100,000.00</w:t>
      </w:r>
      <w:r w:rsidRPr="007405D6">
        <w:rPr>
          <w:rFonts w:ascii="Times New Roman" w:hAnsi="Times New Roman"/>
          <w:color w:val="000000" w:themeColor="text1"/>
          <w:sz w:val="24"/>
          <w:szCs w:val="24"/>
        </w:rPr>
        <w:t xml:space="preserve"> al año; sin embargo, la compañía registró la corrección afectando resultados del ejercicio 20</w:t>
      </w:r>
      <w:r w:rsidR="00580A2C">
        <w:rPr>
          <w:rFonts w:ascii="Times New Roman" w:hAnsi="Times New Roman"/>
          <w:color w:val="000000" w:themeColor="text1"/>
          <w:sz w:val="24"/>
          <w:szCs w:val="24"/>
        </w:rPr>
        <w:t>24</w:t>
      </w:r>
      <w:r w:rsidRPr="007405D6">
        <w:rPr>
          <w:rFonts w:ascii="Times New Roman" w:hAnsi="Times New Roman"/>
          <w:color w:val="000000" w:themeColor="text1"/>
          <w:sz w:val="24"/>
          <w:szCs w:val="24"/>
        </w:rPr>
        <w:t>, y no reformuló los estados financieros de 20</w:t>
      </w:r>
      <w:r w:rsidR="00580A2C">
        <w:rPr>
          <w:rFonts w:ascii="Times New Roman" w:hAnsi="Times New Roman"/>
          <w:color w:val="000000" w:themeColor="text1"/>
          <w:sz w:val="24"/>
          <w:szCs w:val="24"/>
        </w:rPr>
        <w:t>23</w:t>
      </w:r>
      <w:r w:rsidRPr="007405D6">
        <w:rPr>
          <w:rFonts w:ascii="Times New Roman" w:hAnsi="Times New Roman"/>
          <w:color w:val="000000" w:themeColor="text1"/>
          <w:sz w:val="24"/>
          <w:szCs w:val="24"/>
        </w:rPr>
        <w:t xml:space="preserve"> de acuerdo la Norma de Internacional</w:t>
      </w:r>
      <w:r w:rsidR="00FA2B0A">
        <w:rPr>
          <w:rFonts w:ascii="Times New Roman" w:hAnsi="Times New Roman"/>
          <w:color w:val="000000" w:themeColor="text1"/>
          <w:sz w:val="24"/>
          <w:szCs w:val="24"/>
        </w:rPr>
        <w:t>es de Información Financiera</w:t>
      </w:r>
      <w:r w:rsidRPr="007405D6">
        <w:rPr>
          <w:rFonts w:ascii="Times New Roman" w:hAnsi="Times New Roman"/>
          <w:color w:val="000000" w:themeColor="text1"/>
          <w:sz w:val="24"/>
          <w:szCs w:val="24"/>
        </w:rPr>
        <w:t>, por lo que la utilidad de 20</w:t>
      </w:r>
      <w:r w:rsidR="00580A2C">
        <w:rPr>
          <w:rFonts w:ascii="Times New Roman" w:hAnsi="Times New Roman"/>
          <w:color w:val="000000" w:themeColor="text1"/>
          <w:sz w:val="24"/>
          <w:szCs w:val="24"/>
        </w:rPr>
        <w:t>24</w:t>
      </w:r>
      <w:r w:rsidRPr="007405D6">
        <w:rPr>
          <w:rFonts w:ascii="Times New Roman" w:hAnsi="Times New Roman"/>
          <w:color w:val="000000" w:themeColor="text1"/>
          <w:sz w:val="24"/>
          <w:szCs w:val="24"/>
        </w:rPr>
        <w:t xml:space="preserve"> se redujo en $</w:t>
      </w:r>
      <w:r w:rsidR="000E42C5">
        <w:rPr>
          <w:rFonts w:ascii="Times New Roman" w:hAnsi="Times New Roman"/>
          <w:color w:val="000000" w:themeColor="text1"/>
          <w:sz w:val="24"/>
          <w:szCs w:val="24"/>
        </w:rPr>
        <w:t>800,000.00</w:t>
      </w:r>
      <w:r w:rsidRPr="007405D6">
        <w:rPr>
          <w:rFonts w:ascii="Times New Roman" w:hAnsi="Times New Roman"/>
          <w:color w:val="000000" w:themeColor="text1"/>
          <w:sz w:val="24"/>
          <w:szCs w:val="24"/>
        </w:rPr>
        <w:t xml:space="preserve"> y la de 20</w:t>
      </w:r>
      <w:r w:rsidR="00580A2C">
        <w:rPr>
          <w:rFonts w:ascii="Times New Roman" w:hAnsi="Times New Roman"/>
          <w:color w:val="000000" w:themeColor="text1"/>
          <w:sz w:val="24"/>
          <w:szCs w:val="24"/>
        </w:rPr>
        <w:t>23</w:t>
      </w:r>
      <w:r w:rsidRPr="007405D6">
        <w:rPr>
          <w:rFonts w:ascii="Times New Roman" w:hAnsi="Times New Roman"/>
          <w:color w:val="000000" w:themeColor="text1"/>
          <w:sz w:val="24"/>
          <w:szCs w:val="24"/>
        </w:rPr>
        <w:t xml:space="preserve">, esta excedida en la misma cantidad. </w:t>
      </w:r>
    </w:p>
    <w:p w:rsidR="00072FEE" w:rsidRPr="007405D6" w:rsidRDefault="00072FEE" w:rsidP="00072FEE">
      <w:pPr>
        <w:pStyle w:val="Sinespaciado"/>
        <w:spacing w:line="276" w:lineRule="auto"/>
        <w:jc w:val="both"/>
        <w:rPr>
          <w:rFonts w:ascii="Times New Roman" w:hAnsi="Times New Roman"/>
          <w:color w:val="000000" w:themeColor="text1"/>
          <w:sz w:val="24"/>
          <w:szCs w:val="24"/>
        </w:rPr>
      </w:pPr>
    </w:p>
    <w:p w:rsidR="001F3DD5" w:rsidRDefault="001F3DD5" w:rsidP="00072FEE">
      <w:pPr>
        <w:spacing w:line="276" w:lineRule="auto"/>
        <w:jc w:val="both"/>
        <w:rPr>
          <w:rFonts w:ascii="Times New Roman" w:hAnsi="Times New Roman"/>
          <w:color w:val="000000" w:themeColor="text1"/>
          <w:sz w:val="24"/>
          <w:szCs w:val="24"/>
          <w:lang w:val="es-PE"/>
        </w:rPr>
      </w:pPr>
    </w:p>
    <w:p w:rsidR="001F3DD5" w:rsidRDefault="001F3DD5" w:rsidP="00072FEE">
      <w:pPr>
        <w:spacing w:line="276" w:lineRule="auto"/>
        <w:jc w:val="both"/>
        <w:rPr>
          <w:rFonts w:ascii="Times New Roman" w:hAnsi="Times New Roman"/>
          <w:color w:val="000000" w:themeColor="text1"/>
          <w:sz w:val="24"/>
          <w:szCs w:val="24"/>
          <w:lang w:val="es-PE"/>
        </w:rPr>
      </w:pPr>
    </w:p>
    <w:p w:rsidR="001F3DD5" w:rsidRDefault="001F3DD5" w:rsidP="00072FEE">
      <w:pPr>
        <w:spacing w:line="276" w:lineRule="auto"/>
        <w:jc w:val="both"/>
        <w:rPr>
          <w:rFonts w:ascii="Times New Roman" w:hAnsi="Times New Roman"/>
          <w:color w:val="000000" w:themeColor="text1"/>
          <w:sz w:val="24"/>
          <w:szCs w:val="24"/>
          <w:lang w:val="es-PE"/>
        </w:rPr>
      </w:pPr>
    </w:p>
    <w:p w:rsidR="001F3DD5" w:rsidRDefault="001F3DD5" w:rsidP="00072FEE">
      <w:pPr>
        <w:spacing w:line="276" w:lineRule="auto"/>
        <w:jc w:val="both"/>
        <w:rPr>
          <w:rFonts w:ascii="Times New Roman" w:hAnsi="Times New Roman"/>
          <w:color w:val="000000" w:themeColor="text1"/>
          <w:sz w:val="24"/>
          <w:szCs w:val="24"/>
          <w:lang w:val="es-PE"/>
        </w:rPr>
      </w:pPr>
    </w:p>
    <w:p w:rsidR="001F3DD5" w:rsidRDefault="001F3DD5" w:rsidP="00072FEE">
      <w:pPr>
        <w:spacing w:line="276" w:lineRule="auto"/>
        <w:jc w:val="both"/>
        <w:rPr>
          <w:rFonts w:ascii="Times New Roman" w:hAnsi="Times New Roman"/>
          <w:color w:val="000000" w:themeColor="text1"/>
          <w:sz w:val="24"/>
          <w:szCs w:val="24"/>
          <w:lang w:val="es-PE"/>
        </w:rPr>
      </w:pPr>
    </w:p>
    <w:p w:rsidR="00072FEE" w:rsidRPr="007405D6" w:rsidRDefault="00072FEE" w:rsidP="00072FEE">
      <w:pPr>
        <w:spacing w:line="276" w:lineRule="auto"/>
        <w:jc w:val="both"/>
        <w:rPr>
          <w:rFonts w:ascii="Times New Roman" w:hAnsi="Times New Roman"/>
          <w:color w:val="000000" w:themeColor="text1"/>
          <w:sz w:val="24"/>
          <w:szCs w:val="24"/>
        </w:rPr>
      </w:pPr>
      <w:r w:rsidRPr="007405D6">
        <w:rPr>
          <w:rFonts w:ascii="Times New Roman" w:hAnsi="Times New Roman"/>
          <w:color w:val="000000" w:themeColor="text1"/>
          <w:sz w:val="24"/>
          <w:szCs w:val="24"/>
          <w:lang w:val="es-PE"/>
        </w:rPr>
        <w:lastRenderedPageBreak/>
        <w:t xml:space="preserve">Hemos llevado a cabo nuestra auditoría de conformidad con las Normas Internacionales de Auditoría (NIA). Nuestras responsabilidades, de acuerdo con dichas normas, se describen más adelante en la sección Responsabilidades del auditor en relación con la auditoría de los estados financieros de nuestro informe. Somos independientes de la sociedad de conformidad con el </w:t>
      </w:r>
      <w:r w:rsidRPr="007405D6">
        <w:rPr>
          <w:rFonts w:ascii="Times New Roman" w:eastAsia="Arial" w:hAnsi="Times New Roman"/>
          <w:color w:val="000000" w:themeColor="text1"/>
          <w:sz w:val="24"/>
          <w:szCs w:val="24"/>
          <w:lang w:val="es-PE"/>
        </w:rPr>
        <w:t>“Código de Ética para Profesionales de la Contabilidad del Consejo de Normas Internacionales de Ética para Contadores” (“Código de Ética del IESBA”)</w:t>
      </w:r>
      <w:r w:rsidR="00050CF2">
        <w:rPr>
          <w:rFonts w:ascii="Times New Roman" w:eastAsia="Arial" w:hAnsi="Times New Roman"/>
          <w:color w:val="000000" w:themeColor="text1"/>
          <w:sz w:val="24"/>
          <w:szCs w:val="24"/>
          <w:lang w:val="es-PE"/>
        </w:rPr>
        <w:t xml:space="preserve"> </w:t>
      </w:r>
      <w:r w:rsidRPr="007405D6">
        <w:rPr>
          <w:rFonts w:ascii="Times New Roman" w:eastAsia="Arial" w:hAnsi="Times New Roman"/>
          <w:color w:val="000000" w:themeColor="text1"/>
          <w:sz w:val="24"/>
          <w:szCs w:val="24"/>
          <w:lang w:val="es-PE"/>
        </w:rPr>
        <w:t xml:space="preserve">y </w:t>
      </w:r>
      <w:r w:rsidRPr="007405D6">
        <w:rPr>
          <w:rFonts w:ascii="Times New Roman" w:hAnsi="Times New Roman"/>
          <w:color w:val="000000" w:themeColor="text1"/>
          <w:sz w:val="24"/>
          <w:szCs w:val="24"/>
          <w:lang w:val="es-PE"/>
        </w:rPr>
        <w:t>los requerimientos de ética aplicables a nuestra auditoría de los estados financieros por el</w:t>
      </w:r>
      <w:r w:rsidR="00D24335" w:rsidRPr="007405D6">
        <w:rPr>
          <w:rFonts w:ascii="Times New Roman" w:hAnsi="Times New Roman"/>
          <w:color w:val="000000" w:themeColor="text1"/>
          <w:sz w:val="24"/>
          <w:szCs w:val="24"/>
          <w:lang w:val="es-PE"/>
        </w:rPr>
        <w:t xml:space="preserve"> </w:t>
      </w:r>
      <w:r w:rsidRPr="007405D6">
        <w:rPr>
          <w:rFonts w:ascii="Times New Roman" w:hAnsi="Times New Roman"/>
          <w:color w:val="000000" w:themeColor="text1"/>
          <w:sz w:val="24"/>
          <w:szCs w:val="24"/>
          <w:lang w:val="es-PE"/>
        </w:rPr>
        <w:t xml:space="preserve">“código de ética profesional para Contadores Públicos en </w:t>
      </w:r>
      <w:r w:rsidR="00D24335" w:rsidRPr="007405D6">
        <w:rPr>
          <w:rFonts w:ascii="Times New Roman" w:hAnsi="Times New Roman"/>
          <w:color w:val="000000" w:themeColor="text1"/>
          <w:sz w:val="24"/>
          <w:szCs w:val="24"/>
          <w:lang w:val="es-PE"/>
        </w:rPr>
        <w:t>XXXXXX</w:t>
      </w:r>
      <w:r w:rsidRPr="007405D6">
        <w:rPr>
          <w:rFonts w:ascii="Times New Roman" w:hAnsi="Times New Roman"/>
          <w:color w:val="000000" w:themeColor="text1"/>
          <w:sz w:val="24"/>
          <w:szCs w:val="24"/>
          <w:lang w:val="es-PE"/>
        </w:rPr>
        <w:t xml:space="preserve">” y hemos cumplido las demás responsabilidades de ética de conformidad con esos requerimientos. Consideramos que la evidencia de auditoría que hemos obtenido proporciona una base suficiente y adecuada para nuestra opinión </w:t>
      </w:r>
      <w:r w:rsidRPr="007405D6">
        <w:rPr>
          <w:rFonts w:ascii="Times New Roman" w:hAnsi="Times New Roman"/>
          <w:color w:val="000000" w:themeColor="text1"/>
          <w:sz w:val="24"/>
          <w:szCs w:val="24"/>
        </w:rPr>
        <w:t>con salvedades.</w:t>
      </w: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color w:val="000000" w:themeColor="text1"/>
          <w:sz w:val="24"/>
          <w:szCs w:val="24"/>
          <w:lang w:val="es-PE"/>
        </w:rPr>
      </w:pPr>
      <w:r w:rsidRPr="007405D6">
        <w:rPr>
          <w:rFonts w:ascii="Times New Roman" w:hAnsi="Times New Roman"/>
          <w:b/>
          <w:color w:val="000000" w:themeColor="text1"/>
          <w:sz w:val="24"/>
          <w:szCs w:val="24"/>
          <w:highlight w:val="yellow"/>
          <w:lang w:val="es-PE"/>
        </w:rPr>
        <w:t>Responsabilidad de la Dirección y de los responsables del gobierno de la entidad en relación con los estados financieros</w:t>
      </w:r>
    </w:p>
    <w:p w:rsidR="00072FEE" w:rsidRPr="007405D6" w:rsidRDefault="00072FEE" w:rsidP="00072FEE">
      <w:pPr>
        <w:pStyle w:val="Sinespaciado"/>
        <w:spacing w:line="276" w:lineRule="auto"/>
        <w:jc w:val="both"/>
        <w:rPr>
          <w:rFonts w:ascii="Times New Roman" w:hAnsi="Times New Roman"/>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La Dirección es responsable de la preparación y presentación razonable de los estados financieros adjuntos de conformidad con las Normas Internacionales de información financiera NIIF</w:t>
      </w:r>
      <w:r w:rsidR="00202BBB" w:rsidRPr="007405D6">
        <w:rPr>
          <w:rFonts w:ascii="Times New Roman" w:hAnsi="Times New Roman"/>
          <w:color w:val="000000" w:themeColor="text1"/>
          <w:sz w:val="24"/>
          <w:szCs w:val="24"/>
          <w:lang w:val="es-PE"/>
        </w:rPr>
        <w:t xml:space="preserve"> </w:t>
      </w:r>
      <w:r w:rsidRPr="007405D6">
        <w:rPr>
          <w:rFonts w:ascii="Times New Roman" w:hAnsi="Times New Roman"/>
          <w:color w:val="000000" w:themeColor="text1"/>
          <w:sz w:val="24"/>
          <w:szCs w:val="24"/>
          <w:lang w:val="es-PE"/>
        </w:rPr>
        <w:t>y del control interno que la Dirección considere necesario para permitir la preparación de los estados financieros libres de incorrección material, debido a fraude o error.</w:t>
      </w:r>
    </w:p>
    <w:p w:rsidR="00072FEE" w:rsidRPr="007405D6" w:rsidRDefault="00072FEE" w:rsidP="00072FEE">
      <w:pPr>
        <w:pStyle w:val="Sinespaciado"/>
        <w:spacing w:line="276" w:lineRule="auto"/>
        <w:jc w:val="both"/>
        <w:rPr>
          <w:rFonts w:ascii="Times New Roman" w:hAnsi="Times New Roman"/>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En la preparación de los estados financieros, la Dirección es responsable de la valoración de la capacidad de la Sociedad de continuar como empresa en funcionamiento, revelando, según corresponda, las cuestiones relacionadas con la empresa en funcionamiento y utilizando el principio contable de empresa en funcionamiento, excepto si la Dirección tiene intención de liquidar la sociedad o de cesar sus operaciones, o no exista otra alternativa realista.</w:t>
      </w:r>
    </w:p>
    <w:p w:rsidR="00072FEE" w:rsidRPr="007405D6" w:rsidRDefault="00072FEE" w:rsidP="00072FEE">
      <w:pPr>
        <w:pStyle w:val="Sinespaciado"/>
        <w:spacing w:line="276" w:lineRule="auto"/>
        <w:jc w:val="both"/>
        <w:rPr>
          <w:rFonts w:ascii="Times New Roman" w:hAnsi="Times New Roman"/>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Los responsables del gobierno de la entidad son responsables de la supervisión del proceso de información financiera de la sociedad.</w:t>
      </w:r>
    </w:p>
    <w:p w:rsidR="00072FEE" w:rsidRPr="007405D6" w:rsidRDefault="00072FEE" w:rsidP="00072FEE">
      <w:pPr>
        <w:pStyle w:val="Sinespaciado"/>
        <w:spacing w:line="276" w:lineRule="auto"/>
        <w:jc w:val="both"/>
        <w:rPr>
          <w:rFonts w:ascii="Times New Roman" w:hAnsi="Times New Roman"/>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b/>
          <w:color w:val="000000" w:themeColor="text1"/>
          <w:sz w:val="24"/>
          <w:szCs w:val="24"/>
          <w:lang w:val="es-PE"/>
        </w:rPr>
      </w:pPr>
      <w:r w:rsidRPr="007405D6">
        <w:rPr>
          <w:rFonts w:ascii="Times New Roman" w:hAnsi="Times New Roman"/>
          <w:b/>
          <w:color w:val="000000" w:themeColor="text1"/>
          <w:sz w:val="24"/>
          <w:szCs w:val="24"/>
          <w:highlight w:val="yellow"/>
          <w:lang w:val="es-PE"/>
        </w:rPr>
        <w:t>Responsabilidad del auditor en relación con la auditoría de los estados financieros</w:t>
      </w:r>
      <w:r w:rsidRPr="007405D6">
        <w:rPr>
          <w:rFonts w:ascii="Times New Roman" w:hAnsi="Times New Roman"/>
          <w:b/>
          <w:color w:val="000000" w:themeColor="text1"/>
          <w:sz w:val="24"/>
          <w:szCs w:val="24"/>
          <w:lang w:val="es-PE"/>
        </w:rPr>
        <w:t xml:space="preserve"> </w:t>
      </w:r>
    </w:p>
    <w:p w:rsidR="00072FEE" w:rsidRPr="007405D6" w:rsidRDefault="00072FEE" w:rsidP="00072FEE">
      <w:pPr>
        <w:pStyle w:val="Sinespaciado"/>
        <w:spacing w:line="276" w:lineRule="auto"/>
        <w:jc w:val="both"/>
        <w:rPr>
          <w:rFonts w:ascii="Times New Roman" w:hAnsi="Times New Roman"/>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931"/>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Nuestros objetivos son obtener una seguridad razonable de que los estados financieros en su conjunto están libres de incorrección material, debida a fraude o error, y emitir un informe de auditoría que contenga nuestra opinión. Seguridad razonable es un alto grado de seguridad, pero no garantiza que una auditoría realizada de conformidad con las NIA siempre detecte una incorrección material cuando existe. Las incorrecciones pueden deberse a fraude o error y se consideran materiales si, individualmente o de forma agregada, puede preverse razonablemente que influyen en las decisiones económicas que los usuarios toman basándose en los estados financieros.</w:t>
      </w: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lastRenderedPageBreak/>
        <w:t>Como parte de una auditoría de conformidad con las NIA, aplicamos nuestro juicio profesional y mantenemos una actitud de escepticismo profesional durante toda la auditoría. También identificamos y valoramos los riesgos de incorrecciones materiales en los estados financieros, debido a fraude o error; diseñamos y aplicamos procedimientos de auditoría para responder a dichos riesgos y obtenemos evidencia de auditoría suficiente y adecuada para proporcionar una base para nuestra opinión. El riesgo de no detectar una incorrección material debida a fraude es más elevado que en el caso de una incorrección debido a error, ya que el fraude puede implicar colusión, falsificación, manifestaciones intencionalmente erróneas o elución del control interno.</w:t>
      </w:r>
    </w:p>
    <w:p w:rsidR="00072FEE" w:rsidRPr="007405D6" w:rsidRDefault="00072FEE" w:rsidP="00072FEE">
      <w:pPr>
        <w:pStyle w:val="Sinespaciado"/>
        <w:spacing w:line="276" w:lineRule="auto"/>
        <w:jc w:val="both"/>
        <w:rPr>
          <w:rFonts w:ascii="Times New Roman" w:hAnsi="Times New Roman"/>
          <w:color w:val="000000" w:themeColor="text1"/>
          <w:sz w:val="24"/>
          <w:szCs w:val="24"/>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Obtenemos conocimiento del control interno con el fin de diseñar procedimientos de auditoría que sean adecuados en función de las circunstancias y no con la finalidad de expresar una opinión sobre la eficacia de control interno de la entidad.</w:t>
      </w:r>
    </w:p>
    <w:p w:rsidR="00072FEE" w:rsidRPr="007405D6" w:rsidRDefault="00072FEE" w:rsidP="00072FEE">
      <w:pPr>
        <w:pStyle w:val="Sinespaciado"/>
        <w:spacing w:line="276" w:lineRule="auto"/>
        <w:jc w:val="both"/>
        <w:rPr>
          <w:rFonts w:ascii="Times New Roman" w:hAnsi="Times New Roman"/>
          <w:color w:val="000000" w:themeColor="text1"/>
          <w:sz w:val="24"/>
          <w:szCs w:val="24"/>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Concluimos sobre lo adecuado de la utilización, por parte de la Dirección, del principio contable de empresa en funcionamiento, y basándonos en la evidencia obtenida concluimos si existe o no una incertidumbre material relacionada con hechos o con condiciones que puedan generar dudas significativas sobre la capacidad de la sociedad para continuar como empresa en funcionamiento. Si concluimos que existe una incertidumbre material, se requiere que llamemos la atención en nuestro informe de auditoría sobre la correspondiente información revelada en los estados financieros, o si dichas revelaciones no son adecuadas, que expresen una opinión modificada. Nuestras conclusiones se basan en la evidencia de auditoría obtenida hasta la fecha de nuestro informe de auditoría. Sin embargo, hechos o condiciones futuras pueden ser causa de que la sociedad deje de ser una empresa en funcionamiento.</w:t>
      </w:r>
    </w:p>
    <w:p w:rsidR="00072FEE" w:rsidRPr="007405D6" w:rsidRDefault="00072FEE" w:rsidP="00072FEE">
      <w:pPr>
        <w:pStyle w:val="Sinespaciado"/>
        <w:spacing w:line="276" w:lineRule="auto"/>
        <w:jc w:val="both"/>
        <w:rPr>
          <w:rFonts w:ascii="Times New Roman" w:hAnsi="Times New Roman"/>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Evaluamos en su conjunto, la presentación, la estructura y el contenido de los estados financieros, incluida la información revelada, y si los estados financieros representan las transacciones y hechos subyacentes de modo que logren la presentación razonable.</w:t>
      </w: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765"/>
        <w:jc w:val="both"/>
        <w:rPr>
          <w:rFonts w:ascii="Times New Roman" w:hAnsi="Times New Roman"/>
          <w:color w:val="000000" w:themeColor="text1"/>
          <w:sz w:val="24"/>
          <w:szCs w:val="24"/>
          <w:lang w:val="es-PE"/>
        </w:rPr>
      </w:pP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 xml:space="preserve">Otra de nuestras responsabilidades es comunicarnos con los responsables del gobierno de la entidad en relación con el alcance y el momento de realización de auditoría planificada y los hallazgos significativos de la auditoría, así como cualquier deficiencia significativa del control interno que identificamos en el transcurso de la auditoría. </w:t>
      </w:r>
    </w:p>
    <w:p w:rsidR="00072FEE" w:rsidRPr="007405D6" w:rsidRDefault="00072FEE" w:rsidP="00072FEE">
      <w:pPr>
        <w:pStyle w:val="Sinespaciado"/>
        <w:spacing w:line="276" w:lineRule="auto"/>
        <w:jc w:val="both"/>
        <w:rPr>
          <w:rFonts w:ascii="Times New Roman" w:hAnsi="Times New Roman"/>
          <w:color w:val="000000" w:themeColor="text1"/>
          <w:sz w:val="24"/>
          <w:szCs w:val="24"/>
        </w:rPr>
      </w:pPr>
    </w:p>
    <w:p w:rsidR="00072FEE"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r w:rsidRPr="007405D6">
        <w:rPr>
          <w:rFonts w:ascii="Times New Roman" w:hAnsi="Times New Roman"/>
          <w:color w:val="000000" w:themeColor="text1"/>
          <w:sz w:val="24"/>
          <w:szCs w:val="24"/>
          <w:lang w:val="es-PE"/>
        </w:rPr>
        <w:t>Asimismo, proporcionar a los responsables del gobierno de la entidad una declaración de que hemos cumplido los requerimientos de ética aplicables en relación con la independencia, y comunicarnos con ellos acerca de todas las relaciones y demás cuestiones que puedan afectar nuestra independencia y, en su caso, las correspondientes salvaguardas.</w:t>
      </w:r>
    </w:p>
    <w:p w:rsidR="00C401BD" w:rsidRDefault="00C401BD"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p>
    <w:p w:rsidR="00C401BD" w:rsidRPr="007405D6" w:rsidRDefault="00C401BD"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276" w:lineRule="auto"/>
        <w:ind w:left="0"/>
        <w:jc w:val="both"/>
        <w:rPr>
          <w:rFonts w:ascii="Times New Roman" w:hAnsi="Times New Roman"/>
          <w:color w:val="000000" w:themeColor="text1"/>
          <w:sz w:val="24"/>
          <w:szCs w:val="24"/>
          <w:lang w:val="es-PE"/>
        </w:rPr>
      </w:pPr>
    </w:p>
    <w:p w:rsidR="004173D1" w:rsidRDefault="004173D1"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Firma </w:t>
      </w:r>
    </w:p>
    <w:p w:rsidR="004173D1" w:rsidRDefault="004173D1"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Auditor:</w:t>
      </w:r>
    </w:p>
    <w:p w:rsidR="00072FEE" w:rsidRPr="007405D6" w:rsidRDefault="004173D1"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color w:val="000000" w:themeColor="text1"/>
          <w:sz w:val="24"/>
          <w:szCs w:val="24"/>
          <w:lang w:val="es-PE"/>
        </w:rPr>
      </w:pPr>
      <w:r>
        <w:rPr>
          <w:rFonts w:ascii="Times New Roman" w:hAnsi="Times New Roman"/>
          <w:color w:val="000000" w:themeColor="text1"/>
          <w:sz w:val="24"/>
          <w:szCs w:val="24"/>
          <w:lang w:val="es-PE"/>
        </w:rPr>
        <w:t xml:space="preserve">Guatemala, </w:t>
      </w:r>
      <w:r w:rsidR="00072FEE" w:rsidRPr="007405D6">
        <w:rPr>
          <w:rFonts w:ascii="Times New Roman" w:hAnsi="Times New Roman"/>
          <w:color w:val="000000" w:themeColor="text1"/>
          <w:sz w:val="24"/>
          <w:szCs w:val="24"/>
          <w:lang w:val="es-PE"/>
        </w:rPr>
        <w:t>31 de enero de 20</w:t>
      </w:r>
      <w:r w:rsidR="00296A33">
        <w:rPr>
          <w:rFonts w:ascii="Times New Roman" w:hAnsi="Times New Roman"/>
          <w:color w:val="000000" w:themeColor="text1"/>
          <w:sz w:val="24"/>
          <w:szCs w:val="24"/>
          <w:lang w:val="es-PE"/>
        </w:rPr>
        <w:t>2X</w:t>
      </w:r>
    </w:p>
    <w:p w:rsidR="00072FEE" w:rsidRPr="007405D6" w:rsidRDefault="00072FEE" w:rsidP="00072FEE">
      <w:pPr>
        <w:pStyle w:val="Textoindependiente"/>
        <w:tabs>
          <w:tab w:val="left" w:pos="1985"/>
          <w:tab w:val="left" w:pos="3402"/>
          <w:tab w:val="left" w:pos="3540"/>
          <w:tab w:val="left" w:pos="4248"/>
          <w:tab w:val="left" w:pos="4956"/>
          <w:tab w:val="left" w:pos="5664"/>
          <w:tab w:val="left" w:pos="6372"/>
          <w:tab w:val="left" w:pos="7080"/>
          <w:tab w:val="left" w:pos="7788"/>
          <w:tab w:val="left" w:pos="8496"/>
        </w:tabs>
        <w:spacing w:line="360" w:lineRule="auto"/>
        <w:ind w:left="0"/>
        <w:jc w:val="both"/>
        <w:rPr>
          <w:rFonts w:ascii="Times New Roman" w:hAnsi="Times New Roman"/>
          <w:color w:val="000000" w:themeColor="text1"/>
          <w:sz w:val="24"/>
          <w:szCs w:val="24"/>
          <w:lang w:val="es-PE"/>
        </w:rPr>
      </w:pPr>
    </w:p>
    <w:p w:rsidR="00BB5FC9" w:rsidRPr="007405D6" w:rsidRDefault="00BB5FC9" w:rsidP="00072FEE">
      <w:pPr>
        <w:jc w:val="both"/>
        <w:rPr>
          <w:rFonts w:ascii="Times New Roman" w:hAnsi="Times New Roman"/>
          <w:color w:val="000000" w:themeColor="text1"/>
          <w:sz w:val="24"/>
          <w:szCs w:val="24"/>
          <w:lang w:val="es-PE"/>
        </w:rPr>
      </w:pPr>
    </w:p>
    <w:sectPr w:rsidR="00BB5FC9" w:rsidRPr="007405D6" w:rsidSect="00263A98">
      <w:footerReference w:type="default" r:id="rId7"/>
      <w:pgSz w:w="12240" w:h="15840"/>
      <w:pgMar w:top="1417" w:right="1750" w:bottom="1417"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A16" w:rsidRDefault="00ED7A16">
      <w:r>
        <w:separator/>
      </w:r>
    </w:p>
  </w:endnote>
  <w:endnote w:type="continuationSeparator" w:id="0">
    <w:p w:rsidR="00ED7A16" w:rsidRDefault="00ED7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567" w:rsidRDefault="00ED7A16">
    <w:pPr>
      <w:pStyle w:val="Piedepgina"/>
      <w:jc w:val="right"/>
    </w:pPr>
  </w:p>
  <w:p w:rsidR="00F97567" w:rsidRDefault="00ED7A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A16" w:rsidRDefault="00ED7A16">
      <w:r>
        <w:separator/>
      </w:r>
    </w:p>
  </w:footnote>
  <w:footnote w:type="continuationSeparator" w:id="0">
    <w:p w:rsidR="00ED7A16" w:rsidRDefault="00ED7A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3109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EE"/>
    <w:rsid w:val="00016672"/>
    <w:rsid w:val="00050CF2"/>
    <w:rsid w:val="00072FEE"/>
    <w:rsid w:val="000E42C5"/>
    <w:rsid w:val="001F3DD5"/>
    <w:rsid w:val="00202BBB"/>
    <w:rsid w:val="00213A4D"/>
    <w:rsid w:val="00296A33"/>
    <w:rsid w:val="002E4A2E"/>
    <w:rsid w:val="004173D1"/>
    <w:rsid w:val="004831D3"/>
    <w:rsid w:val="00580A2C"/>
    <w:rsid w:val="005A7A92"/>
    <w:rsid w:val="005B56D4"/>
    <w:rsid w:val="007405D6"/>
    <w:rsid w:val="00851DCB"/>
    <w:rsid w:val="009014C6"/>
    <w:rsid w:val="00953A95"/>
    <w:rsid w:val="00B30901"/>
    <w:rsid w:val="00BB5FC9"/>
    <w:rsid w:val="00C3793C"/>
    <w:rsid w:val="00C401BD"/>
    <w:rsid w:val="00C44E04"/>
    <w:rsid w:val="00D24335"/>
    <w:rsid w:val="00DC303B"/>
    <w:rsid w:val="00DD494A"/>
    <w:rsid w:val="00ED7A16"/>
    <w:rsid w:val="00FA2B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861FE"/>
  <w15:chartTrackingRefBased/>
  <w15:docId w15:val="{D5AF210C-F473-4381-AAFD-7EAC2282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72FEE"/>
    <w:pPr>
      <w:widowControl w:val="0"/>
      <w:spacing w:after="0" w:line="240" w:lineRule="auto"/>
    </w:pPr>
    <w:rPr>
      <w:rFonts w:ascii="Calibri" w:eastAsia="Calibri" w:hAnsi="Calibri" w:cs="Times New Roman"/>
      <w:lang w:val="es-CO"/>
    </w:rPr>
  </w:style>
  <w:style w:type="paragraph" w:styleId="Ttulo1">
    <w:name w:val="heading 1"/>
    <w:basedOn w:val="Normal"/>
    <w:next w:val="Normal"/>
    <w:link w:val="Ttulo1Car"/>
    <w:uiPriority w:val="9"/>
    <w:qFormat/>
    <w:rsid w:val="00072FEE"/>
    <w:pPr>
      <w:keepNext/>
      <w:keepLines/>
      <w:spacing w:before="240"/>
      <w:outlineLvl w:val="0"/>
    </w:pPr>
    <w:rPr>
      <w:rFonts w:ascii="Calibri Light" w:eastAsia="Times New Roman" w:hAnsi="Calibri Light"/>
      <w:color w:val="2F5496"/>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FEE"/>
    <w:rPr>
      <w:rFonts w:ascii="Calibri Light" w:eastAsia="Times New Roman" w:hAnsi="Calibri Light" w:cs="Times New Roman"/>
      <w:color w:val="2F5496"/>
      <w:sz w:val="32"/>
      <w:szCs w:val="32"/>
      <w:lang w:val="es-CO"/>
    </w:rPr>
  </w:style>
  <w:style w:type="paragraph" w:styleId="Textoindependiente">
    <w:name w:val="Body Text"/>
    <w:basedOn w:val="Normal"/>
    <w:link w:val="TextoindependienteCar"/>
    <w:uiPriority w:val="1"/>
    <w:qFormat/>
    <w:rsid w:val="00072FEE"/>
    <w:pPr>
      <w:ind w:left="1256"/>
    </w:pPr>
    <w:rPr>
      <w:rFonts w:ascii="Arial" w:eastAsia="Arial" w:hAnsi="Arial"/>
      <w:sz w:val="20"/>
      <w:szCs w:val="20"/>
    </w:rPr>
  </w:style>
  <w:style w:type="character" w:customStyle="1" w:styleId="TextoindependienteCar">
    <w:name w:val="Texto independiente Car"/>
    <w:basedOn w:val="Fuentedeprrafopredeter"/>
    <w:link w:val="Textoindependiente"/>
    <w:uiPriority w:val="1"/>
    <w:rsid w:val="00072FEE"/>
    <w:rPr>
      <w:rFonts w:ascii="Arial" w:eastAsia="Arial" w:hAnsi="Arial" w:cs="Times New Roman"/>
      <w:sz w:val="20"/>
      <w:szCs w:val="20"/>
      <w:lang w:val="es-CO"/>
    </w:rPr>
  </w:style>
  <w:style w:type="paragraph" w:styleId="Prrafodelista">
    <w:name w:val="List Paragraph"/>
    <w:basedOn w:val="Normal"/>
    <w:uiPriority w:val="34"/>
    <w:qFormat/>
    <w:rsid w:val="00072FEE"/>
  </w:style>
  <w:style w:type="paragraph" w:styleId="Sinespaciado">
    <w:name w:val="No Spacing"/>
    <w:uiPriority w:val="1"/>
    <w:qFormat/>
    <w:rsid w:val="00072FEE"/>
    <w:pPr>
      <w:spacing w:after="0" w:line="240" w:lineRule="auto"/>
    </w:pPr>
    <w:rPr>
      <w:rFonts w:ascii="Calibri" w:eastAsia="Calibri" w:hAnsi="Calibri" w:cs="Times New Roman"/>
      <w:lang w:val="es-CO"/>
    </w:rPr>
  </w:style>
  <w:style w:type="paragraph" w:styleId="Piedepgina">
    <w:name w:val="footer"/>
    <w:basedOn w:val="Normal"/>
    <w:link w:val="PiedepginaCar"/>
    <w:uiPriority w:val="99"/>
    <w:unhideWhenUsed/>
    <w:rsid w:val="00072FEE"/>
    <w:pPr>
      <w:tabs>
        <w:tab w:val="center" w:pos="4252"/>
        <w:tab w:val="right" w:pos="8504"/>
      </w:tabs>
    </w:pPr>
  </w:style>
  <w:style w:type="character" w:customStyle="1" w:styleId="PiedepginaCar">
    <w:name w:val="Pie de página Car"/>
    <w:basedOn w:val="Fuentedeprrafopredeter"/>
    <w:link w:val="Piedepgina"/>
    <w:uiPriority w:val="99"/>
    <w:rsid w:val="00072FEE"/>
    <w:rPr>
      <w:rFonts w:ascii="Calibri" w:eastAsia="Calibri" w:hAnsi="Calibri" w:cs="Times New Roman"/>
      <w:lang w:val="es-CO"/>
    </w:rPr>
  </w:style>
  <w:style w:type="paragraph" w:styleId="Encabezado">
    <w:name w:val="header"/>
    <w:basedOn w:val="Normal"/>
    <w:link w:val="EncabezadoCar"/>
    <w:uiPriority w:val="99"/>
    <w:unhideWhenUsed/>
    <w:rsid w:val="00C3793C"/>
    <w:pPr>
      <w:tabs>
        <w:tab w:val="center" w:pos="4419"/>
        <w:tab w:val="right" w:pos="8838"/>
      </w:tabs>
    </w:pPr>
  </w:style>
  <w:style w:type="character" w:customStyle="1" w:styleId="EncabezadoCar">
    <w:name w:val="Encabezado Car"/>
    <w:basedOn w:val="Fuentedeprrafopredeter"/>
    <w:link w:val="Encabezado"/>
    <w:uiPriority w:val="99"/>
    <w:rsid w:val="00C3793C"/>
    <w:rPr>
      <w:rFonts w:ascii="Calibri" w:eastAsia="Calibri" w:hAnsi="Calibri"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1151</Words>
  <Characters>6334</Characters>
  <Application>Microsoft Office Word</Application>
  <DocSecurity>0</DocSecurity>
  <Lines>52</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Victor Juárez</cp:lastModifiedBy>
  <cp:revision>23</cp:revision>
  <dcterms:created xsi:type="dcterms:W3CDTF">2020-03-31T20:54:00Z</dcterms:created>
  <dcterms:modified xsi:type="dcterms:W3CDTF">2024-10-31T12:56:00Z</dcterms:modified>
</cp:coreProperties>
</file>