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FC91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80AE9" wp14:editId="76373E52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C12DE" w14:textId="77777777" w:rsidR="00BB2BC6" w:rsidRPr="005763B1" w:rsidRDefault="005763B1" w:rsidP="005763B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80AE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14:paraId="224C12DE" w14:textId="77777777" w:rsidR="00BB2BC6" w:rsidRPr="005763B1" w:rsidRDefault="005763B1" w:rsidP="005763B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PBR-013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EBA0A" wp14:editId="0D13DAFE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6EA2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EBA0A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53596EA2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EF14" wp14:editId="1714C3EF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DC3D1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EF14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029DC3D1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036829BC" w14:textId="77777777" w:rsidR="006E36FB" w:rsidRDefault="006E36FB"/>
    <w:p w14:paraId="4E15C9B8" w14:textId="77777777" w:rsidR="006E36FB" w:rsidRDefault="006E36FB"/>
    <w:p w14:paraId="3F05CBB8" w14:textId="77777777" w:rsidR="00995C46" w:rsidRDefault="00995C46" w:rsidP="00995C46">
      <w:pPr>
        <w:spacing w:after="0" w:line="240" w:lineRule="auto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Entidad XXXXXXX</w:t>
      </w:r>
    </w:p>
    <w:p w14:paraId="5313871E" w14:textId="77777777" w:rsidR="00B167AF" w:rsidRPr="009018E5" w:rsidRDefault="006E36FB" w:rsidP="00B167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018E5">
        <w:rPr>
          <w:rFonts w:ascii="Times New Roman" w:hAnsi="Times New Roman" w:cs="Times New Roman"/>
        </w:rPr>
        <w:t xml:space="preserve">Auditoria </w:t>
      </w:r>
      <w:r w:rsidR="00B167AF" w:rsidRPr="009018E5">
        <w:rPr>
          <w:rFonts w:ascii="Times New Roman" w:hAnsi="Times New Roman" w:cs="Times New Roman"/>
        </w:rPr>
        <w:t>de Procesos</w:t>
      </w:r>
    </w:p>
    <w:p w14:paraId="2F3370DA" w14:textId="77777777" w:rsidR="006E36FB" w:rsidRPr="009018E5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018E5">
        <w:rPr>
          <w:rFonts w:ascii="Times New Roman" w:hAnsi="Times New Roman" w:cs="Times New Roman"/>
        </w:rPr>
        <w:t xml:space="preserve">Del 01 de </w:t>
      </w:r>
      <w:proofErr w:type="gramStart"/>
      <w:r w:rsidRPr="009018E5">
        <w:rPr>
          <w:rFonts w:ascii="Times New Roman" w:hAnsi="Times New Roman" w:cs="Times New Roman"/>
        </w:rPr>
        <w:t>Enero</w:t>
      </w:r>
      <w:proofErr w:type="gramEnd"/>
      <w:r w:rsidRPr="009018E5">
        <w:rPr>
          <w:rFonts w:ascii="Times New Roman" w:hAnsi="Times New Roman" w:cs="Times New Roman"/>
        </w:rPr>
        <w:t xml:space="preserve"> al 31 de Diciembre de 2024</w:t>
      </w:r>
    </w:p>
    <w:p w14:paraId="637D24B3" w14:textId="77777777" w:rsidR="009D5297" w:rsidRPr="009018E5" w:rsidRDefault="009D5297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9018E5">
        <w:rPr>
          <w:rFonts w:ascii="Times New Roman" w:hAnsi="Times New Roman" w:cs="Times New Roman"/>
          <w:b/>
        </w:rPr>
        <w:t>SEGUIMIENTO A INFORMES DE AUDITORIA</w:t>
      </w:r>
    </w:p>
    <w:p w14:paraId="52F5C822" w14:textId="77777777" w:rsidR="004E30D8" w:rsidRPr="009018E5" w:rsidRDefault="004E30D8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</w:p>
    <w:p w14:paraId="3A0BA9C7" w14:textId="77777777"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6C7D0092" w14:textId="77777777" w:rsidR="004E30D8" w:rsidRPr="009018E5" w:rsidRDefault="004E30D8" w:rsidP="00C765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revisar los informes de auditoría interna emitidos durante el período auditado para evaluar su calidad, cumplimiento con estándares profesionales, claridad en la comunicación y alineación con las Normas Internacionales para la Práctica Profesional de Auditoría Interna (</w:t>
      </w:r>
      <w:r w:rsidR="00C765BE"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M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IPP).</w:t>
      </w:r>
    </w:p>
    <w:p w14:paraId="128BD39C" w14:textId="77777777"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941B0CF" w14:textId="77777777"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730"/>
        <w:gridCol w:w="1179"/>
        <w:gridCol w:w="2734"/>
      </w:tblGrid>
      <w:tr w:rsidR="004E30D8" w:rsidRPr="009018E5" w14:paraId="575A0E2B" w14:textId="77777777" w:rsidTr="000B5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8C454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Informe de Auditoría</w:t>
            </w:r>
          </w:p>
        </w:tc>
        <w:tc>
          <w:tcPr>
            <w:tcW w:w="0" w:type="auto"/>
            <w:vAlign w:val="center"/>
            <w:hideMark/>
          </w:tcPr>
          <w:p w14:paraId="1F0076CD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FDA575C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Emisión</w:t>
            </w:r>
          </w:p>
        </w:tc>
        <w:tc>
          <w:tcPr>
            <w:tcW w:w="0" w:type="auto"/>
            <w:vAlign w:val="center"/>
            <w:hideMark/>
          </w:tcPr>
          <w:p w14:paraId="265649CD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4E30D8" w:rsidRPr="009018E5" w14:paraId="0C86677C" w14:textId="77777777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7983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Evaluación de Control Interno</w:t>
            </w:r>
          </w:p>
        </w:tc>
        <w:tc>
          <w:tcPr>
            <w:tcW w:w="0" w:type="auto"/>
            <w:vAlign w:val="center"/>
            <w:hideMark/>
          </w:tcPr>
          <w:p w14:paraId="55E87406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controles operativos en Finanzas.</w:t>
            </w:r>
          </w:p>
        </w:tc>
        <w:tc>
          <w:tcPr>
            <w:tcW w:w="0" w:type="auto"/>
            <w:vAlign w:val="center"/>
            <w:hideMark/>
          </w:tcPr>
          <w:p w14:paraId="51B7F76D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199BE3FF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evidencia documental en hallazgos].</w:t>
            </w:r>
          </w:p>
        </w:tc>
      </w:tr>
      <w:tr w:rsidR="004E30D8" w:rsidRPr="009018E5" w14:paraId="0DBF5FE7" w14:textId="77777777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BC38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Cumplimiento Normativo</w:t>
            </w:r>
          </w:p>
        </w:tc>
        <w:tc>
          <w:tcPr>
            <w:tcW w:w="0" w:type="auto"/>
            <w:vAlign w:val="center"/>
            <w:hideMark/>
          </w:tcPr>
          <w:p w14:paraId="040D5E5B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cumplimiento con normativas fiscales.</w:t>
            </w:r>
          </w:p>
        </w:tc>
        <w:tc>
          <w:tcPr>
            <w:tcW w:w="0" w:type="auto"/>
            <w:vAlign w:val="center"/>
            <w:hideMark/>
          </w:tcPr>
          <w:p w14:paraId="0FE96A68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08A3C4BE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Formato inconsistente].</w:t>
            </w:r>
          </w:p>
        </w:tc>
      </w:tr>
      <w:tr w:rsidR="004E30D8" w:rsidRPr="009018E5" w14:paraId="79A98C6B" w14:textId="77777777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E136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Auditoría de Procesos</w:t>
            </w:r>
          </w:p>
        </w:tc>
        <w:tc>
          <w:tcPr>
            <w:tcW w:w="0" w:type="auto"/>
            <w:vAlign w:val="center"/>
            <w:hideMark/>
          </w:tcPr>
          <w:p w14:paraId="78A2823F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procesos clave en la gestión de inventarios.</w:t>
            </w:r>
          </w:p>
        </w:tc>
        <w:tc>
          <w:tcPr>
            <w:tcW w:w="0" w:type="auto"/>
            <w:vAlign w:val="center"/>
            <w:hideMark/>
          </w:tcPr>
          <w:p w14:paraId="0D6B9C7C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45EF352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no priorizadas].</w:t>
            </w:r>
          </w:p>
        </w:tc>
      </w:tr>
      <w:tr w:rsidR="004E30D8" w:rsidRPr="009018E5" w14:paraId="4EEC2FB1" w14:textId="77777777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D9FB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Seguimiento</w:t>
            </w:r>
          </w:p>
        </w:tc>
        <w:tc>
          <w:tcPr>
            <w:tcW w:w="0" w:type="auto"/>
            <w:vAlign w:val="center"/>
            <w:hideMark/>
          </w:tcPr>
          <w:p w14:paraId="68C36ECA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Estado de implementación de recomendaciones previas.</w:t>
            </w:r>
          </w:p>
        </w:tc>
        <w:tc>
          <w:tcPr>
            <w:tcW w:w="0" w:type="auto"/>
            <w:vAlign w:val="center"/>
            <w:hideMark/>
          </w:tcPr>
          <w:p w14:paraId="2C7E17EC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C6878B8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Inconsistencias en fechas de seguimiento].</w:t>
            </w:r>
          </w:p>
        </w:tc>
      </w:tr>
    </w:tbl>
    <w:p w14:paraId="55EE7516" w14:textId="77777777"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80EBA63" w14:textId="77777777" w:rsidR="00ED5B24" w:rsidRPr="009018E5" w:rsidRDefault="00ED5B2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811494C" w14:textId="77777777"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591"/>
        <w:gridCol w:w="3096"/>
      </w:tblGrid>
      <w:tr w:rsidR="004E30D8" w:rsidRPr="009018E5" w14:paraId="4F790AC7" w14:textId="77777777" w:rsidTr="00AC7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5C093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3B29AAAF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885C8E6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4E30D8" w:rsidRPr="009018E5" w14:paraId="07559AA3" w14:textId="77777777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4B5B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cumplimiento</w:t>
            </w:r>
          </w:p>
        </w:tc>
        <w:tc>
          <w:tcPr>
            <w:tcW w:w="0" w:type="auto"/>
            <w:vAlign w:val="center"/>
            <w:hideMark/>
          </w:tcPr>
          <w:p w14:paraId="071AE4D0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los informes cumplen con las Normas Internacionales de Auditoría Interna (NIPP).</w:t>
            </w:r>
          </w:p>
        </w:tc>
        <w:tc>
          <w:tcPr>
            <w:tcW w:w="0" w:type="auto"/>
            <w:vAlign w:val="center"/>
            <w:hideMark/>
          </w:tcPr>
          <w:p w14:paraId="2DC8B1B1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claridad en criterios de evaluación].</w:t>
            </w:r>
          </w:p>
        </w:tc>
      </w:tr>
      <w:tr w:rsidR="004E30D8" w:rsidRPr="009018E5" w14:paraId="474618B0" w14:textId="77777777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0FB1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estructura y formato</w:t>
            </w:r>
          </w:p>
        </w:tc>
        <w:tc>
          <w:tcPr>
            <w:tcW w:w="0" w:type="auto"/>
            <w:vAlign w:val="center"/>
            <w:hideMark/>
          </w:tcPr>
          <w:p w14:paraId="54D8E725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si los informes siguen un formato estándar y comprensible.</w:t>
            </w:r>
          </w:p>
        </w:tc>
        <w:tc>
          <w:tcPr>
            <w:tcW w:w="0" w:type="auto"/>
            <w:vAlign w:val="center"/>
            <w:hideMark/>
          </w:tcPr>
          <w:p w14:paraId="20285B5F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 en secciones clave].</w:t>
            </w:r>
          </w:p>
        </w:tc>
      </w:tr>
      <w:tr w:rsidR="004E30D8" w:rsidRPr="009018E5" w14:paraId="71B1D5D0" w14:textId="77777777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F539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claridad y precisión</w:t>
            </w:r>
          </w:p>
        </w:tc>
        <w:tc>
          <w:tcPr>
            <w:tcW w:w="0" w:type="auto"/>
            <w:vAlign w:val="center"/>
            <w:hideMark/>
          </w:tcPr>
          <w:p w14:paraId="69256B03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los hallazgos y recomendaciones están claramente documentados.</w:t>
            </w:r>
          </w:p>
        </w:tc>
        <w:tc>
          <w:tcPr>
            <w:tcW w:w="0" w:type="auto"/>
            <w:vAlign w:val="center"/>
            <w:hideMark/>
          </w:tcPr>
          <w:p w14:paraId="5B875417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ambiguas en informe de procesos].</w:t>
            </w:r>
          </w:p>
        </w:tc>
      </w:tr>
      <w:tr w:rsidR="004E30D8" w:rsidRPr="009018E5" w14:paraId="2BE8E816" w14:textId="77777777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7623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documentación de respaldo</w:t>
            </w:r>
          </w:p>
        </w:tc>
        <w:tc>
          <w:tcPr>
            <w:tcW w:w="0" w:type="auto"/>
            <w:vAlign w:val="center"/>
            <w:hideMark/>
          </w:tcPr>
          <w:p w14:paraId="7F14F401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Confirmar si los hallazgos están respaldados por evidencia suficiente.</w:t>
            </w:r>
          </w:p>
        </w:tc>
        <w:tc>
          <w:tcPr>
            <w:tcW w:w="0" w:type="auto"/>
            <w:vAlign w:val="center"/>
            <w:hideMark/>
          </w:tcPr>
          <w:p w14:paraId="61E1BBA7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incluyen anexos de pruebas].</w:t>
            </w:r>
          </w:p>
        </w:tc>
      </w:tr>
      <w:tr w:rsidR="004E30D8" w:rsidRPr="009018E5" w14:paraId="0436F6DD" w14:textId="77777777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557B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seguimiento</w:t>
            </w:r>
          </w:p>
        </w:tc>
        <w:tc>
          <w:tcPr>
            <w:tcW w:w="0" w:type="auto"/>
            <w:vAlign w:val="center"/>
            <w:hideMark/>
          </w:tcPr>
          <w:p w14:paraId="57082015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si los informes de seguimiento reflejan con precisión el estado de las recomendaciones.</w:t>
            </w:r>
          </w:p>
        </w:tc>
        <w:tc>
          <w:tcPr>
            <w:tcW w:w="0" w:type="auto"/>
            <w:vAlign w:val="center"/>
            <w:hideMark/>
          </w:tcPr>
          <w:p w14:paraId="6DC39BA5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marcadas como completadas sin evidencia].</w:t>
            </w:r>
          </w:p>
        </w:tc>
      </w:tr>
    </w:tbl>
    <w:p w14:paraId="4BA941BE" w14:textId="77777777"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4BFE79" w14:textId="77777777"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los Informes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1272"/>
        <w:gridCol w:w="3811"/>
      </w:tblGrid>
      <w:tr w:rsidR="004E30D8" w:rsidRPr="009018E5" w14:paraId="01791A15" w14:textId="77777777" w:rsidTr="00ED5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E49BC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170FB313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14:paraId="5055AA75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4E30D8" w:rsidRPr="009018E5" w14:paraId="7E805D2C" w14:textId="77777777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475C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informes cumplen con los estándares profesionales.</w:t>
            </w:r>
          </w:p>
        </w:tc>
        <w:tc>
          <w:tcPr>
            <w:tcW w:w="0" w:type="auto"/>
            <w:vAlign w:val="center"/>
            <w:hideMark/>
          </w:tcPr>
          <w:p w14:paraId="3FC062F3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52A0D10A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Faltan referencias a normas aplicables].</w:t>
            </w:r>
          </w:p>
        </w:tc>
      </w:tr>
      <w:tr w:rsidR="004E30D8" w:rsidRPr="009018E5" w14:paraId="2DADD92E" w14:textId="77777777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5A72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hallazgos están respaldados por evidencia suficiente.</w:t>
            </w:r>
          </w:p>
        </w:tc>
        <w:tc>
          <w:tcPr>
            <w:tcW w:w="0" w:type="auto"/>
            <w:vAlign w:val="center"/>
            <w:hideMark/>
          </w:tcPr>
          <w:p w14:paraId="53318BD3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2ECDF146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evidencia en hallazgos clave].</w:t>
            </w:r>
          </w:p>
        </w:tc>
      </w:tr>
      <w:tr w:rsidR="004E30D8" w:rsidRPr="009018E5" w14:paraId="3046F6F5" w14:textId="77777777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18FE2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Las recomendaciones son claras, accionables y priorizadas.</w:t>
            </w:r>
          </w:p>
        </w:tc>
        <w:tc>
          <w:tcPr>
            <w:tcW w:w="0" w:type="auto"/>
            <w:vAlign w:val="center"/>
            <w:hideMark/>
          </w:tcPr>
          <w:p w14:paraId="7CA9803A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0DA93AF1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genéricas].</w:t>
            </w:r>
          </w:p>
        </w:tc>
      </w:tr>
      <w:tr w:rsidR="004E30D8" w:rsidRPr="009018E5" w14:paraId="7F0B4090" w14:textId="77777777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CF2D1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informes incluyen un plan de acción detallado.</w:t>
            </w:r>
          </w:p>
        </w:tc>
        <w:tc>
          <w:tcPr>
            <w:tcW w:w="0" w:type="auto"/>
            <w:vAlign w:val="center"/>
            <w:hideMark/>
          </w:tcPr>
          <w:p w14:paraId="2D7BFF4A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08FD78AD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especifican responsables en algunos casos].</w:t>
            </w:r>
          </w:p>
        </w:tc>
      </w:tr>
      <w:tr w:rsidR="004E30D8" w:rsidRPr="009018E5" w14:paraId="312619EC" w14:textId="77777777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8CB99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seguimientos reflejan el estado real de implementación.</w:t>
            </w:r>
          </w:p>
        </w:tc>
        <w:tc>
          <w:tcPr>
            <w:tcW w:w="0" w:type="auto"/>
            <w:vAlign w:val="center"/>
            <w:hideMark/>
          </w:tcPr>
          <w:p w14:paraId="65678D03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5099A39A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Discrepancia en estado de cumplimiento].</w:t>
            </w:r>
          </w:p>
        </w:tc>
      </w:tr>
    </w:tbl>
    <w:p w14:paraId="1DBD3772" w14:textId="77777777"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F04D98A" w14:textId="77777777" w:rsidR="009628EE" w:rsidRPr="009018E5" w:rsidRDefault="009628EE" w:rsidP="009628EE">
      <w:pPr>
        <w:tabs>
          <w:tab w:val="left" w:pos="1500"/>
        </w:tabs>
        <w:rPr>
          <w:rFonts w:ascii="Times New Roman" w:hAnsi="Times New Roman" w:cs="Times New Roman"/>
          <w:b/>
        </w:rPr>
      </w:pPr>
    </w:p>
    <w:p w14:paraId="781A8E1F" w14:textId="77777777" w:rsidR="009628EE" w:rsidRPr="009018E5" w:rsidRDefault="009628EE" w:rsidP="009628EE">
      <w:pPr>
        <w:tabs>
          <w:tab w:val="left" w:pos="1500"/>
        </w:tabs>
        <w:rPr>
          <w:rFonts w:ascii="Times New Roman" w:hAnsi="Times New Roman" w:cs="Times New Roman"/>
          <w:b/>
        </w:rPr>
      </w:pPr>
    </w:p>
    <w:tbl>
      <w:tblPr>
        <w:tblW w:w="11875" w:type="dxa"/>
        <w:tblInd w:w="-15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276"/>
        <w:gridCol w:w="1275"/>
        <w:gridCol w:w="1985"/>
        <w:gridCol w:w="992"/>
        <w:gridCol w:w="1134"/>
        <w:gridCol w:w="959"/>
        <w:gridCol w:w="2410"/>
      </w:tblGrid>
      <w:tr w:rsidR="009628EE" w:rsidRPr="009018E5" w14:paraId="71EDF437" w14:textId="77777777" w:rsidTr="00947AE0">
        <w:trPr>
          <w:trHeight w:val="9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2DCB395E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proofErr w:type="spellStart"/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Responsalbe</w:t>
            </w:r>
            <w:proofErr w:type="spellEnd"/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68649999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Cargo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7665633D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Título del Hallazgo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2A9D0124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Recomendación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64417DCB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 xml:space="preserve"> Cumplida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3F83CC08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Incumplida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3E372F57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En proceso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70C0" w:fill="0070C0"/>
            <w:vAlign w:val="center"/>
            <w:hideMark/>
          </w:tcPr>
          <w:p w14:paraId="661FEDAD" w14:textId="77777777"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Documentación Soporte de Cumplimiento o en Proceso</w:t>
            </w:r>
          </w:p>
        </w:tc>
      </w:tr>
      <w:tr w:rsidR="009628EE" w:rsidRPr="009018E5" w14:paraId="7DE5E7F2" w14:textId="77777777" w:rsidTr="00947AE0">
        <w:trPr>
          <w:trHeight w:val="3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ED12C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B741A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1F199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E407E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CE74F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28AC1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1EBC5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EE6B7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14:paraId="512E985A" w14:textId="77777777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03DA6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A0A8E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3D029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5A848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C7DE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17747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99A4A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0C4E7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14:paraId="29E173E7" w14:textId="77777777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79026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1BCB2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0F006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4FD94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10A15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C9016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06845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CF575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14:paraId="47AF9BB6" w14:textId="77777777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83C0F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4EECE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A2922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8BE18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14FCD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F1DF9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DC3A1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6E017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14:paraId="6083C0A5" w14:textId="77777777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5684A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EAA2F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3BBF7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EEC56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D97E1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8574C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9E02B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99848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14:paraId="363EEEDE" w14:textId="77777777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26683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390FF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E6592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B7132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27F3B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7BBD9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E3D43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10D7A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14:paraId="3761CF4E" w14:textId="77777777" w:rsidTr="00947AE0">
        <w:trPr>
          <w:trHeight w:val="64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E83B5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F6E0C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DC482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89CB2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040F8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91794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A460E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E7740" w14:textId="77777777"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</w:tbl>
    <w:p w14:paraId="3E5AC33F" w14:textId="77777777" w:rsidR="009628EE" w:rsidRPr="009018E5" w:rsidRDefault="009628EE" w:rsidP="009628EE">
      <w:pPr>
        <w:tabs>
          <w:tab w:val="left" w:pos="1500"/>
        </w:tabs>
        <w:rPr>
          <w:rFonts w:ascii="Times New Roman" w:hAnsi="Times New Roman" w:cs="Times New Roman"/>
        </w:rPr>
      </w:pPr>
    </w:p>
    <w:p w14:paraId="3B010E8B" w14:textId="77777777"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14:paraId="3297CF5A" w14:textId="77777777"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en Formato:</w:t>
      </w:r>
    </w:p>
    <w:p w14:paraId="04FA75E8" w14:textId="77777777"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Los informes presentan diferencias en estructura y contenido, lo que dificulta la comparación y comprensión.</w:t>
      </w:r>
    </w:p>
    <w:p w14:paraId="178A0054" w14:textId="77777777"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Evidencia:</w:t>
      </w:r>
    </w:p>
    <w:p w14:paraId="243B4F17" w14:textId="77777777"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En algunos hallazgos no se incluye documentación suficiente que respalde las observaciones realizadas.</w:t>
      </w:r>
    </w:p>
    <w:p w14:paraId="1255DE27" w14:textId="77777777"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Recomendaciones Genéricas:</w:t>
      </w:r>
    </w:p>
    <w:p w14:paraId="03384BDF" w14:textId="77777777"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Algunas recomendaciones no son específicas ni accionables, lo que limita su utilidad para las áreas auditadas.</w:t>
      </w:r>
    </w:p>
    <w:p w14:paraId="21C36B5A" w14:textId="77777777"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Problemas en Seguimientos:</w:t>
      </w:r>
    </w:p>
    <w:p w14:paraId="60FA1E28" w14:textId="77777777"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En los informes de seguimiento, algunas recomendaciones marcadas como completadas no tienen evidencia de implementación.</w:t>
      </w:r>
    </w:p>
    <w:p w14:paraId="7663D9CB" w14:textId="77777777"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FA724D9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A3D8C71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641D5BF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6B1BC41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B8FE879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AD64226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8B47DA1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F444A73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9E90A1F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C363A20" w14:textId="77777777"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760C8ED" w14:textId="77777777"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1080"/>
        <w:gridCol w:w="1944"/>
        <w:gridCol w:w="702"/>
      </w:tblGrid>
      <w:tr w:rsidR="004E30D8" w:rsidRPr="009018E5" w14:paraId="27961760" w14:textId="77777777" w:rsidTr="00D15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8E3C5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3B16D4D5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5EFC82A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ADEFCD4" w14:textId="77777777"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4E30D8" w:rsidRPr="009018E5" w14:paraId="7ED88213" w14:textId="77777777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86DB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un formato estándar para todos los informes de auditoría.</w:t>
            </w:r>
          </w:p>
        </w:tc>
        <w:tc>
          <w:tcPr>
            <w:tcW w:w="0" w:type="auto"/>
            <w:vAlign w:val="center"/>
            <w:hideMark/>
          </w:tcPr>
          <w:p w14:paraId="09415641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A96B529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Auditoría</w:t>
            </w:r>
          </w:p>
        </w:tc>
        <w:tc>
          <w:tcPr>
            <w:tcW w:w="0" w:type="auto"/>
            <w:vAlign w:val="center"/>
            <w:hideMark/>
          </w:tcPr>
          <w:p w14:paraId="72B0AC8D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4E30D8" w:rsidRPr="009018E5" w14:paraId="63585901" w14:textId="77777777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FF9F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Reforzar la documentación de respaldo para todos los hallazgos incluidos en los informes.</w:t>
            </w:r>
          </w:p>
        </w:tc>
        <w:tc>
          <w:tcPr>
            <w:tcW w:w="0" w:type="auto"/>
            <w:vAlign w:val="center"/>
            <w:hideMark/>
          </w:tcPr>
          <w:p w14:paraId="3515662E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0FDD060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Equipo de Auditoría</w:t>
            </w:r>
          </w:p>
        </w:tc>
        <w:tc>
          <w:tcPr>
            <w:tcW w:w="0" w:type="auto"/>
            <w:vAlign w:val="center"/>
            <w:hideMark/>
          </w:tcPr>
          <w:p w14:paraId="742FA84C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4E30D8" w:rsidRPr="009018E5" w14:paraId="6083CAEB" w14:textId="77777777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5CB2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Capacitar a los auditores en la redacción de recomendaciones específicas y accionables.</w:t>
            </w:r>
          </w:p>
        </w:tc>
        <w:tc>
          <w:tcPr>
            <w:tcW w:w="0" w:type="auto"/>
            <w:vAlign w:val="center"/>
            <w:hideMark/>
          </w:tcPr>
          <w:p w14:paraId="7EFFF0A0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BBF33C5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14:paraId="3131D9F8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4E30D8" w:rsidRPr="009018E5" w14:paraId="497D4EA2" w14:textId="77777777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92AE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un sistema de seguimiento automatizado para monitorear la implementación de recomendaciones.</w:t>
            </w:r>
          </w:p>
        </w:tc>
        <w:tc>
          <w:tcPr>
            <w:tcW w:w="0" w:type="auto"/>
            <w:vAlign w:val="center"/>
            <w:hideMark/>
          </w:tcPr>
          <w:p w14:paraId="6C63F9F8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2799A5A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14:paraId="1E2340E5" w14:textId="77777777"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14:paraId="673E7497" w14:textId="77777777"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20BB998" w14:textId="77777777"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14:paraId="76DBD5E8" w14:textId="77777777"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informes de auditoría evidenció inconsistencias en formato, respaldo de hallazgos y seguimiento de recomendaciones. Es prioritario establecer un estándar uniforme y mejorar la documentación para garantizar la efectividad y transparencia en los procesos de auditoría interna.</w:t>
      </w:r>
    </w:p>
    <w:p w14:paraId="6AAA0F61" w14:textId="77777777"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14:paraId="191CDDDF" w14:textId="77777777" w:rsidR="004E30D8" w:rsidRPr="009018E5" w:rsidRDefault="004E30D8" w:rsidP="004E3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la Gerencia de Auditoría para estandarizar los informes.</w:t>
      </w:r>
    </w:p>
    <w:p w14:paraId="0378817E" w14:textId="77777777" w:rsidR="004E30D8" w:rsidRPr="009018E5" w:rsidRDefault="004E30D8" w:rsidP="004E3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Capacitar al equipo de auditoría en el uso del nuevo formato y mejores prácticas.</w:t>
      </w:r>
    </w:p>
    <w:p w14:paraId="410C6B35" w14:textId="77777777" w:rsidR="004E30D8" w:rsidRPr="009018E5" w:rsidRDefault="004E30D8" w:rsidP="004E3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en 3 meses para evaluar la implementación de las recomendaciones.</w:t>
      </w:r>
    </w:p>
    <w:p w14:paraId="14799F15" w14:textId="77777777"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8D89F67" w14:textId="77777777"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96803CA" w14:textId="77777777"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6664043" w14:textId="77777777"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BBC290D" w14:textId="77777777"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7FA1FA" w14:textId="77777777" w:rsidR="007A3DBB" w:rsidRPr="009018E5" w:rsidRDefault="007A3DBB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775CDE2" w14:textId="77777777" w:rsidR="007A3DBB" w:rsidRPr="009018E5" w:rsidRDefault="007A3DBB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D683DAD" w14:textId="77777777" w:rsidR="007A3DBB" w:rsidRPr="009018E5" w:rsidRDefault="007A3DBB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313093E" w14:textId="77777777"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0C563883" w14:textId="77777777"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2C2BAC7" w14:textId="77777777"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384562C" w14:textId="77777777"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6EACA7F" w14:textId="77777777"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8675548" w14:textId="77777777"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0F3FA19F" w14:textId="77777777" w:rsidR="0056138F" w:rsidRPr="009018E5" w:rsidRDefault="0056138F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56138F" w:rsidRPr="009018E5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B9FA7" w14:textId="77777777" w:rsidR="006868B6" w:rsidRDefault="006868B6" w:rsidP="00DB7AEF">
      <w:pPr>
        <w:spacing w:after="0" w:line="240" w:lineRule="auto"/>
      </w:pPr>
      <w:r>
        <w:separator/>
      </w:r>
    </w:p>
  </w:endnote>
  <w:endnote w:type="continuationSeparator" w:id="0">
    <w:p w14:paraId="52F3D8D9" w14:textId="77777777" w:rsidR="006868B6" w:rsidRDefault="006868B6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B58D9" w14:textId="77777777" w:rsidR="006868B6" w:rsidRDefault="006868B6" w:rsidP="00DB7AEF">
      <w:pPr>
        <w:spacing w:after="0" w:line="240" w:lineRule="auto"/>
      </w:pPr>
      <w:r>
        <w:separator/>
      </w:r>
    </w:p>
  </w:footnote>
  <w:footnote w:type="continuationSeparator" w:id="0">
    <w:p w14:paraId="1CF475D4" w14:textId="77777777" w:rsidR="006868B6" w:rsidRDefault="006868B6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91C"/>
    <w:multiLevelType w:val="multilevel"/>
    <w:tmpl w:val="BA26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068DD"/>
    <w:multiLevelType w:val="multilevel"/>
    <w:tmpl w:val="5D6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41AA"/>
    <w:rsid w:val="0002010F"/>
    <w:rsid w:val="00021085"/>
    <w:rsid w:val="0004143C"/>
    <w:rsid w:val="00042E72"/>
    <w:rsid w:val="00052960"/>
    <w:rsid w:val="00060FFC"/>
    <w:rsid w:val="00064A70"/>
    <w:rsid w:val="00071657"/>
    <w:rsid w:val="000936E2"/>
    <w:rsid w:val="0009469E"/>
    <w:rsid w:val="000B2A06"/>
    <w:rsid w:val="000B562D"/>
    <w:rsid w:val="000D12BE"/>
    <w:rsid w:val="000D2D90"/>
    <w:rsid w:val="000D638B"/>
    <w:rsid w:val="000E7FC8"/>
    <w:rsid w:val="001031EF"/>
    <w:rsid w:val="00116DF4"/>
    <w:rsid w:val="00153C27"/>
    <w:rsid w:val="00157501"/>
    <w:rsid w:val="001813CB"/>
    <w:rsid w:val="0018513A"/>
    <w:rsid w:val="001A0F61"/>
    <w:rsid w:val="001A13A8"/>
    <w:rsid w:val="001B54C4"/>
    <w:rsid w:val="001B5743"/>
    <w:rsid w:val="001D158C"/>
    <w:rsid w:val="001D734B"/>
    <w:rsid w:val="001E1AA0"/>
    <w:rsid w:val="001F4DB2"/>
    <w:rsid w:val="00200D9E"/>
    <w:rsid w:val="0020446E"/>
    <w:rsid w:val="00214ABA"/>
    <w:rsid w:val="002418BB"/>
    <w:rsid w:val="00263FEB"/>
    <w:rsid w:val="00273B53"/>
    <w:rsid w:val="002807AF"/>
    <w:rsid w:val="0029069B"/>
    <w:rsid w:val="002A2BE2"/>
    <w:rsid w:val="002C67AA"/>
    <w:rsid w:val="002D2E14"/>
    <w:rsid w:val="0033188E"/>
    <w:rsid w:val="0034456D"/>
    <w:rsid w:val="003445F6"/>
    <w:rsid w:val="00351BCF"/>
    <w:rsid w:val="003A31F1"/>
    <w:rsid w:val="003A76DA"/>
    <w:rsid w:val="00402210"/>
    <w:rsid w:val="00462476"/>
    <w:rsid w:val="00470BC3"/>
    <w:rsid w:val="00484C27"/>
    <w:rsid w:val="004A0355"/>
    <w:rsid w:val="004B186C"/>
    <w:rsid w:val="004C0749"/>
    <w:rsid w:val="004E30D8"/>
    <w:rsid w:val="00517C62"/>
    <w:rsid w:val="005359D4"/>
    <w:rsid w:val="00547416"/>
    <w:rsid w:val="00550CB6"/>
    <w:rsid w:val="00551B98"/>
    <w:rsid w:val="00556414"/>
    <w:rsid w:val="0056138F"/>
    <w:rsid w:val="005732F8"/>
    <w:rsid w:val="005763B1"/>
    <w:rsid w:val="005B6041"/>
    <w:rsid w:val="005D016B"/>
    <w:rsid w:val="005E50B1"/>
    <w:rsid w:val="005F5D47"/>
    <w:rsid w:val="006415D4"/>
    <w:rsid w:val="00650305"/>
    <w:rsid w:val="0066109A"/>
    <w:rsid w:val="00673F10"/>
    <w:rsid w:val="006868B6"/>
    <w:rsid w:val="006A086C"/>
    <w:rsid w:val="006E1EC2"/>
    <w:rsid w:val="006E36FB"/>
    <w:rsid w:val="006F78A4"/>
    <w:rsid w:val="0072043C"/>
    <w:rsid w:val="00730BC3"/>
    <w:rsid w:val="007324A7"/>
    <w:rsid w:val="007512CE"/>
    <w:rsid w:val="00761508"/>
    <w:rsid w:val="00767298"/>
    <w:rsid w:val="00767B20"/>
    <w:rsid w:val="00776B19"/>
    <w:rsid w:val="007806F5"/>
    <w:rsid w:val="007876AC"/>
    <w:rsid w:val="00796A2D"/>
    <w:rsid w:val="007A3DBB"/>
    <w:rsid w:val="007A4A2C"/>
    <w:rsid w:val="007B3999"/>
    <w:rsid w:val="007C220D"/>
    <w:rsid w:val="007D58F4"/>
    <w:rsid w:val="007E09C7"/>
    <w:rsid w:val="008156AF"/>
    <w:rsid w:val="00817380"/>
    <w:rsid w:val="00857CA5"/>
    <w:rsid w:val="008A4635"/>
    <w:rsid w:val="008B6458"/>
    <w:rsid w:val="008C4C8F"/>
    <w:rsid w:val="008F5D4B"/>
    <w:rsid w:val="009018E5"/>
    <w:rsid w:val="009060AB"/>
    <w:rsid w:val="00912739"/>
    <w:rsid w:val="0092518B"/>
    <w:rsid w:val="009524E8"/>
    <w:rsid w:val="009628EE"/>
    <w:rsid w:val="00962FFC"/>
    <w:rsid w:val="00966B66"/>
    <w:rsid w:val="00973073"/>
    <w:rsid w:val="009732CD"/>
    <w:rsid w:val="00982A71"/>
    <w:rsid w:val="00991678"/>
    <w:rsid w:val="009932BC"/>
    <w:rsid w:val="00995C46"/>
    <w:rsid w:val="009C0E64"/>
    <w:rsid w:val="009C527C"/>
    <w:rsid w:val="009D5297"/>
    <w:rsid w:val="009E3778"/>
    <w:rsid w:val="009F39EB"/>
    <w:rsid w:val="00A41D60"/>
    <w:rsid w:val="00A61B79"/>
    <w:rsid w:val="00A66CBB"/>
    <w:rsid w:val="00A67891"/>
    <w:rsid w:val="00A74F62"/>
    <w:rsid w:val="00A910E4"/>
    <w:rsid w:val="00A97B3F"/>
    <w:rsid w:val="00AC7062"/>
    <w:rsid w:val="00AD047D"/>
    <w:rsid w:val="00AD53B9"/>
    <w:rsid w:val="00B031E3"/>
    <w:rsid w:val="00B06E50"/>
    <w:rsid w:val="00B11B38"/>
    <w:rsid w:val="00B167AF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325B"/>
    <w:rsid w:val="00BA5782"/>
    <w:rsid w:val="00BA7720"/>
    <w:rsid w:val="00BB1F90"/>
    <w:rsid w:val="00BB2BC6"/>
    <w:rsid w:val="00BB7561"/>
    <w:rsid w:val="00BC21B9"/>
    <w:rsid w:val="00BD5E52"/>
    <w:rsid w:val="00BF76D6"/>
    <w:rsid w:val="00C0157E"/>
    <w:rsid w:val="00C10D92"/>
    <w:rsid w:val="00C31083"/>
    <w:rsid w:val="00C32F55"/>
    <w:rsid w:val="00C47D3C"/>
    <w:rsid w:val="00C765BE"/>
    <w:rsid w:val="00C76BC0"/>
    <w:rsid w:val="00C96356"/>
    <w:rsid w:val="00CA42A7"/>
    <w:rsid w:val="00CA77F5"/>
    <w:rsid w:val="00CB04AB"/>
    <w:rsid w:val="00CC0CF5"/>
    <w:rsid w:val="00CD6C19"/>
    <w:rsid w:val="00CD7F5F"/>
    <w:rsid w:val="00CF023A"/>
    <w:rsid w:val="00D0522D"/>
    <w:rsid w:val="00D06643"/>
    <w:rsid w:val="00D06E88"/>
    <w:rsid w:val="00D15BC4"/>
    <w:rsid w:val="00D17D7B"/>
    <w:rsid w:val="00D3583C"/>
    <w:rsid w:val="00D5672A"/>
    <w:rsid w:val="00D6043E"/>
    <w:rsid w:val="00D84F5F"/>
    <w:rsid w:val="00D902D1"/>
    <w:rsid w:val="00D96EC1"/>
    <w:rsid w:val="00DA433F"/>
    <w:rsid w:val="00DB5C4D"/>
    <w:rsid w:val="00DB7AEF"/>
    <w:rsid w:val="00DC40F1"/>
    <w:rsid w:val="00DE1AD3"/>
    <w:rsid w:val="00DE411F"/>
    <w:rsid w:val="00DE794F"/>
    <w:rsid w:val="00DF6964"/>
    <w:rsid w:val="00E21112"/>
    <w:rsid w:val="00E246DD"/>
    <w:rsid w:val="00E3079C"/>
    <w:rsid w:val="00E331B7"/>
    <w:rsid w:val="00E56E31"/>
    <w:rsid w:val="00E62400"/>
    <w:rsid w:val="00E66CEB"/>
    <w:rsid w:val="00E716C1"/>
    <w:rsid w:val="00E77749"/>
    <w:rsid w:val="00ED5B24"/>
    <w:rsid w:val="00EE7054"/>
    <w:rsid w:val="00EF3AAB"/>
    <w:rsid w:val="00F03C83"/>
    <w:rsid w:val="00F10046"/>
    <w:rsid w:val="00F14847"/>
    <w:rsid w:val="00F30A99"/>
    <w:rsid w:val="00F656B9"/>
    <w:rsid w:val="00F77D69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742E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561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561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56138F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56138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5613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Refdecomentario">
    <w:name w:val="annotation reference"/>
    <w:basedOn w:val="Fuentedeprrafopredeter"/>
    <w:uiPriority w:val="99"/>
    <w:semiHidden/>
    <w:unhideWhenUsed/>
    <w:rsid w:val="000D12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12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12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2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2B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1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199</cp:revision>
  <dcterms:created xsi:type="dcterms:W3CDTF">2024-08-16T19:06:00Z</dcterms:created>
  <dcterms:modified xsi:type="dcterms:W3CDTF">2025-08-21T00:09:00Z</dcterms:modified>
</cp:coreProperties>
</file>