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0B" w:rsidRPr="00C7743E" w:rsidRDefault="0097769F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5E8C4" wp14:editId="3CDF5B47">
                <wp:simplePos x="0" y="0"/>
                <wp:positionH relativeFrom="column">
                  <wp:posOffset>4682490</wp:posOffset>
                </wp:positionH>
                <wp:positionV relativeFrom="paragraph">
                  <wp:posOffset>-185420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A64B4" w:rsidRDefault="008A64B4" w:rsidP="008A64B4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L-3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5E8C4" id="Cuadro de texto 122" o:spid="_x0000_s1027" type="#_x0000_t202" style="position:absolute;left:0;text-align:left;margin-left:368.7pt;margin-top:-14.6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" fillcolor="white [3201]" strokeweight=".5pt">
                <v:textbox>
                  <w:txbxContent>
                    <w:p w:rsidR="008A64B4" w:rsidRDefault="008A64B4" w:rsidP="008A64B4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L-3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D41506" w:rsidRDefault="00AF5140" w:rsidP="00C7743E">
      <w:pPr>
        <w:ind w:left="550"/>
        <w:jc w:val="center"/>
        <w:rPr>
          <w:rFonts w:ascii="Segoe UI Emoji" w:hAnsi="Segoe UI Emoji"/>
          <w:bCs/>
          <w:w w:val="105"/>
          <w:lang w:val="es-GT"/>
        </w:rPr>
      </w:pPr>
      <w:r w:rsidRPr="00D41506">
        <w:rPr>
          <w:rFonts w:ascii="Segoe UI Emoji" w:hAnsi="Segoe UI Emoji"/>
          <w:bCs/>
          <w:w w:val="105"/>
          <w:lang w:val="es-GT"/>
        </w:rPr>
        <w:t>Entidad XXXXXXX</w:t>
      </w:r>
    </w:p>
    <w:p w:rsidR="00495E39" w:rsidRPr="00760B5B" w:rsidRDefault="00AF5140" w:rsidP="00495E39">
      <w:pPr>
        <w:ind w:left="550"/>
        <w:jc w:val="center"/>
        <w:rPr>
          <w:bCs/>
          <w:w w:val="105"/>
          <w:lang w:val="es-GT"/>
        </w:rPr>
      </w:pPr>
      <w:r w:rsidRPr="00760B5B">
        <w:rPr>
          <w:bCs/>
          <w:w w:val="105"/>
          <w:lang w:val="es-GT"/>
        </w:rPr>
        <w:t xml:space="preserve">Auditoría </w:t>
      </w:r>
      <w:r w:rsidR="00495E39" w:rsidRPr="00760B5B">
        <w:rPr>
          <w:bCs/>
          <w:w w:val="105"/>
          <w:lang w:val="es-GT"/>
        </w:rPr>
        <w:t>de Procesos</w:t>
      </w:r>
    </w:p>
    <w:p w:rsidR="00AF5140" w:rsidRPr="00760B5B" w:rsidRDefault="00AF5140" w:rsidP="00C7743E">
      <w:pPr>
        <w:ind w:left="550"/>
        <w:jc w:val="center"/>
        <w:rPr>
          <w:bCs/>
          <w:w w:val="105"/>
          <w:lang w:val="es-GT"/>
        </w:rPr>
      </w:pPr>
      <w:r w:rsidRPr="00760B5B">
        <w:rPr>
          <w:bCs/>
          <w:w w:val="105"/>
          <w:lang w:val="es-GT"/>
        </w:rPr>
        <w:t xml:space="preserve">Del 01 de </w:t>
      </w:r>
      <w:proofErr w:type="gramStart"/>
      <w:r w:rsidR="0097769F" w:rsidRPr="00760B5B">
        <w:rPr>
          <w:bCs/>
          <w:w w:val="105"/>
          <w:lang w:val="es-GT"/>
        </w:rPr>
        <w:t>Enero</w:t>
      </w:r>
      <w:proofErr w:type="gramEnd"/>
      <w:r w:rsidR="0097769F" w:rsidRPr="00760B5B">
        <w:rPr>
          <w:bCs/>
          <w:w w:val="105"/>
          <w:lang w:val="es-GT"/>
        </w:rPr>
        <w:t xml:space="preserve"> al 31 de Diciembre de 202</w:t>
      </w:r>
      <w:r w:rsidR="00495E39" w:rsidRPr="00760B5B">
        <w:rPr>
          <w:bCs/>
          <w:w w:val="105"/>
          <w:lang w:val="es-GT"/>
        </w:rPr>
        <w:t>4</w:t>
      </w:r>
    </w:p>
    <w:p w:rsidR="00DF2272" w:rsidRDefault="00DF2272" w:rsidP="00DF2272">
      <w:pPr>
        <w:pStyle w:val="Ttulo3"/>
        <w:jc w:val="center"/>
      </w:pPr>
      <w:r>
        <w:t>MAPA PRIORITARIO DE PROCESOS, RIESGOS Y CONTROLES</w:t>
      </w:r>
    </w:p>
    <w:p w:rsidR="00DF2272" w:rsidRDefault="00DF2272" w:rsidP="00DF2272">
      <w:pPr>
        <w:pStyle w:val="Ttulo3"/>
        <w:jc w:val="center"/>
      </w:pPr>
      <w:r>
        <w:t xml:space="preserve">AREA LEGAL </w:t>
      </w:r>
    </w:p>
    <w:p w:rsidR="00DF2272" w:rsidRDefault="00DF2272" w:rsidP="00DF2272"/>
    <w:p w:rsidR="00DF2272" w:rsidRDefault="00DF2272" w:rsidP="00DF2272">
      <w:pPr>
        <w:pStyle w:val="whitespace-normal"/>
      </w:pPr>
      <w:r>
        <w:rPr>
          <w:rStyle w:val="Textoennegrita"/>
        </w:rPr>
        <w:t>Empresa:</w:t>
      </w:r>
      <w:r>
        <w:t xml:space="preserve"> [Nombre de la Compañía]</w:t>
      </w:r>
      <w:r>
        <w:br/>
      </w:r>
      <w:r>
        <w:rPr>
          <w:rStyle w:val="Textoennegrita"/>
        </w:rPr>
        <w:t>Período auditado:</w:t>
      </w:r>
      <w:r>
        <w:t xml:space="preserve"> Enero - Diciembre 2025</w:t>
      </w:r>
      <w:r>
        <w:br/>
      </w:r>
      <w:r>
        <w:rPr>
          <w:rStyle w:val="Textoennegrita"/>
        </w:rPr>
        <w:t>Fecha de elaboración:</w:t>
      </w:r>
      <w:r>
        <w:t xml:space="preserve"> 21/05/2025</w:t>
      </w:r>
      <w:r>
        <w:br/>
      </w:r>
      <w:r>
        <w:rPr>
          <w:rStyle w:val="Textoennegrita"/>
        </w:rPr>
        <w:t>Elaborado por:</w:t>
      </w:r>
      <w:r>
        <w:t xml:space="preserve"> [Nombre del Auditor]</w:t>
      </w:r>
      <w:r>
        <w:br/>
      </w:r>
      <w:r>
        <w:rPr>
          <w:rStyle w:val="Textoennegrita"/>
        </w:rPr>
        <w:t>Revisado por:</w:t>
      </w:r>
      <w:r>
        <w:t xml:space="preserve"> [Nombre del Supervisor]</w:t>
      </w:r>
      <w:r>
        <w:br/>
      </w:r>
      <w:r>
        <w:rPr>
          <w:rStyle w:val="Textoennegrita"/>
        </w:rPr>
        <w:t>Ref. P/T:</w:t>
      </w:r>
      <w:r>
        <w:t xml:space="preserve"> LEG-MPC-001</w:t>
      </w:r>
    </w:p>
    <w:p w:rsidR="00DF2272" w:rsidRDefault="00DF2272" w:rsidP="00DF2272"/>
    <w:p w:rsidR="00DF2272" w:rsidRPr="002C02FF" w:rsidRDefault="00DF2272" w:rsidP="00DF2272">
      <w:pPr>
        <w:pStyle w:val="Ttulo2"/>
        <w:jc w:val="both"/>
        <w:rPr>
          <w:b/>
        </w:rPr>
      </w:pPr>
      <w:r w:rsidRPr="002C02FF">
        <w:rPr>
          <w:b/>
        </w:rPr>
        <w:t>1. OBJETIVO</w:t>
      </w:r>
    </w:p>
    <w:p w:rsidR="00DF2272" w:rsidRDefault="00DF2272" w:rsidP="00DF2272">
      <w:pPr>
        <w:pStyle w:val="whitespace-normal"/>
        <w:jc w:val="both"/>
      </w:pPr>
      <w:r>
        <w:t>Identificar, evaluar y priorizar los procesos críticos del departamento legal, sus riesgos asociados y los controles implementados para mitigarlos, a fin de determinar áreas de vulnerabilidad y oportunidades de mejora en la gestión legal de la organización.</w:t>
      </w:r>
    </w:p>
    <w:p w:rsidR="00DF2272" w:rsidRPr="002C02FF" w:rsidRDefault="00DF2272" w:rsidP="00DF2272">
      <w:pPr>
        <w:pStyle w:val="Ttulo2"/>
        <w:jc w:val="both"/>
        <w:rPr>
          <w:b/>
        </w:rPr>
      </w:pPr>
      <w:r w:rsidRPr="002C02FF">
        <w:rPr>
          <w:b/>
        </w:rPr>
        <w:t>2. ALCANCE</w:t>
      </w:r>
    </w:p>
    <w:p w:rsidR="00DF2272" w:rsidRDefault="00DF2272" w:rsidP="00DF2272">
      <w:pPr>
        <w:pStyle w:val="whitespace-normal"/>
        <w:jc w:val="both"/>
      </w:pPr>
      <w:r>
        <w:t>El presente papel de trabajo abarca los procesos legales ejecutados entre enero y diciembre de 2025, incluyendo gestión de contratos, litigios, cumplimiento normativo, propiedad intelectual y asesoría legal interna.</w:t>
      </w:r>
    </w:p>
    <w:p w:rsidR="00DF2272" w:rsidRPr="002C02FF" w:rsidRDefault="00DF2272" w:rsidP="00DF2272">
      <w:pPr>
        <w:pStyle w:val="Ttulo2"/>
        <w:jc w:val="both"/>
        <w:rPr>
          <w:b/>
        </w:rPr>
      </w:pPr>
      <w:r w:rsidRPr="002C02FF">
        <w:rPr>
          <w:b/>
        </w:rPr>
        <w:t>3. METODOLOGÍA</w:t>
      </w:r>
    </w:p>
    <w:p w:rsidR="00DF2272" w:rsidRDefault="00DF2272" w:rsidP="00450C33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>Entrevistas con el Director Legal y coordinadores de áreas legales</w:t>
      </w:r>
    </w:p>
    <w:p w:rsidR="00DF2272" w:rsidRDefault="00DF2272" w:rsidP="00450C33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>Revisión de documentación del departamento</w:t>
      </w:r>
    </w:p>
    <w:p w:rsidR="00DF2272" w:rsidRDefault="00DF2272" w:rsidP="00450C33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>Análisis de procedimientos internos e indicadores de gestión</w:t>
      </w:r>
    </w:p>
    <w:p w:rsidR="00DF2272" w:rsidRDefault="00DF2272" w:rsidP="00450C33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 xml:space="preserve">Evaluación de casos de mayor impacto financiero y </w:t>
      </w:r>
      <w:proofErr w:type="spellStart"/>
      <w:r>
        <w:t>reputacional</w:t>
      </w:r>
      <w:proofErr w:type="spellEnd"/>
    </w:p>
    <w:p w:rsidR="00DF2272" w:rsidRDefault="00DF2272" w:rsidP="00450C33">
      <w:pPr>
        <w:numPr>
          <w:ilvl w:val="0"/>
          <w:numId w:val="1"/>
        </w:numPr>
        <w:spacing w:before="100" w:beforeAutospacing="1" w:after="100" w:afterAutospacing="1"/>
        <w:jc w:val="both"/>
      </w:pPr>
      <w:r>
        <w:t>Verificación de cumplimiento de políticas internas y regulaciones</w:t>
      </w:r>
    </w:p>
    <w:p w:rsidR="0058310D" w:rsidRDefault="0058310D" w:rsidP="0058310D">
      <w:pPr>
        <w:spacing w:before="100" w:beforeAutospacing="1" w:after="100" w:afterAutospacing="1"/>
        <w:jc w:val="both"/>
      </w:pPr>
    </w:p>
    <w:p w:rsidR="005846B8" w:rsidRDefault="005846B8" w:rsidP="0058310D">
      <w:pPr>
        <w:spacing w:before="100" w:beforeAutospacing="1" w:after="100" w:afterAutospacing="1"/>
        <w:jc w:val="both"/>
      </w:pPr>
    </w:p>
    <w:p w:rsidR="005846B8" w:rsidRDefault="005846B8" w:rsidP="0058310D">
      <w:pPr>
        <w:spacing w:before="100" w:beforeAutospacing="1" w:after="100" w:afterAutospacing="1"/>
        <w:jc w:val="both"/>
      </w:pPr>
    </w:p>
    <w:p w:rsidR="00DF2272" w:rsidRDefault="00DF2272" w:rsidP="00DF2272">
      <w:pPr>
        <w:pStyle w:val="Ttulo2"/>
        <w:jc w:val="both"/>
        <w:rPr>
          <w:b/>
        </w:rPr>
      </w:pPr>
      <w:r w:rsidRPr="006D7505">
        <w:rPr>
          <w:b/>
        </w:rPr>
        <w:t>4. MAPA DE PROCESOS, RIESGOS Y CONTROLES</w:t>
      </w:r>
    </w:p>
    <w:p w:rsidR="00043753" w:rsidRPr="00043753" w:rsidRDefault="00043753" w:rsidP="00043753"/>
    <w:tbl>
      <w:tblPr>
        <w:tblW w:w="9923" w:type="dxa"/>
        <w:tblCellSpacing w:w="15" w:type="dxa"/>
        <w:tblInd w:w="-14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992"/>
        <w:gridCol w:w="838"/>
        <w:gridCol w:w="722"/>
        <w:gridCol w:w="992"/>
        <w:gridCol w:w="1134"/>
        <w:gridCol w:w="992"/>
        <w:gridCol w:w="1134"/>
        <w:gridCol w:w="1134"/>
      </w:tblGrid>
      <w:tr w:rsidR="00EA1664" w:rsidTr="002B397E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7E1BB3" w:rsidRDefault="00DF2272" w:rsidP="007E1BB3">
            <w:pPr>
              <w:jc w:val="center"/>
              <w:rPr>
                <w:b/>
                <w:bCs/>
                <w:sz w:val="16"/>
                <w:szCs w:val="16"/>
              </w:rPr>
            </w:pPr>
            <w:r w:rsidRPr="007E1BB3">
              <w:rPr>
                <w:b/>
                <w:bCs/>
                <w:sz w:val="16"/>
                <w:szCs w:val="16"/>
              </w:rPr>
              <w:t>Proceso</w:t>
            </w:r>
          </w:p>
        </w:tc>
        <w:tc>
          <w:tcPr>
            <w:tcW w:w="1104" w:type="dxa"/>
            <w:vAlign w:val="center"/>
            <w:hideMark/>
          </w:tcPr>
          <w:p w:rsidR="00DF2272" w:rsidRPr="007E1BB3" w:rsidRDefault="00DF2272" w:rsidP="007E1BB3">
            <w:pPr>
              <w:jc w:val="center"/>
              <w:rPr>
                <w:b/>
                <w:bCs/>
                <w:sz w:val="16"/>
                <w:szCs w:val="16"/>
              </w:rPr>
            </w:pPr>
            <w:r w:rsidRPr="007E1BB3">
              <w:rPr>
                <w:b/>
                <w:bCs/>
                <w:sz w:val="16"/>
                <w:szCs w:val="16"/>
              </w:rPr>
              <w:t>Subproceso</w:t>
            </w:r>
          </w:p>
        </w:tc>
        <w:tc>
          <w:tcPr>
            <w:tcW w:w="962" w:type="dxa"/>
            <w:vAlign w:val="center"/>
            <w:hideMark/>
          </w:tcPr>
          <w:p w:rsidR="00DF2272" w:rsidRPr="007E1BB3" w:rsidRDefault="00DF2272" w:rsidP="007E1BB3">
            <w:pPr>
              <w:jc w:val="center"/>
              <w:rPr>
                <w:b/>
                <w:bCs/>
                <w:sz w:val="16"/>
                <w:szCs w:val="16"/>
              </w:rPr>
            </w:pPr>
            <w:r w:rsidRPr="007E1BB3">
              <w:rPr>
                <w:b/>
                <w:bCs/>
                <w:sz w:val="16"/>
                <w:szCs w:val="16"/>
              </w:rPr>
              <w:t>Prioridad</w:t>
            </w:r>
          </w:p>
        </w:tc>
        <w:tc>
          <w:tcPr>
            <w:tcW w:w="808" w:type="dxa"/>
            <w:vAlign w:val="center"/>
            <w:hideMark/>
          </w:tcPr>
          <w:p w:rsidR="00DF2272" w:rsidRPr="007E1BB3" w:rsidRDefault="00DF2272" w:rsidP="007E1BB3">
            <w:pPr>
              <w:jc w:val="center"/>
              <w:rPr>
                <w:b/>
                <w:bCs/>
                <w:sz w:val="16"/>
                <w:szCs w:val="16"/>
              </w:rPr>
            </w:pPr>
            <w:r w:rsidRPr="007E1BB3">
              <w:rPr>
                <w:b/>
                <w:bCs/>
                <w:sz w:val="16"/>
                <w:szCs w:val="16"/>
              </w:rPr>
              <w:t>Riesgo</w:t>
            </w:r>
          </w:p>
        </w:tc>
        <w:tc>
          <w:tcPr>
            <w:tcW w:w="692" w:type="dxa"/>
            <w:vAlign w:val="center"/>
            <w:hideMark/>
          </w:tcPr>
          <w:p w:rsidR="00DF2272" w:rsidRPr="007E1BB3" w:rsidRDefault="00DF2272" w:rsidP="007E1BB3">
            <w:pPr>
              <w:jc w:val="center"/>
              <w:rPr>
                <w:b/>
                <w:bCs/>
                <w:sz w:val="16"/>
                <w:szCs w:val="16"/>
              </w:rPr>
            </w:pPr>
            <w:r w:rsidRPr="007E1BB3">
              <w:rPr>
                <w:b/>
                <w:bCs/>
                <w:sz w:val="16"/>
                <w:szCs w:val="16"/>
              </w:rPr>
              <w:t>Impacto</w:t>
            </w:r>
          </w:p>
        </w:tc>
        <w:tc>
          <w:tcPr>
            <w:tcW w:w="962" w:type="dxa"/>
            <w:vAlign w:val="center"/>
            <w:hideMark/>
          </w:tcPr>
          <w:p w:rsidR="00DF2272" w:rsidRPr="007E1BB3" w:rsidRDefault="00DF2272" w:rsidP="007E1BB3">
            <w:pPr>
              <w:jc w:val="center"/>
              <w:rPr>
                <w:b/>
                <w:bCs/>
                <w:sz w:val="16"/>
                <w:szCs w:val="16"/>
              </w:rPr>
            </w:pPr>
            <w:r w:rsidRPr="007E1BB3">
              <w:rPr>
                <w:b/>
                <w:bCs/>
                <w:sz w:val="16"/>
                <w:szCs w:val="16"/>
              </w:rPr>
              <w:t>Probabilidad</w:t>
            </w:r>
          </w:p>
        </w:tc>
        <w:tc>
          <w:tcPr>
            <w:tcW w:w="1104" w:type="dxa"/>
            <w:vAlign w:val="center"/>
            <w:hideMark/>
          </w:tcPr>
          <w:p w:rsidR="00DF2272" w:rsidRPr="007E1BB3" w:rsidRDefault="00DF2272" w:rsidP="007E1BB3">
            <w:pPr>
              <w:jc w:val="center"/>
              <w:rPr>
                <w:b/>
                <w:bCs/>
                <w:sz w:val="16"/>
                <w:szCs w:val="16"/>
              </w:rPr>
            </w:pPr>
            <w:r w:rsidRPr="007E1BB3">
              <w:rPr>
                <w:b/>
                <w:bCs/>
                <w:sz w:val="16"/>
                <w:szCs w:val="16"/>
              </w:rPr>
              <w:t>Calificación</w:t>
            </w:r>
          </w:p>
        </w:tc>
        <w:tc>
          <w:tcPr>
            <w:tcW w:w="962" w:type="dxa"/>
            <w:vAlign w:val="center"/>
            <w:hideMark/>
          </w:tcPr>
          <w:p w:rsidR="00DF2272" w:rsidRPr="007E1BB3" w:rsidRDefault="00DF2272" w:rsidP="007E1BB3">
            <w:pPr>
              <w:jc w:val="center"/>
              <w:rPr>
                <w:b/>
                <w:bCs/>
                <w:sz w:val="16"/>
                <w:szCs w:val="16"/>
              </w:rPr>
            </w:pPr>
            <w:r w:rsidRPr="007E1BB3">
              <w:rPr>
                <w:b/>
                <w:bCs/>
                <w:sz w:val="16"/>
                <w:szCs w:val="16"/>
              </w:rPr>
              <w:t>Control existente</w:t>
            </w:r>
          </w:p>
        </w:tc>
        <w:tc>
          <w:tcPr>
            <w:tcW w:w="1104" w:type="dxa"/>
            <w:vAlign w:val="center"/>
            <w:hideMark/>
          </w:tcPr>
          <w:p w:rsidR="00DF2272" w:rsidRPr="007E1BB3" w:rsidRDefault="00DF2272" w:rsidP="007E1BB3">
            <w:pPr>
              <w:jc w:val="center"/>
              <w:rPr>
                <w:b/>
                <w:bCs/>
                <w:sz w:val="16"/>
                <w:szCs w:val="16"/>
              </w:rPr>
            </w:pPr>
            <w:r w:rsidRPr="007E1BB3">
              <w:rPr>
                <w:b/>
                <w:bCs/>
                <w:sz w:val="16"/>
                <w:szCs w:val="16"/>
              </w:rPr>
              <w:t>Efectividad</w:t>
            </w:r>
          </w:p>
        </w:tc>
        <w:tc>
          <w:tcPr>
            <w:tcW w:w="1089" w:type="dxa"/>
            <w:vAlign w:val="center"/>
            <w:hideMark/>
          </w:tcPr>
          <w:p w:rsidR="00DF2272" w:rsidRPr="007E1BB3" w:rsidRDefault="00DF2272" w:rsidP="007E1BB3">
            <w:pPr>
              <w:jc w:val="center"/>
              <w:rPr>
                <w:b/>
                <w:bCs/>
                <w:sz w:val="16"/>
                <w:szCs w:val="16"/>
              </w:rPr>
            </w:pPr>
            <w:r w:rsidRPr="007E1BB3">
              <w:rPr>
                <w:b/>
                <w:bCs/>
                <w:sz w:val="16"/>
                <w:szCs w:val="16"/>
              </w:rPr>
              <w:t>Brecha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rStyle w:val="Textoennegrita"/>
                <w:sz w:val="20"/>
                <w:szCs w:val="20"/>
              </w:rPr>
              <w:t>Gestión de contratos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Elaboración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Inclusión de cláusulas desfavorables para la empresa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Revisión por 2 abogados antes de firma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Implementar checklist de revisión estandarizado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Negociación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Falta de alineación con objetivos estratégicos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Comité de revisión semanal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Ninguna significativa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Seguimiento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Incumplimiento de renovaciones oportunas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Crítico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Sistema de alertas automatizado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Baja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 xml:space="preserve">Mejorar controles de seguimiento y establecer </w:t>
            </w:r>
            <w:proofErr w:type="spellStart"/>
            <w:r w:rsidRPr="0025437A">
              <w:rPr>
                <w:sz w:val="20"/>
                <w:szCs w:val="20"/>
              </w:rPr>
              <w:t>KPIs</w:t>
            </w:r>
            <w:proofErr w:type="spellEnd"/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rStyle w:val="Textoennegrita"/>
                <w:sz w:val="20"/>
                <w:szCs w:val="20"/>
              </w:rPr>
              <w:t>Litigios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Demandas laborales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Inadecuada preparación de defensa por falta de documentación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Protocolo de respuesta a demandas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Desarrollar sistema de gestión documental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Disputas comerciales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Estrategia legal inadecuada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Baja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Asesoría externa especializada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Ninguna significativa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Ejecución de sentencias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Vencimientos de plazos procesales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Crítico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Calendario judicial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Implementar sistema de alertas múltiples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rStyle w:val="Textoennegrita"/>
                <w:sz w:val="20"/>
                <w:szCs w:val="20"/>
              </w:rPr>
              <w:t>Cumplimiento regulatorio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Monitoreo normativo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Desactualización en cambios regulatorios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Crítico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Suscripción a servicios de actualización legal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Crear comité de vigilancia normativa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Reporte a autoridades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Incumplimiento en plazos de reporte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Calendarios regulatorios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Baja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Automatizar proceso de reportes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Auditorías externas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Hallazgos de incumplimientos significativos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Baja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proofErr w:type="spellStart"/>
            <w:r w:rsidRPr="0025437A">
              <w:rPr>
                <w:sz w:val="20"/>
                <w:szCs w:val="20"/>
              </w:rPr>
              <w:t>Preauditorías</w:t>
            </w:r>
            <w:proofErr w:type="spellEnd"/>
            <w:r w:rsidRPr="0025437A">
              <w:rPr>
                <w:sz w:val="20"/>
                <w:szCs w:val="20"/>
              </w:rPr>
              <w:t xml:space="preserve"> internas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Ninguna significativa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rStyle w:val="Textoennegrita"/>
                <w:sz w:val="20"/>
                <w:szCs w:val="20"/>
              </w:rPr>
              <w:t>Propiedad intelectual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Registro de marcas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Pérdida de derechos por falta de renovación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Baja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Base de datos de vencimientos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Ninguna significativa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Protección de secretos comerciales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Filtración de información confidencial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Crítico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Acuerdos de confidencialidad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Reforzar controles de acceso y trazabilidad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Licenciamiento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Uso inadecuado de licencias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Inventario de licencias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Automatizar verificación periódica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rStyle w:val="Textoennegrita"/>
                <w:sz w:val="20"/>
                <w:szCs w:val="20"/>
              </w:rPr>
              <w:t>Asesoría legal interna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Consultas operativas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Baja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Asesoramiento incorrecto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Baja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Bajo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Segunda opinión en temas complejos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Ninguna significativa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Apoyo a decisiones estratégicas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Omisión de riesgos legales en proyectos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Participación en comité de proyectos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Implementar metodología de evaluación de riesgos legales</w:t>
            </w:r>
          </w:p>
        </w:tc>
      </w:tr>
      <w:tr w:rsidR="00EA1664" w:rsidTr="002B397E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Capacitación legal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Media</w:t>
            </w:r>
          </w:p>
        </w:tc>
        <w:tc>
          <w:tcPr>
            <w:tcW w:w="808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Personal interno con conocimientos legales desactualizados</w:t>
            </w:r>
          </w:p>
        </w:tc>
        <w:tc>
          <w:tcPr>
            <w:tcW w:w="69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Medio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Alta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Alto</w:t>
            </w:r>
          </w:p>
        </w:tc>
        <w:tc>
          <w:tcPr>
            <w:tcW w:w="962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Plan anual de capacitación</w:t>
            </w:r>
          </w:p>
        </w:tc>
        <w:tc>
          <w:tcPr>
            <w:tcW w:w="1104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Baja</w:t>
            </w:r>
          </w:p>
        </w:tc>
        <w:tc>
          <w:tcPr>
            <w:tcW w:w="1089" w:type="dxa"/>
            <w:vAlign w:val="center"/>
            <w:hideMark/>
          </w:tcPr>
          <w:p w:rsidR="00DF2272" w:rsidRPr="0025437A" w:rsidRDefault="00DF2272" w:rsidP="00DF2272">
            <w:pPr>
              <w:jc w:val="both"/>
              <w:rPr>
                <w:sz w:val="20"/>
                <w:szCs w:val="20"/>
              </w:rPr>
            </w:pPr>
            <w:r w:rsidRPr="0025437A">
              <w:rPr>
                <w:sz w:val="20"/>
                <w:szCs w:val="20"/>
              </w:rPr>
              <w:t>Desarrollar programa integral de capacitación</w:t>
            </w:r>
          </w:p>
        </w:tc>
      </w:tr>
    </w:tbl>
    <w:p w:rsidR="003E17BE" w:rsidRDefault="003E17BE" w:rsidP="00DF2272">
      <w:pPr>
        <w:pStyle w:val="Ttulo2"/>
        <w:jc w:val="both"/>
        <w:rPr>
          <w:b/>
        </w:rPr>
      </w:pPr>
    </w:p>
    <w:p w:rsidR="00DF2272" w:rsidRPr="003E17BE" w:rsidRDefault="00DF2272" w:rsidP="00DF2272">
      <w:pPr>
        <w:pStyle w:val="Ttulo2"/>
        <w:jc w:val="both"/>
        <w:rPr>
          <w:b/>
        </w:rPr>
      </w:pPr>
      <w:r w:rsidRPr="003E17BE">
        <w:rPr>
          <w:b/>
        </w:rPr>
        <w:t>5. MATRIZ DE PRIORIZACIÓN DE RIESGOS</w:t>
      </w:r>
    </w:p>
    <w:p w:rsidR="00DF2272" w:rsidRDefault="00DF2272" w:rsidP="00DF2272">
      <w:pPr>
        <w:pStyle w:val="whitespace-normal"/>
        <w:jc w:val="both"/>
      </w:pPr>
      <w:proofErr w:type="gramStart"/>
      <w:r>
        <w:t>![</w:t>
      </w:r>
      <w:proofErr w:type="gramEnd"/>
      <w:r>
        <w:t>Matriz de Riesgos]</w:t>
      </w:r>
    </w:p>
    <w:p w:rsidR="00DF2272" w:rsidRDefault="00DF2272" w:rsidP="00DF2272">
      <w:pPr>
        <w:pStyle w:val="HTMLconformatoprevio"/>
        <w:spacing w:before="120" w:after="120"/>
        <w:jc w:val="both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        │ PROBABILIDAD</w:t>
      </w:r>
    </w:p>
    <w:p w:rsidR="00DF2272" w:rsidRDefault="00DF2272" w:rsidP="00DF2272">
      <w:pPr>
        <w:pStyle w:val="HTMLconformatoprevio"/>
        <w:spacing w:before="120" w:after="120"/>
        <w:jc w:val="both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>IMPACTO │ Baja     Media    Alta</w:t>
      </w:r>
    </w:p>
    <w:p w:rsidR="00DF2272" w:rsidRDefault="00DF2272" w:rsidP="00DF2272">
      <w:pPr>
        <w:pStyle w:val="HTMLconformatoprevio"/>
        <w:spacing w:before="120" w:after="120"/>
        <w:jc w:val="both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>────────┼─────────────────────────</w:t>
      </w:r>
    </w:p>
    <w:p w:rsidR="00DF2272" w:rsidRDefault="00DF2272" w:rsidP="00DF2272">
      <w:pPr>
        <w:pStyle w:val="HTMLconformatoprevio"/>
        <w:spacing w:before="120" w:after="120"/>
        <w:jc w:val="both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>Crítico │ MEDIO    ALTO     CRÍTICO</w:t>
      </w:r>
    </w:p>
    <w:p w:rsidR="00DF2272" w:rsidRDefault="00DF2272" w:rsidP="00DF2272">
      <w:pPr>
        <w:pStyle w:val="HTMLconformatoprevio"/>
        <w:spacing w:before="120" w:after="120"/>
        <w:jc w:val="both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        │</w:t>
      </w:r>
    </w:p>
    <w:p w:rsidR="00DF2272" w:rsidRDefault="00DF2272" w:rsidP="00DF2272">
      <w:pPr>
        <w:pStyle w:val="HTMLconformatoprevio"/>
        <w:spacing w:before="120" w:after="120"/>
        <w:jc w:val="both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Alto    │ MEDIO    ALTO     </w:t>
      </w:r>
      <w:proofErr w:type="spellStart"/>
      <w:r>
        <w:rPr>
          <w:rStyle w:val="CdigoHTML"/>
          <w:rFonts w:ascii="Consolas" w:hAnsi="Consolas"/>
          <w:color w:val="383A42"/>
        </w:rPr>
        <w:t>ALTO</w:t>
      </w:r>
      <w:proofErr w:type="spellEnd"/>
      <w:r>
        <w:rPr>
          <w:rStyle w:val="CdigoHTML"/>
          <w:rFonts w:ascii="Consolas" w:hAnsi="Consolas"/>
          <w:color w:val="383A42"/>
        </w:rPr>
        <w:t xml:space="preserve"> </w:t>
      </w:r>
    </w:p>
    <w:p w:rsidR="00DF2272" w:rsidRDefault="00DF2272" w:rsidP="00DF2272">
      <w:pPr>
        <w:pStyle w:val="HTMLconformatoprevio"/>
        <w:spacing w:before="120" w:after="120"/>
        <w:jc w:val="both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        │</w:t>
      </w:r>
    </w:p>
    <w:p w:rsidR="00DF2272" w:rsidRDefault="00DF2272" w:rsidP="00DF2272">
      <w:pPr>
        <w:pStyle w:val="HTMLconformatoprevio"/>
        <w:spacing w:before="120" w:after="120"/>
        <w:jc w:val="both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>Medio   │ BAJO     MEDIO    ALTO</w:t>
      </w:r>
    </w:p>
    <w:p w:rsidR="00DF2272" w:rsidRDefault="00DF2272" w:rsidP="00DF2272">
      <w:pPr>
        <w:pStyle w:val="HTMLconformatoprevio"/>
        <w:spacing w:before="120" w:after="120"/>
        <w:jc w:val="both"/>
        <w:rPr>
          <w:rStyle w:val="CdigoHTML"/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        │</w:t>
      </w:r>
    </w:p>
    <w:p w:rsidR="00DF2272" w:rsidRDefault="00DF2272" w:rsidP="00DF2272">
      <w:pPr>
        <w:pStyle w:val="HTMLconformatoprevio"/>
        <w:spacing w:before="120" w:after="120"/>
        <w:jc w:val="both"/>
        <w:rPr>
          <w:rFonts w:ascii="Consolas" w:hAnsi="Consolas"/>
          <w:color w:val="383A42"/>
        </w:rPr>
      </w:pPr>
      <w:r>
        <w:rPr>
          <w:rStyle w:val="CdigoHTML"/>
          <w:rFonts w:ascii="Consolas" w:hAnsi="Consolas"/>
          <w:color w:val="383A42"/>
        </w:rPr>
        <w:t xml:space="preserve">Bajo    │ BAJO     </w:t>
      </w:r>
      <w:proofErr w:type="spellStart"/>
      <w:r>
        <w:rPr>
          <w:rStyle w:val="CdigoHTML"/>
          <w:rFonts w:ascii="Consolas" w:hAnsi="Consolas"/>
          <w:color w:val="383A42"/>
        </w:rPr>
        <w:t>BAJO</w:t>
      </w:r>
      <w:proofErr w:type="spellEnd"/>
      <w:r>
        <w:rPr>
          <w:rStyle w:val="CdigoHTML"/>
          <w:rFonts w:ascii="Consolas" w:hAnsi="Consolas"/>
          <w:color w:val="383A42"/>
        </w:rPr>
        <w:t xml:space="preserve">     MEDIO</w:t>
      </w:r>
    </w:p>
    <w:p w:rsidR="003532D3" w:rsidRDefault="003532D3" w:rsidP="00DF2272">
      <w:pPr>
        <w:pStyle w:val="Ttulo2"/>
        <w:jc w:val="both"/>
      </w:pPr>
    </w:p>
    <w:p w:rsidR="003532D3" w:rsidRDefault="003532D3" w:rsidP="00DF2272">
      <w:pPr>
        <w:pStyle w:val="Ttulo2"/>
        <w:jc w:val="both"/>
      </w:pPr>
    </w:p>
    <w:p w:rsidR="00DF2272" w:rsidRPr="003532D3" w:rsidRDefault="00DF2272" w:rsidP="00DF2272">
      <w:pPr>
        <w:pStyle w:val="Ttulo2"/>
        <w:jc w:val="both"/>
        <w:rPr>
          <w:rFonts w:ascii="Times New Roman" w:hAnsi="Times New Roman"/>
          <w:b/>
          <w:color w:val="auto"/>
        </w:rPr>
      </w:pPr>
      <w:r w:rsidRPr="003532D3">
        <w:rPr>
          <w:b/>
        </w:rPr>
        <w:t>6. ANÁLISIS DE RESULTADOS</w:t>
      </w:r>
    </w:p>
    <w:p w:rsidR="00DF2272" w:rsidRDefault="00DF2272" w:rsidP="00DF2272">
      <w:pPr>
        <w:pStyle w:val="Ttulo3"/>
        <w:jc w:val="both"/>
      </w:pPr>
      <w:r>
        <w:t>6.1 Hallazgos prioritarios:</w:t>
      </w:r>
    </w:p>
    <w:p w:rsidR="00DF2272" w:rsidRDefault="00DF2272" w:rsidP="00450C33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Textoennegrita"/>
        </w:rPr>
        <w:t>Crítico:</w:t>
      </w:r>
      <w:r>
        <w:t xml:space="preserve"> Incumplimiento de renovaciones oportunas de contratos (falla en sistema de alertas)</w:t>
      </w:r>
    </w:p>
    <w:p w:rsidR="00DF2272" w:rsidRDefault="00DF2272" w:rsidP="00450C33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Textoennegrita"/>
        </w:rPr>
        <w:t>Alto:</w:t>
      </w:r>
      <w:r>
        <w:t xml:space="preserve"> Desactualización en cambios regulatorios (proceso manual insuficiente)</w:t>
      </w:r>
    </w:p>
    <w:p w:rsidR="00DF2272" w:rsidRDefault="00DF2272" w:rsidP="00450C33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Textoennegrita"/>
        </w:rPr>
        <w:t>Alto:</w:t>
      </w:r>
      <w:r>
        <w:t xml:space="preserve"> Vencimientos de plazos procesales en litigios (dependencia de revisión manual)</w:t>
      </w:r>
    </w:p>
    <w:p w:rsidR="00DF2272" w:rsidRDefault="00DF2272" w:rsidP="00450C33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Textoennegrita"/>
        </w:rPr>
        <w:t>Alto:</w:t>
      </w:r>
      <w:r>
        <w:t xml:space="preserve"> Filtración de información confidencial (controles insuficientes)</w:t>
      </w:r>
    </w:p>
    <w:p w:rsidR="00DF2272" w:rsidRDefault="00DF2272" w:rsidP="00450C33">
      <w:pPr>
        <w:numPr>
          <w:ilvl w:val="0"/>
          <w:numId w:val="2"/>
        </w:numPr>
        <w:spacing w:before="100" w:beforeAutospacing="1" w:after="100" w:afterAutospacing="1"/>
        <w:jc w:val="both"/>
      </w:pPr>
      <w:r>
        <w:rPr>
          <w:rStyle w:val="Textoennegrita"/>
        </w:rPr>
        <w:t>Alto:</w:t>
      </w:r>
      <w:r>
        <w:t xml:space="preserve"> Personal con conocimientos legales desactualizados (falta de programa integral)</w:t>
      </w:r>
    </w:p>
    <w:p w:rsidR="00DF2272" w:rsidRDefault="00DF2272" w:rsidP="00DF2272">
      <w:pPr>
        <w:pStyle w:val="Ttulo3"/>
        <w:jc w:val="both"/>
      </w:pPr>
      <w:r>
        <w:t>6.2 Fortalezas identificadas:</w:t>
      </w:r>
    </w:p>
    <w:p w:rsidR="00DF2272" w:rsidRDefault="00DF2272" w:rsidP="00450C33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Proceso de negociación contractual robusto con comité de revisión efectivo</w:t>
      </w:r>
    </w:p>
    <w:p w:rsidR="00DF2272" w:rsidRDefault="00DF2272" w:rsidP="00450C33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Adecuada gestión de disputas comerciales con apoyo especializado externo</w:t>
      </w:r>
    </w:p>
    <w:p w:rsidR="00DF2272" w:rsidRDefault="00DF2272" w:rsidP="00450C33">
      <w:pPr>
        <w:numPr>
          <w:ilvl w:val="0"/>
          <w:numId w:val="3"/>
        </w:numPr>
        <w:spacing w:before="100" w:beforeAutospacing="1" w:after="100" w:afterAutospacing="1"/>
        <w:jc w:val="both"/>
      </w:pPr>
      <w:proofErr w:type="spellStart"/>
      <w:r>
        <w:t>Preauditorías</w:t>
      </w:r>
      <w:proofErr w:type="spellEnd"/>
      <w:r>
        <w:t xml:space="preserve"> internas efectivas para preparación de auditorías externas</w:t>
      </w:r>
    </w:p>
    <w:p w:rsidR="00DF2272" w:rsidRDefault="00DF2272" w:rsidP="00450C33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Proceso fiable de registro y mantenimiento de marcas</w:t>
      </w:r>
    </w:p>
    <w:p w:rsidR="00DF2272" w:rsidRDefault="00DF2272" w:rsidP="00450C33">
      <w:pPr>
        <w:numPr>
          <w:ilvl w:val="0"/>
          <w:numId w:val="3"/>
        </w:numPr>
        <w:spacing w:before="100" w:beforeAutospacing="1" w:after="100" w:afterAutospacing="1"/>
        <w:jc w:val="both"/>
      </w:pPr>
      <w:r>
        <w:t>Sistema efectivo de segunda opinión para consultas operativas complejas</w:t>
      </w:r>
    </w:p>
    <w:p w:rsidR="00D33528" w:rsidRDefault="00D33528" w:rsidP="00DF2272">
      <w:pPr>
        <w:pStyle w:val="Ttulo2"/>
        <w:jc w:val="both"/>
      </w:pPr>
    </w:p>
    <w:p w:rsidR="00DC220C" w:rsidRPr="00DC220C" w:rsidRDefault="00DC220C" w:rsidP="00DC220C"/>
    <w:p w:rsidR="00DF2272" w:rsidRPr="00DC220C" w:rsidRDefault="00DF2272" w:rsidP="00DF2272">
      <w:pPr>
        <w:pStyle w:val="Ttulo2"/>
        <w:jc w:val="both"/>
        <w:rPr>
          <w:b/>
        </w:rPr>
      </w:pPr>
      <w:r w:rsidRPr="00DC220C">
        <w:rPr>
          <w:b/>
        </w:rPr>
        <w:lastRenderedPageBreak/>
        <w:t>7. CONCLUSIONES</w:t>
      </w:r>
    </w:p>
    <w:p w:rsidR="00DF2272" w:rsidRDefault="00DF2272" w:rsidP="00DF2272">
      <w:pPr>
        <w:pStyle w:val="whitespace-normal"/>
        <w:jc w:val="both"/>
      </w:pPr>
      <w:r>
        <w:t xml:space="preserve">El departamento legal presenta un nivel </w:t>
      </w:r>
      <w:r>
        <w:rPr>
          <w:rStyle w:val="Textoennegrita"/>
        </w:rPr>
        <w:t>medio-alto</w:t>
      </w:r>
      <w:r>
        <w:t xml:space="preserve"> de control sobre sus procesos críticos, con oportunidades de mejora significativas en:</w:t>
      </w:r>
    </w:p>
    <w:p w:rsidR="00DF2272" w:rsidRDefault="00DF2272" w:rsidP="00450C33">
      <w:pPr>
        <w:numPr>
          <w:ilvl w:val="0"/>
          <w:numId w:val="4"/>
        </w:numPr>
        <w:spacing w:before="100" w:beforeAutospacing="1" w:after="100" w:afterAutospacing="1"/>
        <w:jc w:val="both"/>
      </w:pPr>
      <w:r>
        <w:t>Automatización de seguimiento de contratos y plazos legales</w:t>
      </w:r>
    </w:p>
    <w:p w:rsidR="00DF2272" w:rsidRDefault="00DF2272" w:rsidP="00450C33">
      <w:pPr>
        <w:numPr>
          <w:ilvl w:val="0"/>
          <w:numId w:val="4"/>
        </w:numPr>
        <w:spacing w:before="100" w:beforeAutospacing="1" w:after="100" w:afterAutospacing="1"/>
        <w:jc w:val="both"/>
      </w:pPr>
      <w:r>
        <w:t>Fortalecimiento del monitoreo de cambios regulatorios</w:t>
      </w:r>
    </w:p>
    <w:p w:rsidR="00DF2272" w:rsidRDefault="00DF2272" w:rsidP="00450C33">
      <w:pPr>
        <w:numPr>
          <w:ilvl w:val="0"/>
          <w:numId w:val="4"/>
        </w:numPr>
        <w:spacing w:before="100" w:beforeAutospacing="1" w:after="100" w:afterAutospacing="1"/>
        <w:jc w:val="both"/>
      </w:pPr>
      <w:r>
        <w:t>Implementación de controles más robustos para protección de información confidencial</w:t>
      </w:r>
    </w:p>
    <w:p w:rsidR="00DF2272" w:rsidRDefault="00DF2272" w:rsidP="00450C33">
      <w:pPr>
        <w:numPr>
          <w:ilvl w:val="0"/>
          <w:numId w:val="4"/>
        </w:numPr>
        <w:spacing w:before="100" w:beforeAutospacing="1" w:after="100" w:afterAutospacing="1"/>
        <w:jc w:val="both"/>
      </w:pPr>
      <w:r>
        <w:t>Desarrollo de programas integrales de capacitación legal para personal clave</w:t>
      </w:r>
    </w:p>
    <w:p w:rsidR="00DF2272" w:rsidRDefault="00DF2272" w:rsidP="00DF2272">
      <w:pPr>
        <w:pStyle w:val="whitespace-normal"/>
        <w:jc w:val="both"/>
      </w:pPr>
      <w:r>
        <w:t>La priorización de riesgos muestra que el 33% de los subprocesos evaluados presentan un nivel de riesgo alto o crítico, principalmente en áreas de gestión contractual, cumplimiento normativo y litigios.</w:t>
      </w:r>
    </w:p>
    <w:p w:rsidR="00DF2272" w:rsidRPr="00E83E1E" w:rsidRDefault="00DF2272" w:rsidP="00DF2272">
      <w:pPr>
        <w:pStyle w:val="Ttulo2"/>
        <w:jc w:val="both"/>
        <w:rPr>
          <w:b/>
        </w:rPr>
      </w:pPr>
      <w:r w:rsidRPr="00E83E1E">
        <w:rPr>
          <w:b/>
        </w:rPr>
        <w:t>8. RECOMENDACIONES</w:t>
      </w:r>
    </w:p>
    <w:p w:rsidR="00DF2272" w:rsidRDefault="00DF2272" w:rsidP="00450C33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Implementar sistema integrado de gestión legal con alertas automáticas para vencimientos y plazos</w:t>
      </w:r>
    </w:p>
    <w:p w:rsidR="00DF2272" w:rsidRDefault="00DF2272" w:rsidP="00450C33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Crear comité interdepartamental de vigilancia normativa con reuniones mensuales</w:t>
      </w:r>
    </w:p>
    <w:p w:rsidR="00DF2272" w:rsidRDefault="00DF2272" w:rsidP="00450C33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Desarrollar checklist estandarizado para revisión de contratos</w:t>
      </w:r>
    </w:p>
    <w:p w:rsidR="00DF2272" w:rsidRDefault="00DF2272" w:rsidP="00450C33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Reforzar controles de acceso a información confidencial y establecer política de trazabilidad</w:t>
      </w:r>
    </w:p>
    <w:p w:rsidR="00DF2272" w:rsidRDefault="00DF2272" w:rsidP="00450C33">
      <w:pPr>
        <w:numPr>
          <w:ilvl w:val="0"/>
          <w:numId w:val="5"/>
        </w:numPr>
        <w:spacing w:before="100" w:beforeAutospacing="1" w:after="100" w:afterAutospacing="1"/>
        <w:jc w:val="both"/>
      </w:pPr>
      <w:r>
        <w:t>Diseñar programa de capacitación legal específico por áreas funcionales</w:t>
      </w:r>
    </w:p>
    <w:p w:rsidR="00E83E1E" w:rsidRDefault="00E83E1E" w:rsidP="00E83E1E">
      <w:pPr>
        <w:spacing w:before="100" w:beforeAutospacing="1" w:after="100" w:afterAutospacing="1"/>
        <w:ind w:left="720"/>
        <w:jc w:val="both"/>
      </w:pPr>
    </w:p>
    <w:p w:rsidR="00DF2272" w:rsidRPr="00E83E1E" w:rsidRDefault="00DF2272" w:rsidP="00DF2272">
      <w:pPr>
        <w:pStyle w:val="Ttulo2"/>
        <w:jc w:val="both"/>
        <w:rPr>
          <w:b/>
        </w:rPr>
      </w:pPr>
      <w:r w:rsidRPr="00E83E1E">
        <w:rPr>
          <w:b/>
        </w:rPr>
        <w:t>9. PLAN DE ACCIÓN PROPUESTO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607"/>
        <w:gridCol w:w="1221"/>
        <w:gridCol w:w="1621"/>
        <w:gridCol w:w="2150"/>
      </w:tblGrid>
      <w:tr w:rsidR="00DF2272" w:rsidTr="005372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 límite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Recursos requeridos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Indicador de cumplimiento</w:t>
            </w:r>
          </w:p>
        </w:tc>
      </w:tr>
      <w:tr w:rsidR="00DF2272" w:rsidTr="005372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Sistema integrado gestión legal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Dir. Legal / TI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31/08/2025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Presupuesto: $XX,XXX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Sistema implementado y operativo</w:t>
            </w:r>
          </w:p>
        </w:tc>
      </w:tr>
      <w:tr w:rsidR="00DF2272" w:rsidTr="005372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Comité vigilancia normativa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Dir. Legal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15/06/2025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Horas-hombre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Actas de reuniones mensuales</w:t>
            </w:r>
          </w:p>
        </w:tc>
      </w:tr>
      <w:tr w:rsidR="00DF2272" w:rsidTr="005372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Checklist contratos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Coord. Contratos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30/06/2025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Horas-hombre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Documento aprobado e implementado</w:t>
            </w:r>
          </w:p>
        </w:tc>
      </w:tr>
      <w:tr w:rsidR="00DF2272" w:rsidTr="005372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Controles información confidencial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Dir. Legal / Seguridad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31/07/2025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Presupuesto: $X,XXX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Política aprobada y difundida</w:t>
            </w:r>
          </w:p>
        </w:tc>
      </w:tr>
      <w:tr w:rsidR="00DF2272" w:rsidTr="005372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Programa capacitación legal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Dir. Legal / RRHH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31/08/2025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Presupuesto: $XX,XXX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Plan aprobado y calendario definido</w:t>
            </w:r>
          </w:p>
        </w:tc>
      </w:tr>
    </w:tbl>
    <w:p w:rsidR="00DF2272" w:rsidRDefault="00DF2272" w:rsidP="00DF2272">
      <w:pPr>
        <w:jc w:val="both"/>
      </w:pPr>
    </w:p>
    <w:p w:rsidR="00DF2272" w:rsidRPr="00537221" w:rsidRDefault="00DF2272" w:rsidP="00DF2272">
      <w:pPr>
        <w:pStyle w:val="Ttulo2"/>
        <w:jc w:val="both"/>
        <w:rPr>
          <w:b/>
        </w:rPr>
      </w:pPr>
      <w:r w:rsidRPr="00537221">
        <w:rPr>
          <w:b/>
        </w:rPr>
        <w:lastRenderedPageBreak/>
        <w:t>10. ANEXOS Y DOCUMENTACIÓN DE SOPORTE</w:t>
      </w:r>
    </w:p>
    <w:p w:rsidR="00DF2272" w:rsidRDefault="00DF2272" w:rsidP="00450C33">
      <w:pPr>
        <w:numPr>
          <w:ilvl w:val="0"/>
          <w:numId w:val="6"/>
        </w:numPr>
        <w:spacing w:before="100" w:beforeAutospacing="1" w:after="100" w:afterAutospacing="1"/>
        <w:jc w:val="both"/>
      </w:pPr>
      <w:r>
        <w:t>Listado de entrevistas realizadas</w:t>
      </w:r>
    </w:p>
    <w:p w:rsidR="00DF2272" w:rsidRDefault="00DF2272" w:rsidP="00450C33">
      <w:pPr>
        <w:numPr>
          <w:ilvl w:val="0"/>
          <w:numId w:val="6"/>
        </w:numPr>
        <w:spacing w:before="100" w:beforeAutospacing="1" w:after="100" w:afterAutospacing="1"/>
        <w:jc w:val="both"/>
      </w:pPr>
      <w:r>
        <w:t>Muestra de contratos revisados</w:t>
      </w:r>
    </w:p>
    <w:p w:rsidR="00DF2272" w:rsidRDefault="00DF2272" w:rsidP="00450C33">
      <w:pPr>
        <w:numPr>
          <w:ilvl w:val="0"/>
          <w:numId w:val="6"/>
        </w:numPr>
        <w:spacing w:before="100" w:beforeAutospacing="1" w:after="100" w:afterAutospacing="1"/>
        <w:jc w:val="both"/>
      </w:pPr>
      <w:r>
        <w:t>Evidencia de pruebas de controles</w:t>
      </w:r>
    </w:p>
    <w:p w:rsidR="00DF2272" w:rsidRDefault="00DF2272" w:rsidP="00450C33">
      <w:pPr>
        <w:numPr>
          <w:ilvl w:val="0"/>
          <w:numId w:val="6"/>
        </w:numPr>
        <w:spacing w:before="100" w:beforeAutospacing="1" w:after="100" w:afterAutospacing="1"/>
        <w:jc w:val="both"/>
      </w:pPr>
      <w:r>
        <w:t>Estadísticas de litigios 2024-2025</w:t>
      </w:r>
    </w:p>
    <w:p w:rsidR="00DF2272" w:rsidRDefault="00DF2272" w:rsidP="00450C33">
      <w:pPr>
        <w:numPr>
          <w:ilvl w:val="0"/>
          <w:numId w:val="6"/>
        </w:numPr>
        <w:spacing w:before="100" w:beforeAutospacing="1" w:after="100" w:afterAutospacing="1"/>
        <w:jc w:val="both"/>
      </w:pPr>
      <w:r>
        <w:t>Reportes de cumplimiento regulatorio</w:t>
      </w:r>
    </w:p>
    <w:p w:rsidR="008E13AE" w:rsidRDefault="008E13AE" w:rsidP="008E13AE">
      <w:pPr>
        <w:pStyle w:val="Ttulo3"/>
        <w:jc w:val="both"/>
        <w:rPr>
          <w:rStyle w:val="Textoennegrita"/>
          <w:b/>
          <w:bCs/>
        </w:rPr>
      </w:pPr>
    </w:p>
    <w:p w:rsidR="008E13AE" w:rsidRPr="00760B5B" w:rsidRDefault="008E13AE" w:rsidP="008E13AE">
      <w:pPr>
        <w:pStyle w:val="Ttulo3"/>
        <w:jc w:val="both"/>
      </w:pPr>
      <w:r w:rsidRPr="00760B5B">
        <w:rPr>
          <w:rStyle w:val="Textoennegrita"/>
          <w:b/>
          <w:bCs/>
        </w:rPr>
        <w:t>Conclusión:</w:t>
      </w:r>
    </w:p>
    <w:p w:rsidR="008E13AE" w:rsidRPr="00760B5B" w:rsidRDefault="008E13AE" w:rsidP="008E13AE">
      <w:pPr>
        <w:pStyle w:val="NormalWeb"/>
        <w:jc w:val="both"/>
      </w:pPr>
      <w:r w:rsidRPr="00760B5B">
        <w:t xml:space="preserve">Este mapa prioritario destaca los riesgos más críticos en el área de </w:t>
      </w:r>
      <w:r>
        <w:t>Legal,</w:t>
      </w:r>
      <w:r w:rsidRPr="00760B5B">
        <w:t xml:space="preserve"> proponiendo mejoras específicas para reforzar los controles internos y aumentar la eficiencia operativa. La implementación de estas acciones reducirá significativamente los riesgos asociados y mejorará la gestión del área.</w:t>
      </w:r>
    </w:p>
    <w:p w:rsidR="008E13AE" w:rsidRPr="008E13AE" w:rsidRDefault="008E13AE" w:rsidP="008E13AE">
      <w:pPr>
        <w:spacing w:before="100" w:beforeAutospacing="1" w:after="100" w:afterAutospacing="1"/>
        <w:ind w:left="720"/>
        <w:jc w:val="both"/>
        <w:rPr>
          <w:lang w:val="es-GT"/>
        </w:rPr>
      </w:pPr>
    </w:p>
    <w:p w:rsidR="00DF2272" w:rsidRDefault="00DF2272" w:rsidP="00DF2272">
      <w:pPr>
        <w:jc w:val="both"/>
      </w:pPr>
    </w:p>
    <w:p w:rsidR="00DF2272" w:rsidRDefault="00DF2272" w:rsidP="00DF2272">
      <w:pPr>
        <w:pStyle w:val="whitespace-normal"/>
        <w:jc w:val="both"/>
      </w:pPr>
    </w:p>
    <w:tbl>
      <w:tblPr>
        <w:tblW w:w="8375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4"/>
        <w:gridCol w:w="2491"/>
        <w:gridCol w:w="1960"/>
      </w:tblGrid>
      <w:tr w:rsidR="00DF2272" w:rsidTr="005172C2">
        <w:trPr>
          <w:trHeight w:val="48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Elaborado por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</w:tr>
      <w:tr w:rsidR="00DF2272" w:rsidTr="005172C2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[Nombre Auditor]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21/05/2025</w:t>
            </w:r>
          </w:p>
        </w:tc>
        <w:tc>
          <w:tcPr>
            <w:tcW w:w="0" w:type="auto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_______</w:t>
            </w:r>
          </w:p>
        </w:tc>
      </w:tr>
    </w:tbl>
    <w:p w:rsidR="00DF2272" w:rsidRDefault="00DF2272" w:rsidP="00DF2272">
      <w:pPr>
        <w:pStyle w:val="HTMLconformatoprevio"/>
        <w:jc w:val="both"/>
        <w:rPr>
          <w:vanish/>
        </w:rPr>
      </w:pPr>
    </w:p>
    <w:tbl>
      <w:tblPr>
        <w:tblW w:w="839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2410"/>
        <w:gridCol w:w="2020"/>
      </w:tblGrid>
      <w:tr w:rsidR="00DF2272" w:rsidTr="005F3FCE">
        <w:trPr>
          <w:trHeight w:val="367"/>
          <w:tblHeader/>
          <w:tblCellSpacing w:w="15" w:type="dxa"/>
        </w:trPr>
        <w:tc>
          <w:tcPr>
            <w:tcW w:w="3919" w:type="dxa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Revisado por</w:t>
            </w:r>
          </w:p>
        </w:tc>
        <w:tc>
          <w:tcPr>
            <w:tcW w:w="2380" w:type="dxa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975" w:type="dxa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</w:tr>
      <w:tr w:rsidR="00DF2272" w:rsidTr="005F3FCE">
        <w:trPr>
          <w:trHeight w:val="387"/>
          <w:tblCellSpacing w:w="15" w:type="dxa"/>
        </w:trPr>
        <w:tc>
          <w:tcPr>
            <w:tcW w:w="3919" w:type="dxa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[Nombre Supervisor]</w:t>
            </w:r>
          </w:p>
        </w:tc>
        <w:tc>
          <w:tcPr>
            <w:tcW w:w="2380" w:type="dxa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22/05/2025</w:t>
            </w:r>
          </w:p>
        </w:tc>
        <w:tc>
          <w:tcPr>
            <w:tcW w:w="1975" w:type="dxa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_______</w:t>
            </w:r>
          </w:p>
        </w:tc>
      </w:tr>
    </w:tbl>
    <w:p w:rsidR="00DF2272" w:rsidRDefault="00DF2272" w:rsidP="00DF2272">
      <w:pPr>
        <w:pStyle w:val="HTMLconformatoprevio"/>
        <w:jc w:val="both"/>
        <w:rPr>
          <w:vanish/>
        </w:rPr>
      </w:pPr>
    </w:p>
    <w:tbl>
      <w:tblPr>
        <w:tblW w:w="8360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2410"/>
        <w:gridCol w:w="1986"/>
      </w:tblGrid>
      <w:tr w:rsidR="00DF2272" w:rsidTr="005F3FCE">
        <w:trPr>
          <w:trHeight w:val="296"/>
          <w:tblHeader/>
          <w:tblCellSpacing w:w="15" w:type="dxa"/>
        </w:trPr>
        <w:tc>
          <w:tcPr>
            <w:tcW w:w="3919" w:type="dxa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2380" w:type="dxa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941" w:type="dxa"/>
            <w:vAlign w:val="center"/>
            <w:hideMark/>
          </w:tcPr>
          <w:p w:rsidR="00DF2272" w:rsidRDefault="00DF2272" w:rsidP="00DF227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Firma</w:t>
            </w:r>
          </w:p>
        </w:tc>
      </w:tr>
      <w:tr w:rsidR="00DF2272" w:rsidTr="005F3FCE">
        <w:trPr>
          <w:trHeight w:val="313"/>
          <w:tblCellSpacing w:w="15" w:type="dxa"/>
        </w:trPr>
        <w:tc>
          <w:tcPr>
            <w:tcW w:w="3919" w:type="dxa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[Director Auditoría]</w:t>
            </w:r>
          </w:p>
        </w:tc>
        <w:tc>
          <w:tcPr>
            <w:tcW w:w="2380" w:type="dxa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23/05/2025</w:t>
            </w:r>
          </w:p>
        </w:tc>
        <w:tc>
          <w:tcPr>
            <w:tcW w:w="1941" w:type="dxa"/>
            <w:vAlign w:val="center"/>
            <w:hideMark/>
          </w:tcPr>
          <w:p w:rsidR="00DF2272" w:rsidRDefault="00DF2272" w:rsidP="00DF2272">
            <w:pPr>
              <w:jc w:val="both"/>
            </w:pPr>
            <w:r>
              <w:t>_______</w:t>
            </w:r>
          </w:p>
        </w:tc>
      </w:tr>
    </w:tbl>
    <w:p w:rsidR="00D306BD" w:rsidRPr="00760B5B" w:rsidRDefault="00D306BD" w:rsidP="00DF2272">
      <w:pPr>
        <w:jc w:val="both"/>
      </w:pPr>
    </w:p>
    <w:p w:rsidR="00643719" w:rsidRDefault="00643719" w:rsidP="00DF2272">
      <w:pPr>
        <w:pStyle w:val="NormalWeb"/>
        <w:jc w:val="both"/>
      </w:pPr>
    </w:p>
    <w:p w:rsidR="003A1CC8" w:rsidRDefault="003A1CC8" w:rsidP="00DF2272">
      <w:pPr>
        <w:pStyle w:val="NormalWeb"/>
        <w:jc w:val="both"/>
      </w:pPr>
    </w:p>
    <w:p w:rsidR="003A1CC8" w:rsidRDefault="003A1CC8" w:rsidP="00DF2272">
      <w:pPr>
        <w:pStyle w:val="NormalWeb"/>
        <w:jc w:val="both"/>
      </w:pPr>
    </w:p>
    <w:p w:rsidR="008E13AE" w:rsidRDefault="008E13AE" w:rsidP="00DF2272">
      <w:pPr>
        <w:pStyle w:val="NormalWeb"/>
        <w:jc w:val="both"/>
      </w:pPr>
    </w:p>
    <w:p w:rsidR="008E13AE" w:rsidRDefault="008E13AE" w:rsidP="00DF2272">
      <w:pPr>
        <w:pStyle w:val="NormalWeb"/>
        <w:jc w:val="both"/>
      </w:pPr>
    </w:p>
    <w:p w:rsidR="008E13AE" w:rsidRPr="00537221" w:rsidRDefault="008E13AE" w:rsidP="008E13AE">
      <w:pPr>
        <w:pStyle w:val="Ttulo2"/>
        <w:jc w:val="both"/>
        <w:rPr>
          <w:b/>
        </w:rPr>
      </w:pPr>
      <w:r w:rsidRPr="00537221">
        <w:rPr>
          <w:b/>
        </w:rPr>
        <w:lastRenderedPageBreak/>
        <w:t>ANEXOS Y DOCUMENTACIÓN DE SOPORTE</w:t>
      </w:r>
    </w:p>
    <w:p w:rsidR="00D933A1" w:rsidRPr="00D933A1" w:rsidRDefault="00D933A1" w:rsidP="00D933A1">
      <w:pPr>
        <w:pStyle w:val="Ttulo2"/>
        <w:rPr>
          <w:b/>
        </w:rPr>
      </w:pPr>
      <w:r w:rsidRPr="00D933A1">
        <w:rPr>
          <w:b/>
        </w:rPr>
        <w:t>AUDITORÍA INTERNA - PROCESOS DEPARTAMENTO LEGAL</w:t>
      </w:r>
    </w:p>
    <w:p w:rsidR="00D933A1" w:rsidRDefault="00D933A1" w:rsidP="00D933A1">
      <w:pPr>
        <w:pStyle w:val="whitespace-normal"/>
      </w:pPr>
      <w:r>
        <w:rPr>
          <w:rStyle w:val="Textoennegrita"/>
        </w:rPr>
        <w:t>Empresa:</w:t>
      </w:r>
      <w:r>
        <w:t xml:space="preserve"> [Nombre de la Compañía]</w:t>
      </w:r>
      <w:r>
        <w:br/>
      </w:r>
      <w:r>
        <w:rPr>
          <w:rStyle w:val="Textoennegrita"/>
        </w:rPr>
        <w:t>Período auditado:</w:t>
      </w:r>
      <w:r>
        <w:t xml:space="preserve"> Enero - Diciembre 2025</w:t>
      </w:r>
      <w:r>
        <w:br/>
      </w:r>
      <w:r>
        <w:rPr>
          <w:rStyle w:val="Textoennegrita"/>
        </w:rPr>
        <w:t>Ref. P/T:</w:t>
      </w:r>
      <w:r>
        <w:t xml:space="preserve"> LEG-MPC-001-ANX</w:t>
      </w:r>
      <w:r>
        <w:br/>
      </w:r>
      <w:r>
        <w:rPr>
          <w:rStyle w:val="Textoennegrita"/>
        </w:rPr>
        <w:t>Fecha:</w:t>
      </w:r>
      <w:r>
        <w:t xml:space="preserve"> 21/05/2025</w:t>
      </w:r>
    </w:p>
    <w:p w:rsidR="00D933A1" w:rsidRDefault="00D933A1" w:rsidP="00D933A1"/>
    <w:p w:rsidR="00D933A1" w:rsidRPr="006D5FD0" w:rsidRDefault="00D933A1" w:rsidP="00D933A1">
      <w:pPr>
        <w:pStyle w:val="Ttulo2"/>
        <w:rPr>
          <w:b/>
        </w:rPr>
      </w:pPr>
      <w:r w:rsidRPr="006D5FD0">
        <w:rPr>
          <w:b/>
        </w:rPr>
        <w:t>ANEXO 1: LISTADO DE ENTREVISTAS REALIZADAS</w:t>
      </w:r>
      <w:r w:rsidR="00E65F10">
        <w:rPr>
          <w:b/>
        </w:rPr>
        <w:br/>
      </w:r>
    </w:p>
    <w:tbl>
      <w:tblPr>
        <w:tblW w:w="9782" w:type="dxa"/>
        <w:tblCellSpacing w:w="15" w:type="dxa"/>
        <w:tblInd w:w="-2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1174"/>
        <w:gridCol w:w="1413"/>
        <w:gridCol w:w="1450"/>
        <w:gridCol w:w="1040"/>
        <w:gridCol w:w="1590"/>
        <w:gridCol w:w="2307"/>
      </w:tblGrid>
      <w:tr w:rsidR="00706470" w:rsidTr="00540A0F">
        <w:trPr>
          <w:tblHeader/>
          <w:tblCellSpacing w:w="15" w:type="dxa"/>
        </w:trPr>
        <w:tc>
          <w:tcPr>
            <w:tcW w:w="764" w:type="dxa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Ref.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Entrevistado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Temas tratados</w:t>
            </w:r>
          </w:p>
        </w:tc>
        <w:tc>
          <w:tcPr>
            <w:tcW w:w="2262" w:type="dxa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Hallazgos relevantes</w:t>
            </w:r>
          </w:p>
        </w:tc>
      </w:tr>
      <w:tr w:rsidR="00706470" w:rsidTr="00540A0F">
        <w:trPr>
          <w:tblCellSpacing w:w="15" w:type="dxa"/>
        </w:trPr>
        <w:tc>
          <w:tcPr>
            <w:tcW w:w="764" w:type="dxa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E-001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03/05/2025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Carlos Mendoza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Director Legal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2h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Visión general departamento, prioridades, estructura</w:t>
            </w:r>
          </w:p>
        </w:tc>
        <w:tc>
          <w:tcPr>
            <w:tcW w:w="2262" w:type="dxa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Preocupación por seguimiento de contratos y cumplimiento regulatorio</w:t>
            </w:r>
          </w:p>
        </w:tc>
      </w:tr>
      <w:tr w:rsidR="00706470" w:rsidTr="00540A0F">
        <w:trPr>
          <w:tblCellSpacing w:w="15" w:type="dxa"/>
        </w:trPr>
        <w:tc>
          <w:tcPr>
            <w:tcW w:w="764" w:type="dxa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E-002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04/05/2025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Ana Torres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Coordinadora de Contratos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1.5h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Proceso de elaboración y seguimiento contractual</w:t>
            </w:r>
          </w:p>
        </w:tc>
        <w:tc>
          <w:tcPr>
            <w:tcW w:w="2262" w:type="dxa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Sistema de alertas presenta fallos recurrentes desde marzo 2025</w:t>
            </w:r>
          </w:p>
        </w:tc>
      </w:tr>
      <w:tr w:rsidR="00706470" w:rsidTr="00540A0F">
        <w:trPr>
          <w:tblCellSpacing w:w="15" w:type="dxa"/>
        </w:trPr>
        <w:tc>
          <w:tcPr>
            <w:tcW w:w="764" w:type="dxa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E-003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04/05/2025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Roberto Guzmán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Coordinador de Litigios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1.5h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Gestión de casos y control de plazos</w:t>
            </w:r>
          </w:p>
        </w:tc>
        <w:tc>
          <w:tcPr>
            <w:tcW w:w="2262" w:type="dxa"/>
            <w:vAlign w:val="center"/>
            <w:hideMark/>
          </w:tcPr>
          <w:p w:rsidR="00D933A1" w:rsidRDefault="00D933A1" w:rsidP="00997A91">
            <w:pPr>
              <w:jc w:val="center"/>
            </w:pPr>
            <w:r>
              <w:t>Sobrecarga de trabajo, dependencia excesiva de calendarios manuales</w:t>
            </w:r>
          </w:p>
        </w:tc>
      </w:tr>
    </w:tbl>
    <w:p w:rsidR="00D933A1" w:rsidRDefault="00D933A1" w:rsidP="00D933A1">
      <w:pPr>
        <w:pStyle w:val="whitespace-normal"/>
      </w:pPr>
      <w:r>
        <w:rPr>
          <w:rStyle w:val="Textoennegrita"/>
        </w:rPr>
        <w:t>Nota:</w:t>
      </w:r>
      <w:r>
        <w:t xml:space="preserve"> Las grabaciones de las entrevistas y minutas firmadas se encuentran disponibles en formato digital en la carpeta compartida "Auditoría Legal 2025/Entrevistas".</w:t>
      </w:r>
    </w:p>
    <w:p w:rsidR="00D933A1" w:rsidRDefault="00D933A1" w:rsidP="00D933A1"/>
    <w:p w:rsidR="00D933A1" w:rsidRPr="0007171D" w:rsidRDefault="00D933A1" w:rsidP="00D933A1">
      <w:pPr>
        <w:pStyle w:val="Ttulo2"/>
        <w:rPr>
          <w:b/>
        </w:rPr>
      </w:pPr>
      <w:r w:rsidRPr="0007171D">
        <w:rPr>
          <w:b/>
        </w:rPr>
        <w:t>ANEXO 2: MUESTRA DE CONTRATOS REVISADOS</w:t>
      </w:r>
    </w:p>
    <w:p w:rsidR="00D933A1" w:rsidRDefault="00D933A1" w:rsidP="00D933A1">
      <w:pPr>
        <w:pStyle w:val="Ttulo3"/>
      </w:pPr>
      <w:r>
        <w:t>2.1 Criterios de selección de la muestra</w:t>
      </w:r>
    </w:p>
    <w:p w:rsidR="00D933A1" w:rsidRDefault="00D933A1" w:rsidP="00450C33">
      <w:pPr>
        <w:numPr>
          <w:ilvl w:val="0"/>
          <w:numId w:val="7"/>
        </w:numPr>
        <w:spacing w:before="100" w:beforeAutospacing="1" w:after="100" w:afterAutospacing="1"/>
      </w:pPr>
      <w:r>
        <w:t>Contratos de alto valor (superior a $500,000)</w:t>
      </w:r>
    </w:p>
    <w:p w:rsidR="00D933A1" w:rsidRDefault="00D933A1" w:rsidP="00450C33">
      <w:pPr>
        <w:numPr>
          <w:ilvl w:val="0"/>
          <w:numId w:val="7"/>
        </w:numPr>
        <w:spacing w:before="100" w:beforeAutospacing="1" w:after="100" w:afterAutospacing="1"/>
      </w:pPr>
      <w:r>
        <w:t>Contratos celebrados en los últimos 12 meses</w:t>
      </w:r>
    </w:p>
    <w:p w:rsidR="00D933A1" w:rsidRDefault="00D933A1" w:rsidP="00450C33">
      <w:pPr>
        <w:numPr>
          <w:ilvl w:val="0"/>
          <w:numId w:val="7"/>
        </w:numPr>
        <w:spacing w:before="100" w:beforeAutospacing="1" w:after="100" w:afterAutospacing="1"/>
      </w:pPr>
      <w:r>
        <w:t>Contratos próximos a vencer (90 días)</w:t>
      </w:r>
    </w:p>
    <w:p w:rsidR="00D933A1" w:rsidRDefault="00D933A1" w:rsidP="00450C33">
      <w:pPr>
        <w:numPr>
          <w:ilvl w:val="0"/>
          <w:numId w:val="7"/>
        </w:numPr>
        <w:spacing w:before="100" w:beforeAutospacing="1" w:after="100" w:afterAutospacing="1"/>
      </w:pPr>
      <w:r>
        <w:t>Contratos con reclamaciones o disputas activas</w:t>
      </w:r>
    </w:p>
    <w:p w:rsidR="00D933A1" w:rsidRDefault="00D933A1" w:rsidP="00450C33">
      <w:pPr>
        <w:numPr>
          <w:ilvl w:val="0"/>
          <w:numId w:val="7"/>
        </w:numPr>
        <w:spacing w:before="100" w:beforeAutospacing="1" w:after="100" w:afterAutospacing="1"/>
      </w:pPr>
      <w:r>
        <w:t>Muestra aleatoria de contratos menores</w:t>
      </w:r>
    </w:p>
    <w:p w:rsidR="0007171D" w:rsidRDefault="0007171D" w:rsidP="0007171D">
      <w:pPr>
        <w:spacing w:before="100" w:beforeAutospacing="1" w:after="100" w:afterAutospacing="1"/>
      </w:pPr>
    </w:p>
    <w:p w:rsidR="0007171D" w:rsidRDefault="0007171D" w:rsidP="0007171D">
      <w:pPr>
        <w:spacing w:before="100" w:beforeAutospacing="1" w:after="100" w:afterAutospacing="1"/>
      </w:pPr>
    </w:p>
    <w:p w:rsidR="00D933A1" w:rsidRDefault="00D933A1" w:rsidP="00D933A1">
      <w:pPr>
        <w:pStyle w:val="Ttulo3"/>
      </w:pPr>
      <w:r>
        <w:lastRenderedPageBreak/>
        <w:t>2.2 Resumen de la muestra</w:t>
      </w:r>
    </w:p>
    <w:tbl>
      <w:tblPr>
        <w:tblW w:w="7373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2404"/>
        <w:gridCol w:w="1344"/>
        <w:gridCol w:w="1062"/>
      </w:tblGrid>
      <w:tr w:rsidR="00D933A1" w:rsidTr="00DC413F">
        <w:trPr>
          <w:trHeight w:val="26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contrato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población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Muestra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</w:tr>
      <w:tr w:rsidR="00D933A1" w:rsidTr="00DC413F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Comerciales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145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15.2%</w:t>
            </w:r>
          </w:p>
        </w:tc>
      </w:tr>
      <w:tr w:rsidR="00D933A1" w:rsidTr="00DC413F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Laborales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87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14.9%</w:t>
            </w:r>
          </w:p>
        </w:tc>
      </w:tr>
      <w:tr w:rsidR="00D933A1" w:rsidTr="00DC413F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Servicios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213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15.0%</w:t>
            </w:r>
          </w:p>
        </w:tc>
      </w:tr>
      <w:tr w:rsidR="00D933A1" w:rsidTr="00DC413F">
        <w:trPr>
          <w:trHeight w:val="251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Arrendamiento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28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25.0%</w:t>
            </w:r>
          </w:p>
        </w:tc>
      </w:tr>
      <w:tr w:rsidR="00D933A1" w:rsidTr="00DC413F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Confidencialidad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175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26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14.9%</w:t>
            </w:r>
          </w:p>
        </w:tc>
      </w:tr>
      <w:tr w:rsidR="00D933A1" w:rsidTr="00DC413F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Licenciamiento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42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21.4%</w:t>
            </w:r>
          </w:p>
        </w:tc>
      </w:tr>
      <w:tr w:rsidR="00D933A1" w:rsidTr="00DC413F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690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15.8%</w:t>
            </w:r>
          </w:p>
        </w:tc>
      </w:tr>
    </w:tbl>
    <w:p w:rsidR="009666E8" w:rsidRDefault="009666E8" w:rsidP="00D933A1">
      <w:pPr>
        <w:pStyle w:val="Ttulo3"/>
      </w:pPr>
    </w:p>
    <w:p w:rsidR="00D933A1" w:rsidRDefault="00D933A1" w:rsidP="00D933A1">
      <w:pPr>
        <w:pStyle w:val="Ttulo3"/>
      </w:pPr>
      <w:r>
        <w:t>2.3 Detalle de contratos revisados con hallazgos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1670"/>
        <w:gridCol w:w="1427"/>
        <w:gridCol w:w="1133"/>
        <w:gridCol w:w="1325"/>
        <w:gridCol w:w="1344"/>
        <w:gridCol w:w="1430"/>
      </w:tblGrid>
      <w:tr w:rsidR="00D933A1" w:rsidTr="009666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Ref.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Contraparte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firma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Vencimiento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Hallazgos</w:t>
            </w:r>
          </w:p>
        </w:tc>
      </w:tr>
      <w:tr w:rsidR="00D933A1" w:rsidTr="00966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C-001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Comercial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Distribuidora González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15/01/2025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14/01/2026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$1,250,000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Cláusula de exclusividad ambigua; sin firma del representante legal</w:t>
            </w:r>
          </w:p>
        </w:tc>
      </w:tr>
      <w:tr w:rsidR="00D933A1" w:rsidTr="00966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C-005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Comercial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Industrias del Norte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03/02/2025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02/02/2027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$876,000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Sin cláusula de protección de datos personales</w:t>
            </w:r>
          </w:p>
        </w:tc>
      </w:tr>
      <w:tr w:rsidR="00D933A1" w:rsidTr="00966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C-012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Servicios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Consultora Técnica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21/03/2025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20/09/2025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$430,000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Próximo a vencer sin plan de renovación documentado</w:t>
            </w:r>
          </w:p>
        </w:tc>
      </w:tr>
      <w:tr w:rsidR="00D933A1" w:rsidTr="00966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C-017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Arrendamiento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Inmobiliaria Central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01/01/2022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31/12/2025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$750,000/año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Sin registro en sistema de alertas para renovación</w:t>
            </w:r>
          </w:p>
        </w:tc>
      </w:tr>
      <w:tr w:rsidR="00D933A1" w:rsidTr="00966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C-024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Laboral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Jorge Ramírez (Dirección)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01/04/2023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Indefinido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$185,000/año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Diferencias con política de compensación actualizada</w:t>
            </w:r>
          </w:p>
        </w:tc>
      </w:tr>
      <w:tr w:rsidR="00D933A1" w:rsidTr="00966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lastRenderedPageBreak/>
              <w:t>C-036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Confidencialidad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Desarrollo Tecnológico SA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15/06/2024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14/06/2026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N/A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Sin inventario adjunto de información compartida</w:t>
            </w:r>
          </w:p>
        </w:tc>
      </w:tr>
      <w:tr w:rsidR="00D933A1" w:rsidTr="00966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C-041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Licenciamiento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 xml:space="preserve">Software </w:t>
            </w:r>
            <w:proofErr w:type="spellStart"/>
            <w:r>
              <w:t>Solutions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01/08/2024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31/07/2025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$320,000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Sin plan de contingencia por término de licencia</w:t>
            </w:r>
          </w:p>
        </w:tc>
      </w:tr>
      <w:tr w:rsidR="00D933A1" w:rsidTr="00966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C-058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Servicios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Seguridad Integral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12/12/2024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11/12/2025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$295,000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Indicadores de desempeño no definidos</w:t>
            </w:r>
          </w:p>
        </w:tc>
      </w:tr>
      <w:tr w:rsidR="00D933A1" w:rsidTr="00966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C-073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Comercial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Exportadora Pacífico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28/02/2025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27/02/2026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$1,840,000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Sin aprobación documentada del Comité de Dirección</w:t>
            </w:r>
          </w:p>
        </w:tc>
      </w:tr>
      <w:tr w:rsidR="00D933A1" w:rsidTr="00966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C-095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Confidencialidad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Investigadores Asociados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11/04/2024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10/04/2026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N/A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Sin firmas de todos los investigadores involucrados</w:t>
            </w:r>
          </w:p>
        </w:tc>
      </w:tr>
    </w:tbl>
    <w:p w:rsidR="00D933A1" w:rsidRDefault="00D933A1" w:rsidP="00D933A1">
      <w:pPr>
        <w:pStyle w:val="whitespace-normal"/>
      </w:pPr>
      <w:r>
        <w:rPr>
          <w:rStyle w:val="Textoennegrita"/>
        </w:rPr>
        <w:t>Nota:</w:t>
      </w:r>
      <w:r>
        <w:t xml:space="preserve"> La lista completa de contratos revisados se encuentra en el archivo "Muestra_Contratos_2025.xlsx" disponible en la carpeta compartida.</w:t>
      </w:r>
    </w:p>
    <w:p w:rsidR="00D933A1" w:rsidRDefault="00D933A1" w:rsidP="00D933A1"/>
    <w:p w:rsidR="00BE3F42" w:rsidRDefault="00BE3F42" w:rsidP="00D933A1"/>
    <w:p w:rsidR="00BE3F42" w:rsidRDefault="00BE3F42" w:rsidP="00D933A1"/>
    <w:p w:rsidR="00BE3F42" w:rsidRDefault="00BE3F42" w:rsidP="00D933A1"/>
    <w:p w:rsidR="00BE3F42" w:rsidRDefault="00BE3F42" w:rsidP="00D933A1"/>
    <w:p w:rsidR="00BE3F42" w:rsidRDefault="00BE3F42" w:rsidP="00D933A1"/>
    <w:p w:rsidR="00BE3F42" w:rsidRDefault="00BE3F42" w:rsidP="00D933A1"/>
    <w:p w:rsidR="00BE3F42" w:rsidRDefault="00BE3F42" w:rsidP="00D933A1"/>
    <w:p w:rsidR="00BE3F42" w:rsidRDefault="00BE3F42" w:rsidP="00D933A1"/>
    <w:p w:rsidR="00BE3F42" w:rsidRDefault="00BE3F42" w:rsidP="00D933A1"/>
    <w:p w:rsidR="00BE3F42" w:rsidRDefault="00BE3F42" w:rsidP="00D933A1"/>
    <w:p w:rsidR="00BE3F42" w:rsidRDefault="00BE3F42" w:rsidP="00D933A1"/>
    <w:p w:rsidR="00BE3F42" w:rsidRDefault="00BE3F42" w:rsidP="00D933A1"/>
    <w:p w:rsidR="00D933A1" w:rsidRPr="003360FA" w:rsidRDefault="00D933A1" w:rsidP="00D933A1">
      <w:pPr>
        <w:pStyle w:val="Ttulo2"/>
        <w:rPr>
          <w:b/>
        </w:rPr>
      </w:pPr>
      <w:r w:rsidRPr="003360FA">
        <w:rPr>
          <w:b/>
        </w:rPr>
        <w:lastRenderedPageBreak/>
        <w:t>ANEXO 3: EVIDENCIA DE PRUEBAS DE CONTROLES</w:t>
      </w:r>
    </w:p>
    <w:p w:rsidR="00D933A1" w:rsidRDefault="00D933A1" w:rsidP="00D933A1">
      <w:pPr>
        <w:pStyle w:val="Ttulo3"/>
      </w:pPr>
      <w:r>
        <w:t>3.1 Resumen de pruebas realizadas</w:t>
      </w:r>
    </w:p>
    <w:tbl>
      <w:tblPr>
        <w:tblW w:w="0" w:type="auto"/>
        <w:tblCellSpacing w:w="15" w:type="dxa"/>
        <w:tblInd w:w="-57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1548"/>
        <w:gridCol w:w="1551"/>
        <w:gridCol w:w="1557"/>
        <w:gridCol w:w="1530"/>
        <w:gridCol w:w="1168"/>
        <w:gridCol w:w="1209"/>
      </w:tblGrid>
      <w:tr w:rsidR="00D933A1" w:rsidTr="00426C76">
        <w:trPr>
          <w:tblHeader/>
          <w:tblCellSpacing w:w="15" w:type="dxa"/>
        </w:trPr>
        <w:tc>
          <w:tcPr>
            <w:tcW w:w="792" w:type="dxa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Ref.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evaluado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Frecuencia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Método de prueba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Muestra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</w:tr>
      <w:tr w:rsidR="00D933A1" w:rsidTr="00426C76">
        <w:trPr>
          <w:tblCellSpacing w:w="15" w:type="dxa"/>
        </w:trPr>
        <w:tc>
          <w:tcPr>
            <w:tcW w:w="792" w:type="dxa"/>
            <w:vAlign w:val="center"/>
            <w:hideMark/>
          </w:tcPr>
          <w:p w:rsidR="00D933A1" w:rsidRDefault="00D933A1">
            <w:r>
              <w:t>PC-001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Revisión por 2 abogados antes de firma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Coord. Contratos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Cada contrato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Revisión documental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25 contratos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18/25 conformes (72%)</w:t>
            </w:r>
          </w:p>
        </w:tc>
      </w:tr>
      <w:tr w:rsidR="00D933A1" w:rsidTr="00426C76">
        <w:trPr>
          <w:tblCellSpacing w:w="15" w:type="dxa"/>
        </w:trPr>
        <w:tc>
          <w:tcPr>
            <w:tcW w:w="792" w:type="dxa"/>
            <w:vAlign w:val="center"/>
            <w:hideMark/>
          </w:tcPr>
          <w:p w:rsidR="00D933A1" w:rsidRDefault="00D933A1">
            <w:r>
              <w:t>PC-002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Comité de revisión semanal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Director Legal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Semanal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Revisión actas + Observación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8 sesiones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8/8 conformes (100%)</w:t>
            </w:r>
          </w:p>
        </w:tc>
      </w:tr>
      <w:tr w:rsidR="00D933A1" w:rsidTr="00426C76">
        <w:trPr>
          <w:tblCellSpacing w:w="15" w:type="dxa"/>
        </w:trPr>
        <w:tc>
          <w:tcPr>
            <w:tcW w:w="792" w:type="dxa"/>
            <w:vAlign w:val="center"/>
            <w:hideMark/>
          </w:tcPr>
          <w:p w:rsidR="00D933A1" w:rsidRDefault="00D933A1">
            <w:r>
              <w:t>PC-003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Sistema de alertas automatizado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Coord. Contratos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Diario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Prueba de sistema + Revisión alertas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30 contratos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16/30 conformes (53%)</w:t>
            </w:r>
          </w:p>
        </w:tc>
      </w:tr>
      <w:tr w:rsidR="00D933A1" w:rsidTr="00426C76">
        <w:trPr>
          <w:tblCellSpacing w:w="15" w:type="dxa"/>
        </w:trPr>
        <w:tc>
          <w:tcPr>
            <w:tcW w:w="792" w:type="dxa"/>
            <w:vAlign w:val="center"/>
            <w:hideMark/>
          </w:tcPr>
          <w:p w:rsidR="00D933A1" w:rsidRDefault="00D933A1">
            <w:r>
              <w:t>PC-004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Protocolo de respuesta a demandas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Coord. Litigios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Cada demanda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Revisión documental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12 casos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9/12 conformes (75%)</w:t>
            </w:r>
          </w:p>
        </w:tc>
      </w:tr>
      <w:tr w:rsidR="00D933A1" w:rsidTr="00426C76">
        <w:trPr>
          <w:tblCellSpacing w:w="15" w:type="dxa"/>
        </w:trPr>
        <w:tc>
          <w:tcPr>
            <w:tcW w:w="792" w:type="dxa"/>
            <w:vAlign w:val="center"/>
            <w:hideMark/>
          </w:tcPr>
          <w:p w:rsidR="00D933A1" w:rsidRDefault="00D933A1">
            <w:r>
              <w:t>PC-005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Asesoría externa especializada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Coord. Litigios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Según necesidad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Revisión documental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5 casos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5/5 conformes (100%)</w:t>
            </w:r>
          </w:p>
        </w:tc>
      </w:tr>
      <w:tr w:rsidR="00D933A1" w:rsidTr="00426C76">
        <w:trPr>
          <w:tblCellSpacing w:w="15" w:type="dxa"/>
        </w:trPr>
        <w:tc>
          <w:tcPr>
            <w:tcW w:w="792" w:type="dxa"/>
            <w:vAlign w:val="center"/>
            <w:hideMark/>
          </w:tcPr>
          <w:p w:rsidR="00D933A1" w:rsidRDefault="00D933A1">
            <w:r>
              <w:t>PC-006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Calendario judicial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Coord. Litigios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Diario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Revisión sistema + Muestreo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15 plazos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11/15 conformes (73%)</w:t>
            </w:r>
          </w:p>
        </w:tc>
      </w:tr>
      <w:tr w:rsidR="00D933A1" w:rsidTr="00426C76">
        <w:trPr>
          <w:tblCellSpacing w:w="15" w:type="dxa"/>
        </w:trPr>
        <w:tc>
          <w:tcPr>
            <w:tcW w:w="792" w:type="dxa"/>
            <w:vAlign w:val="center"/>
            <w:hideMark/>
          </w:tcPr>
          <w:p w:rsidR="00D933A1" w:rsidRDefault="00D933A1">
            <w:r>
              <w:t>PC-007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Servicios de actualización legal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Especialista Cumplimiento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Diario/semanal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Revisión suscripciones + Muestreo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10 normativas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7/10 conformes (70%)</w:t>
            </w:r>
          </w:p>
        </w:tc>
      </w:tr>
      <w:tr w:rsidR="00D933A1" w:rsidTr="00426C76">
        <w:trPr>
          <w:tblCellSpacing w:w="15" w:type="dxa"/>
        </w:trPr>
        <w:tc>
          <w:tcPr>
            <w:tcW w:w="792" w:type="dxa"/>
            <w:vAlign w:val="center"/>
            <w:hideMark/>
          </w:tcPr>
          <w:p w:rsidR="00D933A1" w:rsidRDefault="00D933A1">
            <w:r>
              <w:t>PC-008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Calendarios regulatorios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Especialista Cumplimiento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Mensual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Revisión documental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8 reportes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5/8 conformes (63%)</w:t>
            </w:r>
          </w:p>
        </w:tc>
      </w:tr>
    </w:tbl>
    <w:p w:rsidR="00C14C88" w:rsidRDefault="00C14C88" w:rsidP="00D933A1">
      <w:pPr>
        <w:pStyle w:val="Ttulo3"/>
      </w:pPr>
    </w:p>
    <w:p w:rsidR="00C14C88" w:rsidRDefault="00C14C88" w:rsidP="00D933A1">
      <w:pPr>
        <w:pStyle w:val="Ttulo3"/>
      </w:pPr>
    </w:p>
    <w:p w:rsidR="00C14C88" w:rsidRDefault="00C14C88" w:rsidP="00D933A1">
      <w:pPr>
        <w:pStyle w:val="Ttulo3"/>
      </w:pPr>
    </w:p>
    <w:p w:rsidR="008A19D5" w:rsidRDefault="008A19D5" w:rsidP="00D933A1">
      <w:pPr>
        <w:pStyle w:val="Ttulo3"/>
      </w:pPr>
    </w:p>
    <w:p w:rsidR="008A19D5" w:rsidRDefault="008A19D5" w:rsidP="00D933A1">
      <w:pPr>
        <w:pStyle w:val="Ttulo3"/>
      </w:pPr>
    </w:p>
    <w:p w:rsidR="00C14C88" w:rsidRDefault="00C14C88" w:rsidP="00D933A1">
      <w:pPr>
        <w:pStyle w:val="Ttulo3"/>
      </w:pPr>
    </w:p>
    <w:p w:rsidR="00D933A1" w:rsidRDefault="00D933A1" w:rsidP="00D933A1">
      <w:pPr>
        <w:pStyle w:val="Ttulo3"/>
      </w:pPr>
      <w:r>
        <w:lastRenderedPageBreak/>
        <w:t>3.2 Detalle de no conformidades significativas</w:t>
      </w:r>
    </w:p>
    <w:tbl>
      <w:tblPr>
        <w:tblW w:w="0" w:type="auto"/>
        <w:tblCellSpacing w:w="15" w:type="dxa"/>
        <w:tblInd w:w="-43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448"/>
        <w:gridCol w:w="1638"/>
        <w:gridCol w:w="1790"/>
        <w:gridCol w:w="1530"/>
        <w:gridCol w:w="1890"/>
      </w:tblGrid>
      <w:tr w:rsidR="00D933A1" w:rsidTr="00264629">
        <w:trPr>
          <w:tblHeader/>
          <w:tblCellSpacing w:w="15" w:type="dxa"/>
        </w:trPr>
        <w:tc>
          <w:tcPr>
            <w:tcW w:w="919" w:type="dxa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Ref.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Hallazgo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Evidencia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Recomendación</w:t>
            </w:r>
          </w:p>
        </w:tc>
      </w:tr>
      <w:tr w:rsidR="00D933A1" w:rsidTr="00264629">
        <w:trPr>
          <w:tblCellSpacing w:w="15" w:type="dxa"/>
        </w:trPr>
        <w:tc>
          <w:tcPr>
            <w:tcW w:w="919" w:type="dxa"/>
            <w:vAlign w:val="center"/>
            <w:hideMark/>
          </w:tcPr>
          <w:p w:rsidR="00D933A1" w:rsidRDefault="00D933A1">
            <w:r>
              <w:t>PC-003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Sistema alertas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47% de contratos sin alertas configuradas o con fechas erróneas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Capturas de pantalla sistema, entrevistas usuarios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Alto - Riesgo de vencimientos inadvertidos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Revisar integridad BD y reconfigurar sistema</w:t>
            </w:r>
          </w:p>
        </w:tc>
      </w:tr>
      <w:tr w:rsidR="00D933A1" w:rsidTr="00264629">
        <w:trPr>
          <w:tblCellSpacing w:w="15" w:type="dxa"/>
        </w:trPr>
        <w:tc>
          <w:tcPr>
            <w:tcW w:w="919" w:type="dxa"/>
            <w:vAlign w:val="center"/>
            <w:hideMark/>
          </w:tcPr>
          <w:p w:rsidR="00D933A1" w:rsidRDefault="00D933A1">
            <w:r>
              <w:t>PC-008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Calendarios regulatorios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 reportes regulatorios presentados fuera de plazo (Ene-</w:t>
            </w:r>
            <w:proofErr w:type="spellStart"/>
            <w:r>
              <w:t>May</w:t>
            </w:r>
            <w:proofErr w:type="spellEnd"/>
            <w: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Documentación de presentaciones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Alto - Sanciones potenciales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Implementar doble control y alertas tempranas</w:t>
            </w:r>
          </w:p>
        </w:tc>
      </w:tr>
      <w:tr w:rsidR="00D933A1" w:rsidTr="00264629">
        <w:trPr>
          <w:tblCellSpacing w:w="15" w:type="dxa"/>
        </w:trPr>
        <w:tc>
          <w:tcPr>
            <w:tcW w:w="919" w:type="dxa"/>
            <w:vAlign w:val="center"/>
            <w:hideMark/>
          </w:tcPr>
          <w:p w:rsidR="00D933A1" w:rsidRDefault="00D933A1">
            <w:r>
              <w:t>PC-014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Participación comité proyectos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 proyectos estratégicos sin participación legal desde fase inicial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Actas de comité, cronogramas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Alto - Exposición legal no evaluada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Protocolo obligatorio de participación legal</w:t>
            </w:r>
          </w:p>
        </w:tc>
      </w:tr>
    </w:tbl>
    <w:p w:rsidR="00D933A1" w:rsidRDefault="00D933A1" w:rsidP="00D933A1">
      <w:pPr>
        <w:pStyle w:val="whitespace-normal"/>
      </w:pPr>
      <w:r>
        <w:rPr>
          <w:rStyle w:val="Textoennegrita"/>
        </w:rPr>
        <w:t>Nota:</w:t>
      </w:r>
      <w:r>
        <w:t xml:space="preserve"> Las evidencias detalladas de cada prueba realizada (capturas de pantalla, documentos revisados, cuestionarios) se encuentran disponibles en la carpeta compartida "Auditoría Legal 2025/Pruebas de Controles".</w:t>
      </w:r>
    </w:p>
    <w:p w:rsidR="00D933A1" w:rsidRDefault="00D933A1" w:rsidP="00D933A1"/>
    <w:p w:rsidR="00E1531B" w:rsidRDefault="00E1531B" w:rsidP="00D933A1"/>
    <w:p w:rsidR="00D933A1" w:rsidRPr="00894287" w:rsidRDefault="00D933A1" w:rsidP="00D933A1">
      <w:pPr>
        <w:pStyle w:val="Ttulo2"/>
        <w:rPr>
          <w:b/>
        </w:rPr>
      </w:pPr>
      <w:r w:rsidRPr="00894287">
        <w:rPr>
          <w:b/>
        </w:rPr>
        <w:t>ANEXO 4: ESTADÍSTICAS DE LITIGIOS 2024-2025</w:t>
      </w:r>
    </w:p>
    <w:p w:rsidR="00D933A1" w:rsidRDefault="00D933A1" w:rsidP="00D933A1">
      <w:pPr>
        <w:pStyle w:val="Ttulo3"/>
      </w:pPr>
      <w:r>
        <w:t>4.1 Volumen de litigios por tipo</w:t>
      </w:r>
    </w:p>
    <w:tbl>
      <w:tblPr>
        <w:tblW w:w="8233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702"/>
        <w:gridCol w:w="1624"/>
        <w:gridCol w:w="1760"/>
        <w:gridCol w:w="1461"/>
      </w:tblGrid>
      <w:tr w:rsidR="00D933A1" w:rsidTr="00BF03DF">
        <w:trPr>
          <w:trHeight w:val="27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litigio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2025 (YTD)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Variación 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Tendencia</w:t>
            </w:r>
          </w:p>
        </w:tc>
      </w:tr>
      <w:tr w:rsidR="00D933A1" w:rsidTr="00BF03DF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Laborales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21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+31.3%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↑</w:t>
            </w:r>
          </w:p>
        </w:tc>
      </w:tr>
      <w:tr w:rsidR="00D933A1" w:rsidTr="00BF03DF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Comerciales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-11.1%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↓</w:t>
            </w:r>
          </w:p>
        </w:tc>
      </w:tr>
      <w:tr w:rsidR="00D933A1" w:rsidTr="00BF03DF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Administrativos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+42.9%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↑</w:t>
            </w:r>
          </w:p>
        </w:tc>
      </w:tr>
      <w:tr w:rsidR="00D933A1" w:rsidTr="00BF03DF">
        <w:trPr>
          <w:trHeight w:val="258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Propiedad intelectual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+33.3%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↑</w:t>
            </w:r>
          </w:p>
        </w:tc>
      </w:tr>
      <w:tr w:rsidR="00D933A1" w:rsidTr="00BF03DF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Fiscales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→</w:t>
            </w:r>
          </w:p>
        </w:tc>
      </w:tr>
      <w:tr w:rsidR="00D933A1" w:rsidTr="00BF03DF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Otros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→</w:t>
            </w:r>
          </w:p>
        </w:tc>
      </w:tr>
      <w:tr w:rsidR="00D933A1" w:rsidTr="00BF03DF">
        <w:trPr>
          <w:trHeight w:val="274"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+18.2%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↑</w:t>
            </w:r>
          </w:p>
        </w:tc>
      </w:tr>
    </w:tbl>
    <w:p w:rsidR="00E1531B" w:rsidRDefault="00E1531B" w:rsidP="00D933A1">
      <w:pPr>
        <w:pStyle w:val="Ttulo3"/>
      </w:pPr>
    </w:p>
    <w:p w:rsidR="00D933A1" w:rsidRDefault="00D933A1" w:rsidP="00D933A1">
      <w:pPr>
        <w:pStyle w:val="Ttulo3"/>
      </w:pPr>
      <w:r>
        <w:lastRenderedPageBreak/>
        <w:t>4.2 Estado actual de litigios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5"/>
        <w:gridCol w:w="1041"/>
        <w:gridCol w:w="1104"/>
        <w:gridCol w:w="2678"/>
      </w:tblGrid>
      <w:tr w:rsidR="00D933A1" w:rsidTr="001846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del total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estimado de exposición</w:t>
            </w:r>
          </w:p>
        </w:tc>
      </w:tr>
      <w:tr w:rsidR="00D933A1" w:rsidTr="00184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En proceso sin resolución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45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42.9%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$3,850,000</w:t>
            </w:r>
          </w:p>
        </w:tc>
      </w:tr>
      <w:tr w:rsidR="00D933A1" w:rsidTr="00184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Con sentencia favorable en primera instancia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11.4%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N/A</w:t>
            </w:r>
          </w:p>
        </w:tc>
      </w:tr>
      <w:tr w:rsidR="00D933A1" w:rsidTr="00184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Con sentencia desfavorable en primera instancia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7.6%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$1,240,000</w:t>
            </w:r>
          </w:p>
        </w:tc>
      </w:tr>
      <w:tr w:rsidR="00D933A1" w:rsidTr="00184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En proceso de apelación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18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17.1%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$2,750,000</w:t>
            </w:r>
          </w:p>
        </w:tc>
      </w:tr>
      <w:tr w:rsidR="00D933A1" w:rsidTr="00184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En ejecución de sentencia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6.7%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$450,000</w:t>
            </w:r>
          </w:p>
        </w:tc>
      </w:tr>
      <w:tr w:rsidR="00D933A1" w:rsidTr="00184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En negociación para acuerdo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14.3%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$870,000</w:t>
            </w:r>
          </w:p>
        </w:tc>
      </w:tr>
      <w:tr w:rsidR="00D933A1" w:rsidTr="00184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$9,160,000</w:t>
            </w:r>
          </w:p>
        </w:tc>
      </w:tr>
    </w:tbl>
    <w:p w:rsidR="00F70924" w:rsidRDefault="00F70924" w:rsidP="00D933A1">
      <w:pPr>
        <w:pStyle w:val="Ttulo3"/>
      </w:pPr>
    </w:p>
    <w:p w:rsidR="00D933A1" w:rsidRDefault="00D933A1" w:rsidP="00D933A1">
      <w:pPr>
        <w:pStyle w:val="Ttulo3"/>
      </w:pPr>
      <w:r>
        <w:t>4.3 Análisis financiero de litigios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1160"/>
        <w:gridCol w:w="1913"/>
        <w:gridCol w:w="1409"/>
      </w:tblGrid>
      <w:tr w:rsidR="00D933A1" w:rsidTr="001F7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2025 (Proyección)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Variación %</w:t>
            </w:r>
          </w:p>
        </w:tc>
      </w:tr>
      <w:tr w:rsidR="00D933A1" w:rsidTr="001F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Provisión contable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$2,500,000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$3,200,000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+28.0%</w:t>
            </w:r>
          </w:p>
        </w:tc>
      </w:tr>
      <w:tr w:rsidR="00D933A1" w:rsidTr="001F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Gasto real en litigios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$1,875,000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$2,400,000 (</w:t>
            </w:r>
            <w:proofErr w:type="spellStart"/>
            <w:r>
              <w:t>est</w:t>
            </w:r>
            <w:proofErr w:type="spellEnd"/>
            <w:r>
              <w:t>.)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+28.0%</w:t>
            </w:r>
          </w:p>
        </w:tc>
      </w:tr>
      <w:tr w:rsidR="00D933A1" w:rsidTr="001F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Recuperaciones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$320,000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$150,000 (YTD)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N/A</w:t>
            </w:r>
          </w:p>
        </w:tc>
      </w:tr>
      <w:tr w:rsidR="00D933A1" w:rsidTr="001F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Honorarios externos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$780,000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$560,000 (YTD)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N/A</w:t>
            </w:r>
          </w:p>
        </w:tc>
      </w:tr>
      <w:tr w:rsidR="00D933A1" w:rsidTr="001F71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Costo departamento litigios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$650,000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$720,000$*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+10.8%</w:t>
            </w:r>
          </w:p>
        </w:tc>
      </w:tr>
    </w:tbl>
    <w:p w:rsidR="00D933A1" w:rsidRDefault="00D933A1" w:rsidP="00D933A1">
      <w:pPr>
        <w:pStyle w:val="whitespace-normal"/>
      </w:pPr>
      <w:r>
        <w:t>*Proyección anual</w:t>
      </w:r>
    </w:p>
    <w:p w:rsidR="001F71CA" w:rsidRDefault="001F71CA" w:rsidP="00D933A1">
      <w:pPr>
        <w:pStyle w:val="Ttulo3"/>
      </w:pPr>
    </w:p>
    <w:p w:rsidR="00D933A1" w:rsidRDefault="00D933A1" w:rsidP="00D933A1">
      <w:pPr>
        <w:pStyle w:val="Ttulo3"/>
      </w:pPr>
      <w:r>
        <w:t>4.4 Indicadores de desempeño en litigios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  <w:gridCol w:w="580"/>
        <w:gridCol w:w="1287"/>
        <w:gridCol w:w="716"/>
        <w:gridCol w:w="1155"/>
      </w:tblGrid>
      <w:tr w:rsidR="00D933A1" w:rsidTr="008877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Indicador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2025 (YTD)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D933A1" w:rsidTr="008877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% casos resueltos favorablemente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68%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71%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&gt;70%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Cumple</w:t>
            </w:r>
          </w:p>
        </w:tc>
      </w:tr>
      <w:tr w:rsidR="00D933A1" w:rsidTr="008877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Tiempo promedio resolución (meses)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8.5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7.2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&lt;8.0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Cumple</w:t>
            </w:r>
          </w:p>
        </w:tc>
      </w:tr>
      <w:tr w:rsidR="00D933A1" w:rsidTr="008877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% de casos con provisión adecuada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82%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85%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&gt;90%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No cumple</w:t>
            </w:r>
          </w:p>
        </w:tc>
      </w:tr>
      <w:tr w:rsidR="00D933A1" w:rsidTr="008877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% de plazos procesales cumplidos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94%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92%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&gt;95%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No cumple</w:t>
            </w:r>
          </w:p>
        </w:tc>
      </w:tr>
      <w:tr w:rsidR="00D933A1" w:rsidTr="008877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Costo externo / valor en disputa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6.5%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5.8%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&lt;6.0%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Cumple</w:t>
            </w:r>
          </w:p>
        </w:tc>
      </w:tr>
    </w:tbl>
    <w:p w:rsidR="003074E3" w:rsidRDefault="003074E3" w:rsidP="00D933A1">
      <w:pPr>
        <w:pStyle w:val="Ttulo3"/>
      </w:pPr>
    </w:p>
    <w:p w:rsidR="00D933A1" w:rsidRDefault="00D933A1" w:rsidP="00D933A1">
      <w:pPr>
        <w:pStyle w:val="Ttulo3"/>
      </w:pPr>
      <w:r>
        <w:lastRenderedPageBreak/>
        <w:t>4.5 Litigios de alto impacto (Top 5)</w:t>
      </w:r>
    </w:p>
    <w:tbl>
      <w:tblPr>
        <w:tblW w:w="0" w:type="auto"/>
        <w:tblCellSpacing w:w="15" w:type="dxa"/>
        <w:tblInd w:w="-57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42"/>
        <w:gridCol w:w="2196"/>
        <w:gridCol w:w="966"/>
        <w:gridCol w:w="1062"/>
        <w:gridCol w:w="987"/>
        <w:gridCol w:w="1171"/>
        <w:gridCol w:w="1325"/>
      </w:tblGrid>
      <w:tr w:rsidR="00237276" w:rsidTr="00237276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Ref.</w:t>
            </w:r>
          </w:p>
        </w:tc>
        <w:tc>
          <w:tcPr>
            <w:tcW w:w="812" w:type="dxa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2166" w:type="dxa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Demandante/Demandado</w:t>
            </w:r>
          </w:p>
        </w:tc>
        <w:tc>
          <w:tcPr>
            <w:tcW w:w="936" w:type="dxa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inicio</w:t>
            </w:r>
          </w:p>
        </w:tc>
        <w:tc>
          <w:tcPr>
            <w:tcW w:w="1032" w:type="dxa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957" w:type="dxa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Exposición</w:t>
            </w:r>
          </w:p>
        </w:tc>
        <w:tc>
          <w:tcPr>
            <w:tcW w:w="1141" w:type="dxa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</w:t>
            </w:r>
          </w:p>
        </w:tc>
        <w:tc>
          <w:tcPr>
            <w:tcW w:w="1280" w:type="dxa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237276" w:rsidTr="00237276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933A1" w:rsidRDefault="00D933A1">
            <w:r>
              <w:t>L-026</w:t>
            </w:r>
          </w:p>
        </w:tc>
        <w:tc>
          <w:tcPr>
            <w:tcW w:w="812" w:type="dxa"/>
            <w:vAlign w:val="center"/>
            <w:hideMark/>
          </w:tcPr>
          <w:p w:rsidR="00D933A1" w:rsidRDefault="00D933A1">
            <w:r>
              <w:t>Comercial</w:t>
            </w:r>
          </w:p>
        </w:tc>
        <w:tc>
          <w:tcPr>
            <w:tcW w:w="2166" w:type="dxa"/>
            <w:vAlign w:val="center"/>
            <w:hideMark/>
          </w:tcPr>
          <w:p w:rsidR="00D933A1" w:rsidRDefault="00D933A1">
            <w:r>
              <w:t>Proveedores Unidos SA</w:t>
            </w:r>
          </w:p>
        </w:tc>
        <w:tc>
          <w:tcPr>
            <w:tcW w:w="936" w:type="dxa"/>
            <w:vAlign w:val="center"/>
            <w:hideMark/>
          </w:tcPr>
          <w:p w:rsidR="00D933A1" w:rsidRDefault="00D933A1">
            <w:r>
              <w:t>12/08/2024</w:t>
            </w:r>
          </w:p>
        </w:tc>
        <w:tc>
          <w:tcPr>
            <w:tcW w:w="1032" w:type="dxa"/>
            <w:vAlign w:val="center"/>
            <w:hideMark/>
          </w:tcPr>
          <w:p w:rsidR="00D933A1" w:rsidRDefault="00D933A1">
            <w:r>
              <w:t>Apelación</w:t>
            </w:r>
          </w:p>
        </w:tc>
        <w:tc>
          <w:tcPr>
            <w:tcW w:w="957" w:type="dxa"/>
            <w:vAlign w:val="center"/>
            <w:hideMark/>
          </w:tcPr>
          <w:p w:rsidR="00D933A1" w:rsidRDefault="00D933A1">
            <w:r>
              <w:t>$1,250,000</w:t>
            </w:r>
          </w:p>
        </w:tc>
        <w:tc>
          <w:tcPr>
            <w:tcW w:w="1141" w:type="dxa"/>
            <w:vAlign w:val="center"/>
            <w:hideMark/>
          </w:tcPr>
          <w:p w:rsidR="00D933A1" w:rsidRDefault="00D933A1">
            <w:r>
              <w:t>Alta</w:t>
            </w:r>
          </w:p>
        </w:tc>
        <w:tc>
          <w:tcPr>
            <w:tcW w:w="1280" w:type="dxa"/>
            <w:vAlign w:val="center"/>
            <w:hideMark/>
          </w:tcPr>
          <w:p w:rsidR="00D933A1" w:rsidRDefault="00D933A1">
            <w:r>
              <w:t>Sentencia desfavorable primera instancia</w:t>
            </w:r>
          </w:p>
        </w:tc>
      </w:tr>
      <w:tr w:rsidR="00237276" w:rsidTr="00237276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933A1" w:rsidRDefault="00D933A1">
            <w:r>
              <w:t>L-031</w:t>
            </w:r>
          </w:p>
        </w:tc>
        <w:tc>
          <w:tcPr>
            <w:tcW w:w="812" w:type="dxa"/>
            <w:vAlign w:val="center"/>
            <w:hideMark/>
          </w:tcPr>
          <w:p w:rsidR="00D933A1" w:rsidRDefault="00D933A1">
            <w:r>
              <w:t>Laboral</w:t>
            </w:r>
          </w:p>
        </w:tc>
        <w:tc>
          <w:tcPr>
            <w:tcW w:w="2166" w:type="dxa"/>
            <w:vAlign w:val="center"/>
            <w:hideMark/>
          </w:tcPr>
          <w:p w:rsidR="00D933A1" w:rsidRDefault="00D933A1">
            <w:r>
              <w:t>15 ex-empleados (colectivo)</w:t>
            </w:r>
          </w:p>
        </w:tc>
        <w:tc>
          <w:tcPr>
            <w:tcW w:w="936" w:type="dxa"/>
            <w:vAlign w:val="center"/>
            <w:hideMark/>
          </w:tcPr>
          <w:p w:rsidR="00D933A1" w:rsidRDefault="00D933A1">
            <w:r>
              <w:t>05/11/2024</w:t>
            </w:r>
          </w:p>
        </w:tc>
        <w:tc>
          <w:tcPr>
            <w:tcW w:w="1032" w:type="dxa"/>
            <w:vAlign w:val="center"/>
            <w:hideMark/>
          </w:tcPr>
          <w:p w:rsidR="00D933A1" w:rsidRDefault="00D933A1">
            <w:r>
              <w:t>En proceso</w:t>
            </w:r>
          </w:p>
        </w:tc>
        <w:tc>
          <w:tcPr>
            <w:tcW w:w="957" w:type="dxa"/>
            <w:vAlign w:val="center"/>
            <w:hideMark/>
          </w:tcPr>
          <w:p w:rsidR="00D933A1" w:rsidRDefault="00D933A1">
            <w:r>
              <w:t>$850,000</w:t>
            </w:r>
          </w:p>
        </w:tc>
        <w:tc>
          <w:tcPr>
            <w:tcW w:w="1141" w:type="dxa"/>
            <w:vAlign w:val="center"/>
            <w:hideMark/>
          </w:tcPr>
          <w:p w:rsidR="00D933A1" w:rsidRDefault="00D933A1">
            <w:r>
              <w:t>Media</w:t>
            </w:r>
          </w:p>
        </w:tc>
        <w:tc>
          <w:tcPr>
            <w:tcW w:w="1280" w:type="dxa"/>
            <w:vAlign w:val="center"/>
            <w:hideMark/>
          </w:tcPr>
          <w:p w:rsidR="00D933A1" w:rsidRDefault="00D933A1">
            <w:r>
              <w:t>Falta documentación soporte en 4 casos</w:t>
            </w:r>
          </w:p>
        </w:tc>
      </w:tr>
      <w:tr w:rsidR="00237276" w:rsidTr="00237276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933A1" w:rsidRDefault="00D933A1">
            <w:r>
              <w:t>L-047</w:t>
            </w:r>
          </w:p>
        </w:tc>
        <w:tc>
          <w:tcPr>
            <w:tcW w:w="812" w:type="dxa"/>
            <w:vAlign w:val="center"/>
            <w:hideMark/>
          </w:tcPr>
          <w:p w:rsidR="00D933A1" w:rsidRDefault="00D933A1">
            <w:r>
              <w:t>Administrativo</w:t>
            </w:r>
          </w:p>
        </w:tc>
        <w:tc>
          <w:tcPr>
            <w:tcW w:w="2166" w:type="dxa"/>
            <w:vAlign w:val="center"/>
            <w:hideMark/>
          </w:tcPr>
          <w:p w:rsidR="00D933A1" w:rsidRDefault="00D933A1">
            <w:r>
              <w:t>Autoridad Reguladora</w:t>
            </w:r>
          </w:p>
        </w:tc>
        <w:tc>
          <w:tcPr>
            <w:tcW w:w="936" w:type="dxa"/>
            <w:vAlign w:val="center"/>
            <w:hideMark/>
          </w:tcPr>
          <w:p w:rsidR="00D933A1" w:rsidRDefault="00D933A1">
            <w:r>
              <w:t>23/01/2025</w:t>
            </w:r>
          </w:p>
        </w:tc>
        <w:tc>
          <w:tcPr>
            <w:tcW w:w="1032" w:type="dxa"/>
            <w:vAlign w:val="center"/>
            <w:hideMark/>
          </w:tcPr>
          <w:p w:rsidR="00D933A1" w:rsidRDefault="00D933A1">
            <w:r>
              <w:t>En proceso</w:t>
            </w:r>
          </w:p>
        </w:tc>
        <w:tc>
          <w:tcPr>
            <w:tcW w:w="957" w:type="dxa"/>
            <w:vAlign w:val="center"/>
            <w:hideMark/>
          </w:tcPr>
          <w:p w:rsidR="00D933A1" w:rsidRDefault="00D933A1">
            <w:r>
              <w:t>$720,000</w:t>
            </w:r>
          </w:p>
        </w:tc>
        <w:tc>
          <w:tcPr>
            <w:tcW w:w="1141" w:type="dxa"/>
            <w:vAlign w:val="center"/>
            <w:hideMark/>
          </w:tcPr>
          <w:p w:rsidR="00D933A1" w:rsidRDefault="00D933A1">
            <w:r>
              <w:t>Media-alta</w:t>
            </w:r>
          </w:p>
        </w:tc>
        <w:tc>
          <w:tcPr>
            <w:tcW w:w="1280" w:type="dxa"/>
            <w:vAlign w:val="center"/>
            <w:hideMark/>
          </w:tcPr>
          <w:p w:rsidR="00D933A1" w:rsidRDefault="00D933A1">
            <w:r>
              <w:t>Sanción por presunto incumplimiento normativo</w:t>
            </w:r>
          </w:p>
        </w:tc>
      </w:tr>
      <w:tr w:rsidR="00237276" w:rsidTr="00237276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933A1" w:rsidRDefault="00D933A1">
            <w:r>
              <w:t>L-052</w:t>
            </w:r>
          </w:p>
        </w:tc>
        <w:tc>
          <w:tcPr>
            <w:tcW w:w="812" w:type="dxa"/>
            <w:vAlign w:val="center"/>
            <w:hideMark/>
          </w:tcPr>
          <w:p w:rsidR="00D933A1" w:rsidRDefault="00D933A1">
            <w:r>
              <w:t>Propiedad Intelectual</w:t>
            </w:r>
          </w:p>
        </w:tc>
        <w:tc>
          <w:tcPr>
            <w:tcW w:w="2166" w:type="dxa"/>
            <w:vAlign w:val="center"/>
            <w:hideMark/>
          </w:tcPr>
          <w:p w:rsidR="00D933A1" w:rsidRDefault="00D933A1">
            <w:r>
              <w:t>Tecnologías Avanzadas Inc.</w:t>
            </w:r>
          </w:p>
        </w:tc>
        <w:tc>
          <w:tcPr>
            <w:tcW w:w="936" w:type="dxa"/>
            <w:vAlign w:val="center"/>
            <w:hideMark/>
          </w:tcPr>
          <w:p w:rsidR="00D933A1" w:rsidRDefault="00D933A1">
            <w:r>
              <w:t>18/02/2025</w:t>
            </w:r>
          </w:p>
        </w:tc>
        <w:tc>
          <w:tcPr>
            <w:tcW w:w="1032" w:type="dxa"/>
            <w:vAlign w:val="center"/>
            <w:hideMark/>
          </w:tcPr>
          <w:p w:rsidR="00D933A1" w:rsidRDefault="00D933A1">
            <w:r>
              <w:t>Negociación</w:t>
            </w:r>
          </w:p>
        </w:tc>
        <w:tc>
          <w:tcPr>
            <w:tcW w:w="957" w:type="dxa"/>
            <w:vAlign w:val="center"/>
            <w:hideMark/>
          </w:tcPr>
          <w:p w:rsidR="00D933A1" w:rsidRDefault="00D933A1">
            <w:r>
              <w:t>$650,000</w:t>
            </w:r>
          </w:p>
        </w:tc>
        <w:tc>
          <w:tcPr>
            <w:tcW w:w="1141" w:type="dxa"/>
            <w:vAlign w:val="center"/>
            <w:hideMark/>
          </w:tcPr>
          <w:p w:rsidR="00D933A1" w:rsidRDefault="00D933A1">
            <w:r>
              <w:t>Baja</w:t>
            </w:r>
          </w:p>
        </w:tc>
        <w:tc>
          <w:tcPr>
            <w:tcW w:w="1280" w:type="dxa"/>
            <w:vAlign w:val="center"/>
            <w:hideMark/>
          </w:tcPr>
          <w:p w:rsidR="00D933A1" w:rsidRDefault="00D933A1">
            <w:r>
              <w:t>Posible acuerdo extrajudicial en evaluación</w:t>
            </w:r>
          </w:p>
        </w:tc>
      </w:tr>
      <w:tr w:rsidR="00237276" w:rsidTr="00237276">
        <w:trPr>
          <w:tblCellSpacing w:w="15" w:type="dxa"/>
        </w:trPr>
        <w:tc>
          <w:tcPr>
            <w:tcW w:w="806" w:type="dxa"/>
            <w:vAlign w:val="center"/>
            <w:hideMark/>
          </w:tcPr>
          <w:p w:rsidR="00D933A1" w:rsidRDefault="00D933A1">
            <w:r>
              <w:t>L-059</w:t>
            </w:r>
          </w:p>
        </w:tc>
        <w:tc>
          <w:tcPr>
            <w:tcW w:w="812" w:type="dxa"/>
            <w:vAlign w:val="center"/>
            <w:hideMark/>
          </w:tcPr>
          <w:p w:rsidR="00D933A1" w:rsidRDefault="00D933A1">
            <w:r>
              <w:t>Comercial</w:t>
            </w:r>
          </w:p>
        </w:tc>
        <w:tc>
          <w:tcPr>
            <w:tcW w:w="2166" w:type="dxa"/>
            <w:vAlign w:val="center"/>
            <w:hideMark/>
          </w:tcPr>
          <w:p w:rsidR="00D933A1" w:rsidRDefault="00D933A1">
            <w:r>
              <w:t>Constructora Regional</w:t>
            </w:r>
          </w:p>
        </w:tc>
        <w:tc>
          <w:tcPr>
            <w:tcW w:w="936" w:type="dxa"/>
            <w:vAlign w:val="center"/>
            <w:hideMark/>
          </w:tcPr>
          <w:p w:rsidR="00D933A1" w:rsidRDefault="00D933A1">
            <w:r>
              <w:t>29/03/2025</w:t>
            </w:r>
          </w:p>
        </w:tc>
        <w:tc>
          <w:tcPr>
            <w:tcW w:w="1032" w:type="dxa"/>
            <w:vAlign w:val="center"/>
            <w:hideMark/>
          </w:tcPr>
          <w:p w:rsidR="00D933A1" w:rsidRDefault="00D933A1">
            <w:r>
              <w:t>En proceso</w:t>
            </w:r>
          </w:p>
        </w:tc>
        <w:tc>
          <w:tcPr>
            <w:tcW w:w="957" w:type="dxa"/>
            <w:vAlign w:val="center"/>
            <w:hideMark/>
          </w:tcPr>
          <w:p w:rsidR="00D933A1" w:rsidRDefault="00D933A1">
            <w:r>
              <w:t>$580,000</w:t>
            </w:r>
          </w:p>
        </w:tc>
        <w:tc>
          <w:tcPr>
            <w:tcW w:w="1141" w:type="dxa"/>
            <w:vAlign w:val="center"/>
            <w:hideMark/>
          </w:tcPr>
          <w:p w:rsidR="00D933A1" w:rsidRDefault="00D933A1">
            <w:r>
              <w:t>Media</w:t>
            </w:r>
          </w:p>
        </w:tc>
        <w:tc>
          <w:tcPr>
            <w:tcW w:w="1280" w:type="dxa"/>
            <w:vAlign w:val="center"/>
            <w:hideMark/>
          </w:tcPr>
          <w:p w:rsidR="00D933A1" w:rsidRDefault="00D933A1">
            <w:r>
              <w:t>Reclamo por incumplimiento contractual</w:t>
            </w:r>
          </w:p>
        </w:tc>
      </w:tr>
    </w:tbl>
    <w:p w:rsidR="00D933A1" w:rsidRDefault="00D933A1" w:rsidP="00D933A1"/>
    <w:p w:rsidR="008E410C" w:rsidRDefault="008E410C" w:rsidP="00D933A1"/>
    <w:p w:rsidR="00D933A1" w:rsidRPr="008E410C" w:rsidRDefault="00D933A1" w:rsidP="00D933A1">
      <w:pPr>
        <w:pStyle w:val="Ttulo2"/>
        <w:rPr>
          <w:b/>
        </w:rPr>
      </w:pPr>
      <w:r w:rsidRPr="008E410C">
        <w:rPr>
          <w:b/>
        </w:rPr>
        <w:t>ANEXO 5: REPORTES DE CUMPLIMIENTO REGULATORIO</w:t>
      </w:r>
    </w:p>
    <w:p w:rsidR="00D933A1" w:rsidRDefault="00D933A1" w:rsidP="00D933A1">
      <w:pPr>
        <w:pStyle w:val="Ttulo3"/>
      </w:pPr>
      <w:r>
        <w:t>5.1 Universo regulatorio aplicable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2107"/>
        <w:gridCol w:w="1240"/>
        <w:gridCol w:w="3201"/>
      </w:tblGrid>
      <w:tr w:rsidR="00D933A1" w:rsidTr="00FB7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Categoría normativa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 normas aplicables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seguimiento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Corporativa/Mercantil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Dir. Legal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Laboral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Coord. Laboral / RRHH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Fiscal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Dir. Financiero / Legal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Sectorial específica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23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Crítico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Oficial Cumplimiento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Protección de datos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Oficial Protección Datos / Legal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Medio ambiente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Medio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Coord. Sostenibilidad / Legal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Competencia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Dir. Legal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lastRenderedPageBreak/>
              <w:t>Anticorrupción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Oficial Cumplimiento / Legal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Otras aplicables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Medio-Bajo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Varios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rPr>
                <w:rStyle w:val="Textoennegrita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/>
        </w:tc>
        <w:tc>
          <w:tcPr>
            <w:tcW w:w="0" w:type="auto"/>
            <w:vAlign w:val="center"/>
            <w:hideMark/>
          </w:tcPr>
          <w:p w:rsidR="00D933A1" w:rsidRDefault="00D933A1">
            <w:pPr>
              <w:rPr>
                <w:sz w:val="20"/>
                <w:szCs w:val="20"/>
              </w:rPr>
            </w:pPr>
          </w:p>
        </w:tc>
      </w:tr>
    </w:tbl>
    <w:p w:rsidR="00FB7B6E" w:rsidRDefault="00FB7B6E" w:rsidP="00D933A1">
      <w:pPr>
        <w:pStyle w:val="Ttulo3"/>
      </w:pPr>
    </w:p>
    <w:p w:rsidR="00D933A1" w:rsidRDefault="00D933A1" w:rsidP="00D933A1">
      <w:pPr>
        <w:pStyle w:val="Ttulo3"/>
      </w:pPr>
      <w:r>
        <w:t>5.2 Reportes regulatorios periódicos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1415"/>
        <w:gridCol w:w="1292"/>
        <w:gridCol w:w="1500"/>
        <w:gridCol w:w="1319"/>
        <w:gridCol w:w="1589"/>
      </w:tblGrid>
      <w:tr w:rsidR="00D933A1" w:rsidTr="00FB7B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Reporte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Autoridad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Frecuencia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Última presentación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 actual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Informe de gobierno corporativo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Regulador Mercados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Anual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28/03/2025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Cumplido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Dir. Legal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Declaración prevención lavado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Unidad Inteligencia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Trimestral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15/04/2025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Cumplido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Oficial Cumplimiento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Reporte operaciones vinculadas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Regulador Mercados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Semestral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15/01/2025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Próximo: 15/07/2025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Dir. Legal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Declaración conflictos interés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Regulador Sectorial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Anual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05/05/2025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Cumplido con retraso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Oficial Cumplimiento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Informe protección datos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Agencia Protección Datos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Anual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28/02/2025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Cumplido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Legal / TI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Reporte prácticas sostenibles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Regulador Ambiental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Anual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22/04/2025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Cumplido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Sostenibilidad / Legal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Reporte de incidentes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Regulador Sectorial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Según ocurrencia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08/03/2025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Cumplido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Oficial Cumplimiento</w:t>
            </w:r>
          </w:p>
        </w:tc>
      </w:tr>
      <w:tr w:rsidR="00D933A1" w:rsidTr="00FB7B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 xml:space="preserve">Actualización política </w:t>
            </w:r>
            <w:proofErr w:type="spellStart"/>
            <w:r>
              <w:t>compliance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Regulador Sectorial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Bienal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30/09/2023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Próximo: 30/09/2025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Oficial Cumplimiento</w:t>
            </w:r>
          </w:p>
        </w:tc>
      </w:tr>
    </w:tbl>
    <w:p w:rsidR="002A2414" w:rsidRDefault="002A2414" w:rsidP="00D933A1">
      <w:pPr>
        <w:pStyle w:val="Ttulo3"/>
      </w:pPr>
    </w:p>
    <w:p w:rsidR="002A2414" w:rsidRDefault="002A2414" w:rsidP="00D933A1">
      <w:pPr>
        <w:pStyle w:val="Ttulo3"/>
      </w:pPr>
    </w:p>
    <w:p w:rsidR="002A2414" w:rsidRDefault="002A2414" w:rsidP="00D933A1">
      <w:pPr>
        <w:pStyle w:val="Ttulo3"/>
      </w:pPr>
    </w:p>
    <w:p w:rsidR="002A2414" w:rsidRDefault="002A2414" w:rsidP="00D933A1">
      <w:pPr>
        <w:pStyle w:val="Ttulo3"/>
      </w:pPr>
    </w:p>
    <w:p w:rsidR="00D933A1" w:rsidRDefault="00D933A1" w:rsidP="00D933A1">
      <w:pPr>
        <w:pStyle w:val="Ttulo3"/>
      </w:pPr>
      <w:r>
        <w:lastRenderedPageBreak/>
        <w:t>5.3 Auditorías/inspecciones regulatorias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1224"/>
        <w:gridCol w:w="1772"/>
        <w:gridCol w:w="1651"/>
        <w:gridCol w:w="1678"/>
        <w:gridCol w:w="915"/>
      </w:tblGrid>
      <w:tr w:rsidR="00D933A1" w:rsidTr="00EE0D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 fiscalizadora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Alcance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acción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D933A1" w:rsidTr="00EE0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Regulador Sectorial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12-15/11/2024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Cumplimiento normativo general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 hallazgos mayores, 5 menores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Implementado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Cerrado</w:t>
            </w:r>
          </w:p>
        </w:tc>
      </w:tr>
      <w:tr w:rsidR="00D933A1" w:rsidTr="00EE0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Autoridad Laboral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08/02/2025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Condiciones laborales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Sin hallazgos significativos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N/A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Cerrado</w:t>
            </w:r>
          </w:p>
        </w:tc>
      </w:tr>
      <w:tr w:rsidR="00D933A1" w:rsidTr="00EE0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Agencia Protección Datos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20-22/03/2025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Gestión datos personales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 hallazgo mayor, 3 menores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En implementación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Abierto</w:t>
            </w:r>
          </w:p>
        </w:tc>
      </w:tr>
      <w:tr w:rsidR="00D933A1" w:rsidTr="00EE0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Autoridad Fiscal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05-16/04/2025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Declaraciones ejercicio 2023-2024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Pendiente informe final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Pendiente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En proceso</w:t>
            </w:r>
          </w:p>
        </w:tc>
      </w:tr>
    </w:tbl>
    <w:p w:rsidR="00EE0D0A" w:rsidRDefault="00EE0D0A" w:rsidP="00D933A1">
      <w:pPr>
        <w:pStyle w:val="Ttulo3"/>
      </w:pPr>
    </w:p>
    <w:p w:rsidR="00D933A1" w:rsidRDefault="00D933A1" w:rsidP="00D933A1">
      <w:pPr>
        <w:pStyle w:val="Ttulo3"/>
      </w:pPr>
      <w:r>
        <w:t>5.4 Estado de planes de acción de auditorías previas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  <w:gridCol w:w="1575"/>
        <w:gridCol w:w="1463"/>
        <w:gridCol w:w="1364"/>
        <w:gridCol w:w="1253"/>
        <w:gridCol w:w="1167"/>
        <w:gridCol w:w="1391"/>
      </w:tblGrid>
      <w:tr w:rsidR="00D933A1" w:rsidTr="007866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Ref.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Hallazgo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comprometida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compromiso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 actual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Evidencia</w:t>
            </w:r>
          </w:p>
        </w:tc>
      </w:tr>
      <w:tr w:rsidR="00D933A1" w:rsidTr="007866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RS-01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Política anticorrupción desactualizada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Actualizar y capacitar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Dir. Legal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31/12/2024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Completado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Política v3.0, registros capacitación</w:t>
            </w:r>
          </w:p>
        </w:tc>
      </w:tr>
      <w:tr w:rsidR="00D933A1" w:rsidTr="007866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RS-02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Falta canal denuncias anónimas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Implementar sistema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Oficial Cumplimiento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31/01/2025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Completado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Sistema operativo desde 15/01/2025</w:t>
            </w:r>
          </w:p>
        </w:tc>
      </w:tr>
      <w:tr w:rsidR="00D933A1" w:rsidTr="007866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RS-03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Sin evaluación riesgos terceros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Implementar procedimiento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Dir. Legal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31/03/2025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En proceso (80%)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Procedimiento aprobado, pendiente herramienta</w:t>
            </w:r>
          </w:p>
        </w:tc>
      </w:tr>
      <w:tr w:rsidR="00D933A1" w:rsidTr="007866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RS-04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Deficiencias en trazabilidad decisiones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Implementar actas digitales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Secretaría General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30/04/2025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En proceso (50%)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En fase de pruebas</w:t>
            </w:r>
          </w:p>
        </w:tc>
      </w:tr>
      <w:tr w:rsidR="00D933A1" w:rsidTr="007866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RS-05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Falta capacitación actualización legal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Plan formación específico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RRHH / Legal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30/06/2025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No iniciado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N/A</w:t>
            </w:r>
          </w:p>
        </w:tc>
      </w:tr>
      <w:tr w:rsidR="00D933A1" w:rsidTr="007866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lastRenderedPageBreak/>
              <w:t>APD-01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Consentimientos desactualizados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Renovar formularios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DPO / Marketing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31/05/2025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En proceso (30%)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Nuevos formularios en revisión</w:t>
            </w:r>
          </w:p>
        </w:tc>
      </w:tr>
      <w:tr w:rsidR="00D933A1" w:rsidTr="007866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APD-02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Transferencias internacionales sin evaluación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Análisis y documentación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DPO / TI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15/06/2025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No iniciado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N/A</w:t>
            </w:r>
          </w:p>
        </w:tc>
      </w:tr>
    </w:tbl>
    <w:p w:rsidR="00C63B4B" w:rsidRDefault="00C63B4B" w:rsidP="00D933A1">
      <w:pPr>
        <w:pStyle w:val="Ttulo3"/>
      </w:pPr>
    </w:p>
    <w:p w:rsidR="00D933A1" w:rsidRDefault="00D933A1" w:rsidP="00D933A1">
      <w:pPr>
        <w:pStyle w:val="Ttulo3"/>
      </w:pPr>
      <w:r>
        <w:t>5.5 Análisis de cambios normativos relevantes (últimos 12 meses)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421"/>
        <w:gridCol w:w="1257"/>
        <w:gridCol w:w="934"/>
        <w:gridCol w:w="1895"/>
        <w:gridCol w:w="1648"/>
      </w:tblGrid>
      <w:tr w:rsidR="00D933A1" w:rsidTr="00450C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publicación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efectiva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Estado implementación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D933A1" w:rsidTr="0045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Ley 348/2024 Protección datos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15/09/2024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15/03/2025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En proceso (70%)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DPO / Legal</w:t>
            </w:r>
          </w:p>
        </w:tc>
      </w:tr>
      <w:tr w:rsidR="00D933A1" w:rsidTr="0045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 xml:space="preserve">Decreto 72/2025 </w:t>
            </w:r>
            <w:proofErr w:type="spellStart"/>
            <w:r>
              <w:t>Compliance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10/01/2025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01/07/2025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Alto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En proceso (40%)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Oficial Cumplimiento</w:t>
            </w:r>
          </w:p>
        </w:tc>
      </w:tr>
      <w:tr w:rsidR="00D933A1" w:rsidTr="0045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Regulación 18/2025 Sectorial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28/02/2025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01/06/2025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Crítico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En proceso (25%)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Dir. Legal</w:t>
            </w:r>
          </w:p>
        </w:tc>
      </w:tr>
      <w:tr w:rsidR="00D933A1" w:rsidTr="0045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Circular 04/2025 Reportes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15/03/2025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01/04/2025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Medio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Completado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Dir. Financiero</w:t>
            </w:r>
          </w:p>
        </w:tc>
      </w:tr>
      <w:tr w:rsidR="00D933A1" w:rsidTr="00450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33A1" w:rsidRDefault="00D933A1">
            <w:r>
              <w:t>Norma Técnica 12/2025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30/03/2025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30/09/2025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Medio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Planificado</w:t>
            </w:r>
          </w:p>
        </w:tc>
        <w:tc>
          <w:tcPr>
            <w:tcW w:w="0" w:type="auto"/>
            <w:vAlign w:val="center"/>
            <w:hideMark/>
          </w:tcPr>
          <w:p w:rsidR="00D933A1" w:rsidRDefault="00D933A1">
            <w:r>
              <w:t>Operaciones / Legal</w:t>
            </w:r>
          </w:p>
        </w:tc>
      </w:tr>
    </w:tbl>
    <w:p w:rsidR="00D933A1" w:rsidRDefault="00D933A1" w:rsidP="00D933A1">
      <w:pPr>
        <w:pStyle w:val="whitespace-normal"/>
      </w:pPr>
      <w:r>
        <w:rPr>
          <w:rStyle w:val="Textoennegrita"/>
        </w:rPr>
        <w:t>Nota:</w:t>
      </w:r>
      <w:r>
        <w:t xml:space="preserve"> La documentación completa de soporte de cumplimiento regulatorio se encuentra disponible en la carpeta compartida "Auditoría Legal 2025/Cumplimiento".</w:t>
      </w:r>
    </w:p>
    <w:p w:rsidR="00D933A1" w:rsidRDefault="00D933A1" w:rsidP="00D933A1"/>
    <w:p w:rsidR="00D933A1" w:rsidRDefault="00D933A1" w:rsidP="00D933A1">
      <w:pPr>
        <w:pStyle w:val="whitespace-normal"/>
      </w:pPr>
      <w:r>
        <w:rPr>
          <w:rStyle w:val="Textoennegrita"/>
        </w:rPr>
        <w:t>Elaborado por:</w:t>
      </w:r>
      <w:r>
        <w:t xml:space="preserve"> [Nombre Auditor]</w:t>
      </w:r>
      <w:r>
        <w:br/>
      </w:r>
      <w:r>
        <w:rPr>
          <w:rStyle w:val="Textoennegrita"/>
        </w:rPr>
        <w:t>Fecha:</w:t>
      </w:r>
      <w:r>
        <w:t xml:space="preserve"> 21/05/2025</w:t>
      </w:r>
    </w:p>
    <w:p w:rsidR="00626527" w:rsidRPr="00760B5B" w:rsidRDefault="00D933A1" w:rsidP="00450C33">
      <w:pPr>
        <w:pStyle w:val="whitespace-normal"/>
        <w:rPr>
          <w:sz w:val="28"/>
          <w:szCs w:val="28"/>
        </w:rPr>
      </w:pPr>
      <w:r>
        <w:rPr>
          <w:rStyle w:val="Textoennegrita"/>
        </w:rPr>
        <w:t>Revisado por:</w:t>
      </w:r>
      <w:r>
        <w:t xml:space="preserve"> [Nombre Supervisor]</w:t>
      </w:r>
      <w:r>
        <w:br/>
      </w:r>
      <w:r>
        <w:rPr>
          <w:rStyle w:val="Textoennegrita"/>
        </w:rPr>
        <w:t>Fecha:</w:t>
      </w:r>
      <w:r>
        <w:t xml:space="preserve"> 22/05/2025</w:t>
      </w:r>
      <w:bookmarkStart w:id="0" w:name="_GoBack"/>
      <w:bookmarkEnd w:id="0"/>
    </w:p>
    <w:sectPr w:rsidR="00626527" w:rsidRPr="00760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A2A"/>
    <w:multiLevelType w:val="multilevel"/>
    <w:tmpl w:val="21A2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C32BF"/>
    <w:multiLevelType w:val="multilevel"/>
    <w:tmpl w:val="13CAA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122C9"/>
    <w:multiLevelType w:val="multilevel"/>
    <w:tmpl w:val="56C8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B14B1"/>
    <w:multiLevelType w:val="multilevel"/>
    <w:tmpl w:val="0134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90FDA"/>
    <w:multiLevelType w:val="multilevel"/>
    <w:tmpl w:val="8F7A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437E2E"/>
    <w:multiLevelType w:val="multilevel"/>
    <w:tmpl w:val="F88E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70418"/>
    <w:multiLevelType w:val="multilevel"/>
    <w:tmpl w:val="580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053"/>
    <w:rsid w:val="00010958"/>
    <w:rsid w:val="0002091D"/>
    <w:rsid w:val="00022D29"/>
    <w:rsid w:val="00025B1B"/>
    <w:rsid w:val="000274D6"/>
    <w:rsid w:val="0003031F"/>
    <w:rsid w:val="00042E9A"/>
    <w:rsid w:val="00043753"/>
    <w:rsid w:val="00044A0F"/>
    <w:rsid w:val="00047AEF"/>
    <w:rsid w:val="00051655"/>
    <w:rsid w:val="00051AB9"/>
    <w:rsid w:val="0005318F"/>
    <w:rsid w:val="0005366E"/>
    <w:rsid w:val="00053F02"/>
    <w:rsid w:val="00053FA9"/>
    <w:rsid w:val="00056068"/>
    <w:rsid w:val="000569BD"/>
    <w:rsid w:val="00057EB0"/>
    <w:rsid w:val="000606C7"/>
    <w:rsid w:val="00062B41"/>
    <w:rsid w:val="000649A5"/>
    <w:rsid w:val="00070FBB"/>
    <w:rsid w:val="0007171D"/>
    <w:rsid w:val="0007292E"/>
    <w:rsid w:val="00073236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3FC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0D7B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4FE1"/>
    <w:rsid w:val="00176767"/>
    <w:rsid w:val="0018004E"/>
    <w:rsid w:val="00180A08"/>
    <w:rsid w:val="00181320"/>
    <w:rsid w:val="00182B0A"/>
    <w:rsid w:val="0018427B"/>
    <w:rsid w:val="0018437B"/>
    <w:rsid w:val="00184613"/>
    <w:rsid w:val="00194149"/>
    <w:rsid w:val="001A0DF2"/>
    <w:rsid w:val="001A5E4F"/>
    <w:rsid w:val="001A71BE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1F71CA"/>
    <w:rsid w:val="0020007C"/>
    <w:rsid w:val="0020288D"/>
    <w:rsid w:val="00203455"/>
    <w:rsid w:val="00206AC0"/>
    <w:rsid w:val="0021221F"/>
    <w:rsid w:val="00222ADB"/>
    <w:rsid w:val="002232A0"/>
    <w:rsid w:val="00223775"/>
    <w:rsid w:val="00225C5A"/>
    <w:rsid w:val="00226987"/>
    <w:rsid w:val="002310F6"/>
    <w:rsid w:val="00232CBC"/>
    <w:rsid w:val="0023405F"/>
    <w:rsid w:val="00234DAE"/>
    <w:rsid w:val="00236CCE"/>
    <w:rsid w:val="00237276"/>
    <w:rsid w:val="00244DD6"/>
    <w:rsid w:val="00244F10"/>
    <w:rsid w:val="00250C89"/>
    <w:rsid w:val="0025437A"/>
    <w:rsid w:val="002548B9"/>
    <w:rsid w:val="002549C7"/>
    <w:rsid w:val="00257B6C"/>
    <w:rsid w:val="002631CA"/>
    <w:rsid w:val="00263935"/>
    <w:rsid w:val="00264629"/>
    <w:rsid w:val="00264957"/>
    <w:rsid w:val="00272870"/>
    <w:rsid w:val="00272F25"/>
    <w:rsid w:val="002732A3"/>
    <w:rsid w:val="00275B7E"/>
    <w:rsid w:val="0028118B"/>
    <w:rsid w:val="00282FA6"/>
    <w:rsid w:val="00284C3F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A2414"/>
    <w:rsid w:val="002B1172"/>
    <w:rsid w:val="002B397E"/>
    <w:rsid w:val="002B48CE"/>
    <w:rsid w:val="002C02FF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5E4D"/>
    <w:rsid w:val="002E6EA7"/>
    <w:rsid w:val="002F5FCE"/>
    <w:rsid w:val="0030125D"/>
    <w:rsid w:val="00301286"/>
    <w:rsid w:val="00303456"/>
    <w:rsid w:val="0030345B"/>
    <w:rsid w:val="00306361"/>
    <w:rsid w:val="00306793"/>
    <w:rsid w:val="003074E3"/>
    <w:rsid w:val="00311099"/>
    <w:rsid w:val="003136BD"/>
    <w:rsid w:val="003146E2"/>
    <w:rsid w:val="00323D18"/>
    <w:rsid w:val="00324903"/>
    <w:rsid w:val="0032755D"/>
    <w:rsid w:val="00331D8D"/>
    <w:rsid w:val="00332DB5"/>
    <w:rsid w:val="00333B45"/>
    <w:rsid w:val="00335443"/>
    <w:rsid w:val="003360FA"/>
    <w:rsid w:val="00341201"/>
    <w:rsid w:val="00342C76"/>
    <w:rsid w:val="00344F8C"/>
    <w:rsid w:val="00351A15"/>
    <w:rsid w:val="003524CE"/>
    <w:rsid w:val="003532D3"/>
    <w:rsid w:val="003533ED"/>
    <w:rsid w:val="00361295"/>
    <w:rsid w:val="00365F70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CC8"/>
    <w:rsid w:val="003A1DEA"/>
    <w:rsid w:val="003A34AB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17BE"/>
    <w:rsid w:val="003E4FEF"/>
    <w:rsid w:val="003E75E8"/>
    <w:rsid w:val="003F7569"/>
    <w:rsid w:val="003F7879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262CE"/>
    <w:rsid w:val="00426C76"/>
    <w:rsid w:val="00437BB0"/>
    <w:rsid w:val="00442A76"/>
    <w:rsid w:val="004447B1"/>
    <w:rsid w:val="00445A49"/>
    <w:rsid w:val="00446C04"/>
    <w:rsid w:val="00447F05"/>
    <w:rsid w:val="00450C33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91FEE"/>
    <w:rsid w:val="00492077"/>
    <w:rsid w:val="00493E09"/>
    <w:rsid w:val="004956CE"/>
    <w:rsid w:val="00495E39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A68"/>
    <w:rsid w:val="004F63FA"/>
    <w:rsid w:val="004F7A13"/>
    <w:rsid w:val="0050042A"/>
    <w:rsid w:val="00507296"/>
    <w:rsid w:val="00510B60"/>
    <w:rsid w:val="00511B0C"/>
    <w:rsid w:val="005120AD"/>
    <w:rsid w:val="0051720F"/>
    <w:rsid w:val="005172C2"/>
    <w:rsid w:val="00522015"/>
    <w:rsid w:val="00522942"/>
    <w:rsid w:val="00537221"/>
    <w:rsid w:val="00537335"/>
    <w:rsid w:val="00540A0F"/>
    <w:rsid w:val="00541695"/>
    <w:rsid w:val="00542631"/>
    <w:rsid w:val="005457D2"/>
    <w:rsid w:val="00546D39"/>
    <w:rsid w:val="00547ED0"/>
    <w:rsid w:val="00556880"/>
    <w:rsid w:val="00560C00"/>
    <w:rsid w:val="00563A69"/>
    <w:rsid w:val="005649A6"/>
    <w:rsid w:val="00566ADA"/>
    <w:rsid w:val="00566BBF"/>
    <w:rsid w:val="0057400A"/>
    <w:rsid w:val="005801A0"/>
    <w:rsid w:val="0058310D"/>
    <w:rsid w:val="005839FF"/>
    <w:rsid w:val="005846B8"/>
    <w:rsid w:val="00585323"/>
    <w:rsid w:val="005868D1"/>
    <w:rsid w:val="00590875"/>
    <w:rsid w:val="00591056"/>
    <w:rsid w:val="005A1637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D13BE"/>
    <w:rsid w:val="005D3961"/>
    <w:rsid w:val="005D4B0C"/>
    <w:rsid w:val="005D7B97"/>
    <w:rsid w:val="005E2BB5"/>
    <w:rsid w:val="005E46ED"/>
    <w:rsid w:val="005E5486"/>
    <w:rsid w:val="005E643D"/>
    <w:rsid w:val="005E75C5"/>
    <w:rsid w:val="005F0BD8"/>
    <w:rsid w:val="005F3FCE"/>
    <w:rsid w:val="005F5C03"/>
    <w:rsid w:val="00601313"/>
    <w:rsid w:val="00607C3F"/>
    <w:rsid w:val="006126F8"/>
    <w:rsid w:val="00613C0C"/>
    <w:rsid w:val="00615553"/>
    <w:rsid w:val="006172FD"/>
    <w:rsid w:val="0061745D"/>
    <w:rsid w:val="00621ABA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719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FAB"/>
    <w:rsid w:val="006B0F7A"/>
    <w:rsid w:val="006B2122"/>
    <w:rsid w:val="006B59A9"/>
    <w:rsid w:val="006B7C8A"/>
    <w:rsid w:val="006C0A25"/>
    <w:rsid w:val="006C4336"/>
    <w:rsid w:val="006D288A"/>
    <w:rsid w:val="006D3A64"/>
    <w:rsid w:val="006D51B0"/>
    <w:rsid w:val="006D5FD0"/>
    <w:rsid w:val="006D7505"/>
    <w:rsid w:val="006E0729"/>
    <w:rsid w:val="006E2527"/>
    <w:rsid w:val="006E4206"/>
    <w:rsid w:val="006E4AE4"/>
    <w:rsid w:val="006F08DD"/>
    <w:rsid w:val="006F0FDF"/>
    <w:rsid w:val="00701651"/>
    <w:rsid w:val="00706470"/>
    <w:rsid w:val="0071071A"/>
    <w:rsid w:val="007118E3"/>
    <w:rsid w:val="00713019"/>
    <w:rsid w:val="00715C54"/>
    <w:rsid w:val="007163DA"/>
    <w:rsid w:val="007176E1"/>
    <w:rsid w:val="00720052"/>
    <w:rsid w:val="00727CD8"/>
    <w:rsid w:val="0073123D"/>
    <w:rsid w:val="00731927"/>
    <w:rsid w:val="00736C2E"/>
    <w:rsid w:val="007413C7"/>
    <w:rsid w:val="0074537B"/>
    <w:rsid w:val="007479CD"/>
    <w:rsid w:val="00750311"/>
    <w:rsid w:val="00760B5B"/>
    <w:rsid w:val="00770678"/>
    <w:rsid w:val="00783AAB"/>
    <w:rsid w:val="00784EE9"/>
    <w:rsid w:val="007866A0"/>
    <w:rsid w:val="007870CA"/>
    <w:rsid w:val="007967B6"/>
    <w:rsid w:val="007968CC"/>
    <w:rsid w:val="007A24F2"/>
    <w:rsid w:val="007A5509"/>
    <w:rsid w:val="007A65D8"/>
    <w:rsid w:val="007B0C95"/>
    <w:rsid w:val="007B2237"/>
    <w:rsid w:val="007B7ED3"/>
    <w:rsid w:val="007C2257"/>
    <w:rsid w:val="007C5F42"/>
    <w:rsid w:val="007C6951"/>
    <w:rsid w:val="007D31AC"/>
    <w:rsid w:val="007D706D"/>
    <w:rsid w:val="007E163E"/>
    <w:rsid w:val="007E1BB3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58C8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1DCB"/>
    <w:rsid w:val="00882603"/>
    <w:rsid w:val="00883361"/>
    <w:rsid w:val="0088487E"/>
    <w:rsid w:val="00884EC2"/>
    <w:rsid w:val="00885FA1"/>
    <w:rsid w:val="00886522"/>
    <w:rsid w:val="00887141"/>
    <w:rsid w:val="0088775F"/>
    <w:rsid w:val="00891B04"/>
    <w:rsid w:val="00893A4F"/>
    <w:rsid w:val="00893C06"/>
    <w:rsid w:val="00894287"/>
    <w:rsid w:val="00894AC1"/>
    <w:rsid w:val="00894F4F"/>
    <w:rsid w:val="0089736E"/>
    <w:rsid w:val="008A14E0"/>
    <w:rsid w:val="008A19D5"/>
    <w:rsid w:val="008A46D5"/>
    <w:rsid w:val="008A64B4"/>
    <w:rsid w:val="008B1414"/>
    <w:rsid w:val="008B66AE"/>
    <w:rsid w:val="008C2104"/>
    <w:rsid w:val="008C38B9"/>
    <w:rsid w:val="008D2ECF"/>
    <w:rsid w:val="008D4BA7"/>
    <w:rsid w:val="008D5189"/>
    <w:rsid w:val="008D58DE"/>
    <w:rsid w:val="008D7819"/>
    <w:rsid w:val="008E13AE"/>
    <w:rsid w:val="008E410C"/>
    <w:rsid w:val="008E4F01"/>
    <w:rsid w:val="008E7CE6"/>
    <w:rsid w:val="008F044B"/>
    <w:rsid w:val="008F3857"/>
    <w:rsid w:val="008F4A8B"/>
    <w:rsid w:val="008F5956"/>
    <w:rsid w:val="00906A9E"/>
    <w:rsid w:val="0090743B"/>
    <w:rsid w:val="0091047C"/>
    <w:rsid w:val="009153E9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1890"/>
    <w:rsid w:val="00952764"/>
    <w:rsid w:val="00954FD0"/>
    <w:rsid w:val="009666E8"/>
    <w:rsid w:val="00966F9D"/>
    <w:rsid w:val="00970F15"/>
    <w:rsid w:val="00975173"/>
    <w:rsid w:val="00977378"/>
    <w:rsid w:val="0097769F"/>
    <w:rsid w:val="009808C7"/>
    <w:rsid w:val="0098131E"/>
    <w:rsid w:val="00983B6B"/>
    <w:rsid w:val="0099236E"/>
    <w:rsid w:val="00993A9B"/>
    <w:rsid w:val="00993C87"/>
    <w:rsid w:val="009943BE"/>
    <w:rsid w:val="00995681"/>
    <w:rsid w:val="00997A91"/>
    <w:rsid w:val="009A01B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2320"/>
    <w:rsid w:val="009F4231"/>
    <w:rsid w:val="009F5CCA"/>
    <w:rsid w:val="009F7107"/>
    <w:rsid w:val="00A02606"/>
    <w:rsid w:val="00A02E11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F76"/>
    <w:rsid w:val="00A87838"/>
    <w:rsid w:val="00A90C5C"/>
    <w:rsid w:val="00A9648E"/>
    <w:rsid w:val="00A97AB5"/>
    <w:rsid w:val="00AA2808"/>
    <w:rsid w:val="00AA343F"/>
    <w:rsid w:val="00AA5F38"/>
    <w:rsid w:val="00AA7A38"/>
    <w:rsid w:val="00AB2E68"/>
    <w:rsid w:val="00AC1573"/>
    <w:rsid w:val="00AC1E00"/>
    <w:rsid w:val="00AD2D00"/>
    <w:rsid w:val="00AD4C77"/>
    <w:rsid w:val="00AE10BC"/>
    <w:rsid w:val="00AE1262"/>
    <w:rsid w:val="00AE18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36D2"/>
    <w:rsid w:val="00BB3C15"/>
    <w:rsid w:val="00BB3CD3"/>
    <w:rsid w:val="00BB46E3"/>
    <w:rsid w:val="00BC0950"/>
    <w:rsid w:val="00BC79FF"/>
    <w:rsid w:val="00BD1019"/>
    <w:rsid w:val="00BD2BCE"/>
    <w:rsid w:val="00BD3A40"/>
    <w:rsid w:val="00BD5891"/>
    <w:rsid w:val="00BE0096"/>
    <w:rsid w:val="00BE3F42"/>
    <w:rsid w:val="00BF03DF"/>
    <w:rsid w:val="00BF1483"/>
    <w:rsid w:val="00BF2B4B"/>
    <w:rsid w:val="00C1061D"/>
    <w:rsid w:val="00C12F73"/>
    <w:rsid w:val="00C13293"/>
    <w:rsid w:val="00C14C88"/>
    <w:rsid w:val="00C17A1F"/>
    <w:rsid w:val="00C210D0"/>
    <w:rsid w:val="00C2140B"/>
    <w:rsid w:val="00C230DE"/>
    <w:rsid w:val="00C251CD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3B4B"/>
    <w:rsid w:val="00C6679E"/>
    <w:rsid w:val="00C66920"/>
    <w:rsid w:val="00C7328E"/>
    <w:rsid w:val="00C7523D"/>
    <w:rsid w:val="00C75740"/>
    <w:rsid w:val="00C758BE"/>
    <w:rsid w:val="00C7743E"/>
    <w:rsid w:val="00C823AC"/>
    <w:rsid w:val="00C82977"/>
    <w:rsid w:val="00C85233"/>
    <w:rsid w:val="00C91F73"/>
    <w:rsid w:val="00C939D2"/>
    <w:rsid w:val="00C95B0F"/>
    <w:rsid w:val="00C96715"/>
    <w:rsid w:val="00C96D13"/>
    <w:rsid w:val="00CA030E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D23D6"/>
    <w:rsid w:val="00CE1C8C"/>
    <w:rsid w:val="00CE3A0F"/>
    <w:rsid w:val="00D00217"/>
    <w:rsid w:val="00D00AB6"/>
    <w:rsid w:val="00D030CF"/>
    <w:rsid w:val="00D125BB"/>
    <w:rsid w:val="00D138BA"/>
    <w:rsid w:val="00D14159"/>
    <w:rsid w:val="00D16FAF"/>
    <w:rsid w:val="00D21D0F"/>
    <w:rsid w:val="00D21F0C"/>
    <w:rsid w:val="00D257F3"/>
    <w:rsid w:val="00D259E7"/>
    <w:rsid w:val="00D27742"/>
    <w:rsid w:val="00D306BD"/>
    <w:rsid w:val="00D309EA"/>
    <w:rsid w:val="00D33528"/>
    <w:rsid w:val="00D3541E"/>
    <w:rsid w:val="00D37D34"/>
    <w:rsid w:val="00D40250"/>
    <w:rsid w:val="00D41506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33A1"/>
    <w:rsid w:val="00D96757"/>
    <w:rsid w:val="00D974D8"/>
    <w:rsid w:val="00D9756D"/>
    <w:rsid w:val="00DA293A"/>
    <w:rsid w:val="00DA3728"/>
    <w:rsid w:val="00DA7F0F"/>
    <w:rsid w:val="00DB09DD"/>
    <w:rsid w:val="00DB0CFF"/>
    <w:rsid w:val="00DB18AA"/>
    <w:rsid w:val="00DB5BEA"/>
    <w:rsid w:val="00DC175E"/>
    <w:rsid w:val="00DC1C68"/>
    <w:rsid w:val="00DC220C"/>
    <w:rsid w:val="00DC413F"/>
    <w:rsid w:val="00DC7A81"/>
    <w:rsid w:val="00DD047C"/>
    <w:rsid w:val="00DD3D1B"/>
    <w:rsid w:val="00DD6020"/>
    <w:rsid w:val="00DE0069"/>
    <w:rsid w:val="00DE01D7"/>
    <w:rsid w:val="00DF12BB"/>
    <w:rsid w:val="00DF2272"/>
    <w:rsid w:val="00DF3D7B"/>
    <w:rsid w:val="00DF4A13"/>
    <w:rsid w:val="00DF511A"/>
    <w:rsid w:val="00E002AB"/>
    <w:rsid w:val="00E01AAC"/>
    <w:rsid w:val="00E03807"/>
    <w:rsid w:val="00E049AA"/>
    <w:rsid w:val="00E04E54"/>
    <w:rsid w:val="00E055E2"/>
    <w:rsid w:val="00E07232"/>
    <w:rsid w:val="00E127BB"/>
    <w:rsid w:val="00E136F7"/>
    <w:rsid w:val="00E13E31"/>
    <w:rsid w:val="00E1531B"/>
    <w:rsid w:val="00E203B4"/>
    <w:rsid w:val="00E22933"/>
    <w:rsid w:val="00E237D4"/>
    <w:rsid w:val="00E247A2"/>
    <w:rsid w:val="00E24BE6"/>
    <w:rsid w:val="00E314FA"/>
    <w:rsid w:val="00E31EC0"/>
    <w:rsid w:val="00E36277"/>
    <w:rsid w:val="00E4519E"/>
    <w:rsid w:val="00E520D0"/>
    <w:rsid w:val="00E5264E"/>
    <w:rsid w:val="00E54EEB"/>
    <w:rsid w:val="00E6056D"/>
    <w:rsid w:val="00E64549"/>
    <w:rsid w:val="00E65F10"/>
    <w:rsid w:val="00E81215"/>
    <w:rsid w:val="00E81B22"/>
    <w:rsid w:val="00E826DA"/>
    <w:rsid w:val="00E83E1E"/>
    <w:rsid w:val="00E847C5"/>
    <w:rsid w:val="00E876B1"/>
    <w:rsid w:val="00E87F2E"/>
    <w:rsid w:val="00E90D5E"/>
    <w:rsid w:val="00E95BD1"/>
    <w:rsid w:val="00E9732A"/>
    <w:rsid w:val="00EA1664"/>
    <w:rsid w:val="00EA54D8"/>
    <w:rsid w:val="00EB02CE"/>
    <w:rsid w:val="00EB0465"/>
    <w:rsid w:val="00EB153B"/>
    <w:rsid w:val="00EB1891"/>
    <w:rsid w:val="00EB232C"/>
    <w:rsid w:val="00EB655C"/>
    <w:rsid w:val="00EB6970"/>
    <w:rsid w:val="00EB6C7C"/>
    <w:rsid w:val="00EB79CE"/>
    <w:rsid w:val="00EC02EF"/>
    <w:rsid w:val="00EC1DD7"/>
    <w:rsid w:val="00EC40A9"/>
    <w:rsid w:val="00EC7220"/>
    <w:rsid w:val="00ED0655"/>
    <w:rsid w:val="00ED24F2"/>
    <w:rsid w:val="00ED362F"/>
    <w:rsid w:val="00ED4335"/>
    <w:rsid w:val="00EE0D0A"/>
    <w:rsid w:val="00EE2315"/>
    <w:rsid w:val="00EE59AE"/>
    <w:rsid w:val="00EE62F7"/>
    <w:rsid w:val="00EE6898"/>
    <w:rsid w:val="00EE6BF2"/>
    <w:rsid w:val="00EF1D50"/>
    <w:rsid w:val="00F007F7"/>
    <w:rsid w:val="00F035D0"/>
    <w:rsid w:val="00F04351"/>
    <w:rsid w:val="00F04F39"/>
    <w:rsid w:val="00F103AF"/>
    <w:rsid w:val="00F10D71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0FEB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0924"/>
    <w:rsid w:val="00F728E0"/>
    <w:rsid w:val="00F8792C"/>
    <w:rsid w:val="00F924E1"/>
    <w:rsid w:val="00F926B7"/>
    <w:rsid w:val="00F94D99"/>
    <w:rsid w:val="00F973FB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B7B6E"/>
    <w:rsid w:val="00FC2123"/>
    <w:rsid w:val="00FC593B"/>
    <w:rsid w:val="00FD24A0"/>
    <w:rsid w:val="00FD46C0"/>
    <w:rsid w:val="00FD60AC"/>
    <w:rsid w:val="00FD68CC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A70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933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2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character" w:customStyle="1" w:styleId="Ttulo2Car">
    <w:name w:val="Título 2 Car"/>
    <w:basedOn w:val="Fuentedeprrafopredeter"/>
    <w:link w:val="Ttulo2"/>
    <w:uiPriority w:val="9"/>
    <w:rsid w:val="00DF22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customStyle="1" w:styleId="whitespace-normal">
    <w:name w:val="whitespace-normal"/>
    <w:basedOn w:val="Normal"/>
    <w:rsid w:val="00DF2272"/>
    <w:pPr>
      <w:spacing w:before="100" w:beforeAutospacing="1" w:after="100" w:afterAutospacing="1"/>
    </w:pPr>
    <w:rPr>
      <w:lang w:val="es-GT" w:eastAsia="es-G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F2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GT"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F2272"/>
    <w:rPr>
      <w:rFonts w:ascii="Courier New" w:eastAsia="Times New Roman" w:hAnsi="Courier New" w:cs="Courier New"/>
      <w:sz w:val="20"/>
      <w:szCs w:val="20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DF22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933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customStyle="1" w:styleId="msonormal0">
    <w:name w:val="msonormal"/>
    <w:basedOn w:val="Normal"/>
    <w:rsid w:val="00D933A1"/>
    <w:pPr>
      <w:spacing w:before="100" w:beforeAutospacing="1" w:after="100" w:afterAutospacing="1"/>
    </w:pPr>
    <w:rPr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16</Pages>
  <Words>2883</Words>
  <Characters>15860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678</cp:revision>
  <dcterms:created xsi:type="dcterms:W3CDTF">2022-04-18T18:18:00Z</dcterms:created>
  <dcterms:modified xsi:type="dcterms:W3CDTF">2025-05-21T19:51:00Z</dcterms:modified>
</cp:coreProperties>
</file>