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0"/>
      </w:pPr>
      <w:r>
        <w:rPr>
          <w:rFonts w:ascii="Arial" w:hAnsi="Arial"/>
          <w:b/>
          <w:color w:val="C45A1A"/>
          <w:sz w:val="108"/>
        </w:rPr>
        <w:t>CORTEX</w:t>
      </w:r>
    </w:p>
    <w:p>
      <w:pPr>
        <w:spacing w:after="80"/>
      </w:pPr>
      <w:r>
        <w:rPr>
          <w:rFonts w:ascii="Arial" w:hAnsi="Arial"/>
          <w:color w:val="1C1917"/>
          <w:sz w:val="34"/>
        </w:rPr>
        <w:t>The Business Intelligence Operating System</w:t>
      </w:r>
    </w:p>
    <w:p>
      <w:pPr>
        <w:pBdr>
          <w:bottom w:val="single" w:sz="12" w:space="8" w:color="C45A1A"/>
        </w:pBdr>
        <w:spacing w:after="400"/>
      </w:pPr>
      <w:r>
        <w:rPr>
          <w:rFonts w:ascii="Arial" w:hAnsi="Arial"/>
          <w:color w:val="6B6560"/>
          <w:sz w:val="26"/>
        </w:rPr>
        <w:t>Business Plan &amp; Go-to-Market Strategy</w:t>
      </w:r>
    </w:p>
    <w:p>
      <w:pPr>
        <w:spacing w:after="140" w:line="283" w:lineRule="auto"/>
      </w:pPr>
      <w:r>
        <w:rPr>
          <w:rFonts w:ascii="Arial" w:hAnsi="Arial"/>
          <w:b/>
          <w:i w:val="0"/>
          <w:sz w:val="21"/>
        </w:rPr>
        <w:t xml:space="preserve">Category: </w:t>
      </w:r>
      <w:r>
        <w:rPr>
          <w:rFonts w:ascii="Arial" w:hAnsi="Arial"/>
          <w:b w:val="0"/>
          <w:i w:val="0"/>
          <w:sz w:val="21"/>
        </w:rPr>
        <w:t>BIOS — Business Intelligence Operating System (a new category)</w:t>
      </w:r>
    </w:p>
    <w:p>
      <w:pPr>
        <w:spacing w:after="140" w:line="283" w:lineRule="auto"/>
      </w:pPr>
      <w:r>
        <w:rPr>
          <w:rFonts w:ascii="Arial" w:hAnsi="Arial"/>
          <w:b/>
          <w:i w:val="0"/>
          <w:sz w:val="21"/>
        </w:rPr>
        <w:t xml:space="preserve">Builder: </w:t>
      </w:r>
      <w:r>
        <w:rPr>
          <w:rFonts w:ascii="Arial" w:hAnsi="Arial"/>
          <w:b w:val="0"/>
          <w:i w:val="0"/>
          <w:sz w:val="21"/>
        </w:rPr>
        <w:t>Karim Azzaoui · Edge Graphics / winsym.ai · Kuala Lumpur, Malaysia</w:t>
      </w:r>
    </w:p>
    <w:p>
      <w:pPr>
        <w:spacing w:after="140" w:line="283" w:lineRule="auto"/>
      </w:pPr>
      <w:r>
        <w:rPr>
          <w:rFonts w:ascii="Arial" w:hAnsi="Arial"/>
          <w:b/>
          <w:i w:val="0"/>
          <w:sz w:val="21"/>
        </w:rPr>
        <w:t xml:space="preserve">Markets: </w:t>
      </w:r>
      <w:r>
        <w:rPr>
          <w:rFonts w:ascii="Arial" w:hAnsi="Arial"/>
          <w:b w:val="0"/>
          <w:i w:val="0"/>
          <w:sz w:val="21"/>
        </w:rPr>
        <w:t>Malaysia / Southeast Asia (anchor) · Europe / DACH · Global Premium Enterprise</w:t>
      </w:r>
    </w:p>
    <w:p>
      <w:pPr>
        <w:spacing w:after="140" w:line="283" w:lineRule="auto"/>
      </w:pPr>
      <w:r>
        <w:rPr>
          <w:rFonts w:ascii="Arial" w:hAnsi="Arial"/>
          <w:b/>
          <w:i w:val="0"/>
          <w:sz w:val="21"/>
        </w:rPr>
        <w:t xml:space="preserve">Version: </w:t>
      </w:r>
      <w:r>
        <w:rPr>
          <w:rFonts w:ascii="Arial" w:hAnsi="Arial"/>
          <w:b w:val="0"/>
          <w:i w:val="0"/>
          <w:sz w:val="21"/>
        </w:rPr>
        <w:t>1.0 · June 2026 · Confidential</w:t>
      </w:r>
    </w:p>
    <w:p>
      <w:pPr>
        <w:spacing w:after="280"/>
      </w:pPr>
    </w:p>
    <w:p>
      <w:pPr>
        <w:spacing w:after="140" w:line="283" w:lineRule="auto"/>
      </w:pPr>
      <w:r>
        <w:rPr>
          <w:rFonts w:ascii="Arial" w:hAnsi="Arial"/>
          <w:b w:val="0"/>
          <w:i/>
          <w:color w:val="C45A1A"/>
          <w:sz w:val="26"/>
        </w:rPr>
        <w:t>“We don’t sell a chatbot. We install the brain a company runs on.”</w:t>
      </w:r>
    </w:p>
    <w:p>
      <w:r>
        <w:br w:type="page"/>
      </w:r>
    </w:p>
    <w:p>
      <w:pPr>
        <w:pStyle w:val="Heading1"/>
        <w:pBdr>
          <w:bottom w:val="single" w:sz="6" w:space="6" w:color="C45A1A"/>
        </w:pBdr>
      </w:pPr>
      <w:r>
        <w:t>1. Executive Summary</w:t>
      </w:r>
    </w:p>
    <w:p>
      <w:pPr>
        <w:spacing w:after="140" w:line="283" w:lineRule="auto"/>
      </w:pPr>
      <w:r>
        <w:rPr>
          <w:rFonts w:ascii="Arial" w:hAnsi="Arial"/>
          <w:b/>
          <w:i w:val="0"/>
          <w:sz w:val="21"/>
        </w:rPr>
        <w:t xml:space="preserve">CORTEX is a governed digital brain that any organization installs to stop losing knowledge, guessing at decisions, and re-doing work. </w:t>
      </w:r>
      <w:r>
        <w:rPr>
          <w:rFonts w:ascii="Arial" w:hAnsi="Arial"/>
          <w:b w:val="0"/>
          <w:i w:val="0"/>
          <w:sz w:val="21"/>
        </w:rPr>
        <w:t>It is productized from the MIPP PIOS — a governed “leadership brain” built for a national political organization, a domain where a single fabricated fact causes real damage. The hardest, most defensible parts of that system — governance, grounded retrieval, memory, the knowledge graph, the maturity model and the verification layer — are already industry-neutral. Only the vocabulary is domain-specific. That is exactly what makes a scalable software company.</w:t>
      </w:r>
    </w:p>
    <w:p>
      <w:pPr>
        <w:spacing w:after="140" w:line="283" w:lineRule="auto"/>
      </w:pPr>
      <w:r>
        <w:rPr>
          <w:rFonts w:ascii="Arial" w:hAnsi="Arial"/>
          <w:b/>
          <w:i w:val="0"/>
          <w:sz w:val="21"/>
        </w:rPr>
        <w:t xml:space="preserve">The category is the wedge. </w:t>
      </w:r>
      <w:r>
        <w:rPr>
          <w:rFonts w:ascii="Arial" w:hAnsi="Arial"/>
          <w:b w:val="0"/>
          <w:i w:val="0"/>
          <w:sz w:val="21"/>
        </w:rPr>
        <w:t>Generic AI tools answer questions. CORTEX remembers, reasons, decides, executes and improves — and never fabricates, because every claim carries a source, a confidence band and, for high-stakes output, a named human approver. We are not “ChatGPT for your company.” We name and own the category: BIOS — the Business Intelligence Operating System.</w:t>
      </w:r>
    </w:p>
    <w:p>
      <w:pPr>
        <w:spacing w:after="140" w:line="283" w:lineRule="auto"/>
      </w:pPr>
      <w:r>
        <w:rPr>
          <w:rFonts w:ascii="Arial" w:hAnsi="Arial"/>
          <w:b/>
          <w:i w:val="0"/>
          <w:sz w:val="21"/>
        </w:rPr>
        <w:t xml:space="preserve">The model is build-once-sell-many. </w:t>
      </w:r>
      <w:r>
        <w:rPr>
          <w:rFonts w:ascii="Arial" w:hAnsi="Arial"/>
          <w:b w:val="0"/>
          <w:i w:val="0"/>
          <w:sz w:val="21"/>
        </w:rPr>
        <w:t>One universal platform (three pillars, eight layers, a five-level maturity ladder), configured per industry by reusable templates, delivered by a repeatable methodology (the CORTEX Method) that walks each client up the ladder. New verticals are new templates — not new engineering.</w:t>
      </w:r>
    </w:p>
    <w:p>
      <w:pPr>
        <w:pStyle w:val="Heading3"/>
      </w:pPr>
      <w:r>
        <w:t>Headline numbers (base case)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888"/>
            <w:shd w:val="clear" w:fill="C45A1A"/>
            <w:tcBorders>
              <w:top w:val="single" w:sz="4" w:color="D8D2C8"/>
              <w:left w:val="single" w:sz="4" w:color="D8D2C8"/>
              <w:bottom w:val="single" w:sz="4" w:color="D8D2C8"/>
              <w:right w:val="single" w:sz="4" w:color="D8D2C8"/>
            </w:tcBorders>
          </w:tcPr>
          <w:p>
            <w:pPr>
              <w:spacing w:after="0"/>
            </w:pPr>
            <w:r>
              <w:rPr>
                <w:rFonts w:ascii="Arial" w:hAnsi="Arial"/>
                <w:b/>
                <w:color w:val="FFFFFF"/>
                <w:sz w:val="18"/>
              </w:rPr>
              <w:t>Metric</w:t>
            </w:r>
          </w:p>
        </w:tc>
        <w:tc>
          <w:tcPr>
            <w:tcW w:type="dxa" w:w="2736"/>
            <w:shd w:val="clear" w:fill="C45A1A"/>
            <w:tcBorders>
              <w:top w:val="single" w:sz="4" w:color="D8D2C8"/>
              <w:left w:val="single" w:sz="4" w:color="D8D2C8"/>
              <w:bottom w:val="single" w:sz="4" w:color="D8D2C8"/>
              <w:right w:val="single" w:sz="4" w:color="D8D2C8"/>
            </w:tcBorders>
          </w:tcPr>
          <w:p>
            <w:pPr>
              <w:spacing w:after="0"/>
            </w:pPr>
            <w:r>
              <w:rPr>
                <w:rFonts w:ascii="Arial" w:hAnsi="Arial"/>
                <w:b/>
                <w:color w:val="FFFFFF"/>
                <w:sz w:val="18"/>
              </w:rPr>
              <w:t>Year 1</w:t>
            </w:r>
          </w:p>
        </w:tc>
        <w:tc>
          <w:tcPr>
            <w:tcW w:type="dxa" w:w="2736"/>
            <w:shd w:val="clear" w:fill="C45A1A"/>
            <w:tcBorders>
              <w:top w:val="single" w:sz="4" w:color="D8D2C8"/>
              <w:left w:val="single" w:sz="4" w:color="D8D2C8"/>
              <w:bottom w:val="single" w:sz="4" w:color="D8D2C8"/>
              <w:right w:val="single" w:sz="4" w:color="D8D2C8"/>
            </w:tcBorders>
          </w:tcPr>
          <w:p>
            <w:pPr>
              <w:spacing w:after="0"/>
            </w:pPr>
            <w:r>
              <w:rPr>
                <w:rFonts w:ascii="Arial" w:hAnsi="Arial"/>
                <w:b/>
                <w:color w:val="FFFFFF"/>
                <w:sz w:val="18"/>
              </w:rPr>
              <w:t>Year 2</w:t>
            </w:r>
          </w:p>
        </w:tc>
        <w:tc>
          <w:tcPr>
            <w:tcW w:type="dxa" w:w="2736"/>
            <w:shd w:val="clear" w:fill="C45A1A"/>
            <w:tcBorders>
              <w:top w:val="single" w:sz="4" w:color="D8D2C8"/>
              <w:left w:val="single" w:sz="4" w:color="D8D2C8"/>
              <w:bottom w:val="single" w:sz="4" w:color="D8D2C8"/>
              <w:right w:val="single" w:sz="4" w:color="D8D2C8"/>
            </w:tcBorders>
          </w:tcPr>
          <w:p>
            <w:pPr>
              <w:spacing w:after="0"/>
            </w:pPr>
            <w:r>
              <w:rPr>
                <w:rFonts w:ascii="Arial" w:hAnsi="Arial"/>
                <w:b/>
                <w:color w:val="FFFFFF"/>
                <w:sz w:val="18"/>
              </w:rPr>
              <w:t>Year 3</w:t>
            </w:r>
          </w:p>
        </w:tc>
      </w:tr>
      <w:tr>
        <w:tc>
          <w:tcPr>
            <w:tcW w:type="dxa" w:w="3888"/>
            <w:tcBorders>
              <w:top w:val="single" w:sz="4" w:color="D8D2C8"/>
              <w:left w:val="single" w:sz="4" w:color="D8D2C8"/>
              <w:bottom w:val="single" w:sz="4" w:color="D8D2C8"/>
              <w:right w:val="single" w:sz="4" w:color="D8D2C8"/>
            </w:tcBorders>
            <w:shd w:val="clear" w:fill="EDEAE4"/>
          </w:tcPr>
          <w:p>
            <w:pPr>
              <w:spacing w:after="0" w:line="252" w:lineRule="auto"/>
            </w:pPr>
            <w:r>
              <w:rPr>
                <w:rFonts w:ascii="Arial" w:hAnsi="Arial"/>
                <w:b/>
                <w:sz w:val="17"/>
              </w:rPr>
              <w:t>Total revenue (USD)</w:t>
            </w:r>
          </w:p>
        </w:tc>
        <w:tc>
          <w:tcPr>
            <w:tcW w:type="dxa" w:w="2736"/>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$214K</w:t>
            </w:r>
          </w:p>
        </w:tc>
        <w:tc>
          <w:tcPr>
            <w:tcW w:type="dxa" w:w="2736"/>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$921K</w:t>
            </w:r>
          </w:p>
        </w:tc>
        <w:tc>
          <w:tcPr>
            <w:tcW w:type="dxa" w:w="2736"/>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$2.59M</w:t>
            </w:r>
          </w:p>
        </w:tc>
      </w:tr>
      <w:tr>
        <w:tc>
          <w:tcPr>
            <w:tcW w:type="dxa" w:w="3888"/>
            <w:tcBorders>
              <w:top w:val="single" w:sz="4" w:color="D8D2C8"/>
              <w:left w:val="single" w:sz="4" w:color="D8D2C8"/>
              <w:bottom w:val="single" w:sz="4" w:color="D8D2C8"/>
              <w:right w:val="single" w:sz="4" w:color="D8D2C8"/>
            </w:tcBorders>
            <w:shd w:val="clear" w:fill="EDEAE4"/>
          </w:tcPr>
          <w:p>
            <w:pPr>
              <w:spacing w:after="0" w:line="252" w:lineRule="auto"/>
            </w:pPr>
            <w:r>
              <w:rPr>
                <w:rFonts w:ascii="Arial" w:hAnsi="Arial"/>
                <w:b/>
                <w:sz w:val="17"/>
              </w:rPr>
              <w:t>Recurring revenue (ARR)</w:t>
            </w:r>
          </w:p>
        </w:tc>
        <w:tc>
          <w:tcPr>
            <w:tcW w:type="dxa" w:w="2736"/>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$148K</w:t>
            </w:r>
          </w:p>
        </w:tc>
        <w:tc>
          <w:tcPr>
            <w:tcW w:type="dxa" w:w="2736"/>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$670K</w:t>
            </w:r>
          </w:p>
        </w:tc>
        <w:tc>
          <w:tcPr>
            <w:tcW w:type="dxa" w:w="2736"/>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$1.95M</w:t>
            </w:r>
          </w:p>
        </w:tc>
      </w:tr>
      <w:tr>
        <w:tc>
          <w:tcPr>
            <w:tcW w:type="dxa" w:w="3888"/>
            <w:tcBorders>
              <w:top w:val="single" w:sz="4" w:color="D8D2C8"/>
              <w:left w:val="single" w:sz="4" w:color="D8D2C8"/>
              <w:bottom w:val="single" w:sz="4" w:color="D8D2C8"/>
              <w:right w:val="single" w:sz="4" w:color="D8D2C8"/>
            </w:tcBorders>
            <w:shd w:val="clear" w:fill="EDEAE4"/>
          </w:tcPr>
          <w:p>
            <w:pPr>
              <w:spacing w:after="0" w:line="252" w:lineRule="auto"/>
            </w:pPr>
            <w:r>
              <w:rPr>
                <w:rFonts w:ascii="Arial" w:hAnsi="Arial"/>
                <w:b/>
                <w:sz w:val="17"/>
              </w:rPr>
              <w:t>Gross margin</w:t>
            </w:r>
          </w:p>
        </w:tc>
        <w:tc>
          <w:tcPr>
            <w:tcW w:type="dxa" w:w="2736"/>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72%</w:t>
            </w:r>
          </w:p>
        </w:tc>
        <w:tc>
          <w:tcPr>
            <w:tcW w:type="dxa" w:w="2736"/>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73%</w:t>
            </w:r>
          </w:p>
        </w:tc>
        <w:tc>
          <w:tcPr>
            <w:tcW w:type="dxa" w:w="2736"/>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74%</w:t>
            </w:r>
          </w:p>
        </w:tc>
      </w:tr>
      <w:tr>
        <w:tc>
          <w:tcPr>
            <w:tcW w:type="dxa" w:w="3888"/>
            <w:tcBorders>
              <w:top w:val="single" w:sz="4" w:color="D8D2C8"/>
              <w:left w:val="single" w:sz="4" w:color="D8D2C8"/>
              <w:bottom w:val="single" w:sz="4" w:color="D8D2C8"/>
              <w:right w:val="single" w:sz="4" w:color="D8D2C8"/>
            </w:tcBorders>
            <w:shd w:val="clear" w:fill="EDEAE4"/>
          </w:tcPr>
          <w:p>
            <w:pPr>
              <w:spacing w:after="0" w:line="252" w:lineRule="auto"/>
            </w:pPr>
            <w:r>
              <w:rPr>
                <w:rFonts w:ascii="Arial" w:hAnsi="Arial"/>
                <w:b/>
                <w:sz w:val="17"/>
              </w:rPr>
              <w:t>EBITDA</w:t>
            </w:r>
          </w:p>
        </w:tc>
        <w:tc>
          <w:tcPr>
            <w:tcW w:type="dxa" w:w="2736"/>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($25K)</w:t>
            </w:r>
          </w:p>
        </w:tc>
        <w:tc>
          <w:tcPr>
            <w:tcW w:type="dxa" w:w="2736"/>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$154K</w:t>
            </w:r>
          </w:p>
        </w:tc>
        <w:tc>
          <w:tcPr>
            <w:tcW w:type="dxa" w:w="2736"/>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$765K</w:t>
            </w:r>
          </w:p>
        </w:tc>
      </w:tr>
      <w:tr>
        <w:tc>
          <w:tcPr>
            <w:tcW w:type="dxa" w:w="3888"/>
            <w:tcBorders>
              <w:top w:val="single" w:sz="4" w:color="D8D2C8"/>
              <w:left w:val="single" w:sz="4" w:color="D8D2C8"/>
              <w:bottom w:val="single" w:sz="4" w:color="D8D2C8"/>
              <w:right w:val="single" w:sz="4" w:color="D8D2C8"/>
            </w:tcBorders>
            <w:shd w:val="clear" w:fill="EDEAE4"/>
          </w:tcPr>
          <w:p>
            <w:pPr>
              <w:spacing w:after="0" w:line="252" w:lineRule="auto"/>
            </w:pPr>
            <w:r>
              <w:rPr>
                <w:rFonts w:ascii="Arial" w:hAnsi="Arial"/>
                <w:b/>
                <w:sz w:val="17"/>
              </w:rPr>
              <w:t>Active clients</w:t>
            </w:r>
          </w:p>
        </w:tc>
        <w:tc>
          <w:tcPr>
            <w:tcW w:type="dxa" w:w="2736"/>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16</w:t>
            </w:r>
          </w:p>
        </w:tc>
        <w:tc>
          <w:tcPr>
            <w:tcW w:type="dxa" w:w="2736"/>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76</w:t>
            </w:r>
          </w:p>
        </w:tc>
        <w:tc>
          <w:tcPr>
            <w:tcW w:type="dxa" w:w="2736"/>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243</w:t>
            </w:r>
          </w:p>
        </w:tc>
      </w:tr>
      <w:tr>
        <w:tc>
          <w:tcPr>
            <w:tcW w:type="dxa" w:w="3888"/>
            <w:tcBorders>
              <w:top w:val="single" w:sz="4" w:color="D8D2C8"/>
              <w:left w:val="single" w:sz="4" w:color="D8D2C8"/>
              <w:bottom w:val="single" w:sz="4" w:color="D8D2C8"/>
              <w:right w:val="single" w:sz="4" w:color="D8D2C8"/>
            </w:tcBorders>
            <w:shd w:val="clear" w:fill="EDEAE4"/>
          </w:tcPr>
          <w:p>
            <w:pPr>
              <w:spacing w:after="0" w:line="252" w:lineRule="auto"/>
            </w:pPr>
            <w:r>
              <w:rPr>
                <w:rFonts w:ascii="Arial" w:hAnsi="Arial"/>
                <w:b/>
                <w:sz w:val="17"/>
              </w:rPr>
              <w:t>Exit-rate MRR</w:t>
            </w:r>
          </w:p>
        </w:tc>
        <w:tc>
          <w:tcPr>
            <w:tcW w:type="dxa" w:w="2736"/>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$12.4K</w:t>
            </w:r>
          </w:p>
        </w:tc>
        <w:tc>
          <w:tcPr>
            <w:tcW w:type="dxa" w:w="2736"/>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$55.9K</w:t>
            </w:r>
          </w:p>
        </w:tc>
        <w:tc>
          <w:tcPr>
            <w:tcW w:type="dxa" w:w="2736"/>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$162.8K</w:t>
            </w:r>
          </w:p>
        </w:tc>
      </w:tr>
    </w:tbl>
    <w:p>
      <w:pPr>
        <w:spacing w:after="120"/>
      </w:pPr>
    </w:p>
    <w:p>
      <w:pPr>
        <w:spacing w:after="140" w:line="283" w:lineRule="auto"/>
      </w:pPr>
      <w:r>
        <w:rPr>
          <w:rFonts w:ascii="Arial" w:hAnsi="Arial"/>
          <w:b/>
          <w:i w:val="0"/>
          <w:sz w:val="21"/>
        </w:rPr>
        <w:t xml:space="preserve">The ask. </w:t>
      </w:r>
      <w:r>
        <w:rPr>
          <w:rFonts w:ascii="Arial" w:hAnsi="Arial"/>
          <w:b w:val="0"/>
          <w:i w:val="0"/>
          <w:sz w:val="21"/>
        </w:rPr>
        <w:t>Bootstrap the services-led pilot phase from winsym.ai cash flow plus a small (USD 150–300K) angel/grant round to fund the first engineers and the platform build, converting to a priced seed once 2–3 reference clients and a hardened vertical template are in place.</w:t>
      </w:r>
    </w:p>
    <w:p>
      <w:pPr>
        <w:pStyle w:val="Heading1"/>
        <w:pBdr>
          <w:bottom w:val="single" w:sz="6" w:space="6" w:color="C45A1A"/>
        </w:pBdr>
      </w:pPr>
      <w:r>
        <w:t>2. Market Analysis</w:t>
      </w:r>
    </w:p>
    <w:p>
      <w:pPr>
        <w:spacing w:after="140" w:line="283" w:lineRule="auto"/>
      </w:pPr>
      <w:r>
        <w:rPr>
          <w:rFonts w:ascii="Arial" w:hAnsi="Arial"/>
          <w:b w:val="0"/>
          <w:i w:val="0"/>
          <w:sz w:val="21"/>
        </w:rPr>
        <w:t>CORTEX sits at the intersection of five fast-growing, currently-fragmented markets. The strategic insight: buyers are forced to assemble a brain from four or five tools that don’t share a knowledge graph, governance model or memory — and none is grounded enough to trust for consequential work. CORTEX collapses the stack.</w:t>
      </w:r>
    </w:p>
    <w:p>
      <w:pPr>
        <w:pStyle w:val="Heading2"/>
      </w:pPr>
      <w:r>
        <w:t>2.1 AI consulting providers</w:t>
      </w:r>
    </w:p>
    <w:p>
      <w:pPr>
        <w:spacing w:after="140" w:line="283" w:lineRule="auto"/>
      </w:pPr>
      <w:r>
        <w:rPr>
          <w:rFonts w:ascii="Arial" w:hAnsi="Arial"/>
          <w:b w:val="0"/>
          <w:i w:val="0"/>
          <w:sz w:val="21"/>
        </w:rPr>
        <w:t xml:space="preserve">The Big Four (Accenture, Deloitte, McKinsey QuantumBlack, BCG X) and a long tail of boutiques sell AI strategy and bespoke builds. Expensive, slow, and they leave nothing reusable: every engagement re-learns the client and the deliverable is a deck, not a compounding asset. </w:t>
      </w:r>
      <w:r>
        <w:rPr>
          <w:rFonts w:ascii="Arial" w:hAnsi="Arial"/>
          <w:b/>
          <w:i w:val="0"/>
          <w:sz w:val="21"/>
        </w:rPr>
        <w:t xml:space="preserve">Gap: </w:t>
      </w:r>
      <w:r>
        <w:rPr>
          <w:rFonts w:ascii="Arial" w:hAnsi="Arial"/>
          <w:b w:val="0"/>
          <w:i w:val="0"/>
          <w:sz w:val="21"/>
        </w:rPr>
        <w:t>no productized, governed system the client keeps and grows. CORTEX delivers the consulting outcome as installed, owned software.</w:t>
      </w:r>
    </w:p>
    <w:p>
      <w:pPr>
        <w:pStyle w:val="Heading2"/>
      </w:pPr>
      <w:r>
        <w:t>2.2 AI Operating Systems</w:t>
      </w:r>
    </w:p>
    <w:p>
      <w:pPr>
        <w:spacing w:after="140" w:line="283" w:lineRule="auto"/>
      </w:pPr>
      <w:r>
        <w:rPr>
          <w:rFonts w:ascii="Arial" w:hAnsi="Arial"/>
          <w:b w:val="0"/>
          <w:i w:val="0"/>
          <w:sz w:val="21"/>
        </w:rPr>
        <w:t xml:space="preserve">Palantir Foundry + AIP is the closest analogue — an ontology-plus-AI operational layer — but priced and scoped for governments and the Fortune 500 (custom, six-to-seven-figure, land-and-expand) and heavy to implement. </w:t>
      </w:r>
      <w:r>
        <w:rPr>
          <w:rFonts w:ascii="Arial" w:hAnsi="Arial"/>
          <w:b/>
          <w:i w:val="0"/>
          <w:sz w:val="21"/>
        </w:rPr>
        <w:t xml:space="preserve">Gap: </w:t>
      </w:r>
      <w:r>
        <w:rPr>
          <w:rFonts w:ascii="Arial" w:hAnsi="Arial"/>
          <w:b w:val="0"/>
          <w:i w:val="0"/>
          <w:sz w:val="21"/>
        </w:rPr>
        <w:t>there is no Palantir for the SME and mid-market. CORTEX brings ontology + governance + grounded AI down to 1–2,500-person organizations at a price they can pay.</w:t>
      </w:r>
    </w:p>
    <w:p>
      <w:pPr>
        <w:pStyle w:val="Heading2"/>
      </w:pPr>
      <w:r>
        <w:t>2.3 Knowledge management systems</w:t>
      </w:r>
    </w:p>
    <w:p>
      <w:pPr>
        <w:spacing w:after="140" w:line="283" w:lineRule="auto"/>
      </w:pPr>
      <w:r>
        <w:rPr>
          <w:rFonts w:ascii="Arial" w:hAnsi="Arial"/>
          <w:b w:val="0"/>
          <w:i w:val="0"/>
          <w:sz w:val="21"/>
        </w:rPr>
        <w:t xml:space="preserve">Glean, Guru and the AI-search category make knowledge findable. The KM software market is ~USD 16–26 billion in 2026, growing 14–18% annually; AI-in-KM is growing ~25%+ CAGR. </w:t>
      </w:r>
      <w:r>
        <w:rPr>
          <w:rFonts w:ascii="Arial" w:hAnsi="Arial"/>
          <w:b/>
          <w:i w:val="0"/>
          <w:sz w:val="21"/>
        </w:rPr>
        <w:t xml:space="preserve">Gap: </w:t>
      </w:r>
      <w:r>
        <w:rPr>
          <w:rFonts w:ascii="Arial" w:hAnsi="Arial"/>
          <w:b w:val="0"/>
          <w:i w:val="0"/>
          <w:sz w:val="21"/>
        </w:rPr>
        <w:t>these tools retrieve and answer — they don’t run processes, score decisions, or act. They are Maturity Level 2. CORTEX uses Level-2 knowledge as the floor, not the ceiling.</w:t>
      </w:r>
    </w:p>
    <w:p>
      <w:pPr>
        <w:pStyle w:val="Heading2"/>
      </w:pPr>
      <w:r>
        <w:t>2.4 AI agents</w:t>
      </w:r>
    </w:p>
    <w:p>
      <w:pPr>
        <w:spacing w:after="140" w:line="283" w:lineRule="auto"/>
      </w:pPr>
      <w:r>
        <w:rPr>
          <w:rFonts w:ascii="Arial" w:hAnsi="Arial"/>
          <w:b w:val="0"/>
          <w:i w:val="0"/>
          <w:sz w:val="21"/>
        </w:rPr>
        <w:t xml:space="preserve">Salesforce Agentforce, Microsoft Copilot agents and a wave of frameworks promise autonomous action; ~80% of enterprises are deploying generative AI by 2026. But agents acting on ungoverned, unverified knowledge amplify mistakes at scale. </w:t>
      </w:r>
      <w:r>
        <w:rPr>
          <w:rFonts w:ascii="Arial" w:hAnsi="Arial"/>
          <w:b/>
          <w:i w:val="0"/>
          <w:sz w:val="21"/>
        </w:rPr>
        <w:t xml:space="preserve">Gap: </w:t>
      </w:r>
      <w:r>
        <w:rPr>
          <w:rFonts w:ascii="Arial" w:hAnsi="Arial"/>
          <w:b w:val="0"/>
          <w:i w:val="0"/>
          <w:sz w:val="21"/>
        </w:rPr>
        <w:t>nobody sells the governed substrate underneath the agents. CORTEX’s iron rule — never automate on top of unverified knowledge — is the discipline the agent hype is missing.</w:t>
      </w:r>
    </w:p>
    <w:p>
      <w:pPr>
        <w:pStyle w:val="Heading2"/>
      </w:pPr>
      <w:r>
        <w:t>2.5 Internal GPT / “company ChatGPT” solutions</w:t>
      </w:r>
    </w:p>
    <w:p>
      <w:pPr>
        <w:spacing w:after="140" w:line="283" w:lineRule="auto"/>
      </w:pPr>
      <w:r>
        <w:rPr>
          <w:rFonts w:ascii="Arial" w:hAnsi="Arial"/>
          <w:b w:val="0"/>
          <w:i w:val="0"/>
          <w:sz w:val="21"/>
        </w:rPr>
        <w:t xml:space="preserve">ChatGPT Enterprise, Claude for Teams/Enterprise and internal RAG builds give staff a private assistant — powerful but generic: no business knowledge graph, weak/optional governance, no permanent memory, no decision scoring, persistent hallucination risk. </w:t>
      </w:r>
      <w:r>
        <w:rPr>
          <w:rFonts w:ascii="Arial" w:hAnsi="Arial"/>
          <w:b/>
          <w:i w:val="0"/>
          <w:sz w:val="21"/>
        </w:rPr>
        <w:t xml:space="preserve">Gap: </w:t>
      </w:r>
      <w:r>
        <w:rPr>
          <w:rFonts w:ascii="Arial" w:hAnsi="Arial"/>
          <w:b w:val="0"/>
          <w:i w:val="0"/>
          <w:sz w:val="21"/>
        </w:rPr>
        <w:t>the trust layer. For clinics, law firms and enterprises — the buyers with the most to spend — a tool that can fabricate is unusable. CORTEX is built no-fabrication-first.</w:t>
      </w:r>
    </w:p>
    <w:p>
      <w:pPr>
        <w:pStyle w:val="Heading2"/>
      </w:pPr>
      <w:r>
        <w:t>2.6 Opportunities &amp; market gaps</w:t>
      </w:r>
    </w:p>
    <w:p>
      <w:pPr>
        <w:pStyle w:val="ListBullet"/>
        <w:spacing w:after="80" w:line="276" w:lineRule="auto"/>
      </w:pPr>
      <w:r>
        <w:rPr>
          <w:rFonts w:ascii="Arial" w:hAnsi="Arial"/>
          <w:b/>
          <w:sz w:val="21"/>
        </w:rPr>
        <w:t xml:space="preserve">The mid-market “Palantir gap.” </w:t>
      </w:r>
      <w:r>
        <w:rPr>
          <w:rFonts w:ascii="Arial" w:hAnsi="Arial"/>
          <w:b w:val="0"/>
          <w:sz w:val="21"/>
        </w:rPr>
        <w:t>Governed, ontology-driven AI exists only at the top; 99% of organizations are priced out. The single biggest opening.</w:t>
      </w:r>
    </w:p>
    <w:p>
      <w:pPr>
        <w:pStyle w:val="ListBullet"/>
        <w:spacing w:after="80" w:line="276" w:lineRule="auto"/>
      </w:pPr>
      <w:r>
        <w:rPr>
          <w:rFonts w:ascii="Arial" w:hAnsi="Arial"/>
          <w:b/>
          <w:sz w:val="21"/>
        </w:rPr>
        <w:t xml:space="preserve">The trust gap. </w:t>
      </w:r>
      <w:r>
        <w:rPr>
          <w:rFonts w:ascii="Arial" w:hAnsi="Arial"/>
          <w:b w:val="0"/>
          <w:sz w:val="21"/>
        </w:rPr>
        <w:t>Regulated buyers cannot use tools that hallucinate. Grounded, sourced, human-approved output is a wedge generic AI can’t copy without rebuilding its core.</w:t>
      </w:r>
    </w:p>
    <w:p>
      <w:pPr>
        <w:pStyle w:val="ListBullet"/>
        <w:spacing w:after="80" w:line="276" w:lineRule="auto"/>
      </w:pPr>
      <w:r>
        <w:rPr>
          <w:rFonts w:ascii="Arial" w:hAnsi="Arial"/>
          <w:b/>
          <w:sz w:val="21"/>
        </w:rPr>
        <w:t xml:space="preserve">The integration gap. </w:t>
      </w:r>
      <w:r>
        <w:rPr>
          <w:rFonts w:ascii="Arial" w:hAnsi="Arial"/>
          <w:b w:val="0"/>
          <w:sz w:val="21"/>
        </w:rPr>
        <w:t>Buyers stitch together search + chat + CRM + automation. One governed brain spanning all eight functions is simpler and stickier.</w:t>
      </w:r>
    </w:p>
    <w:p>
      <w:pPr>
        <w:pStyle w:val="ListBullet"/>
        <w:spacing w:after="80" w:line="276" w:lineRule="auto"/>
      </w:pPr>
      <w:r>
        <w:rPr>
          <w:rFonts w:ascii="Arial" w:hAnsi="Arial"/>
          <w:b/>
          <w:sz w:val="21"/>
        </w:rPr>
        <w:t xml:space="preserve">The Southeast Asia timing gap. </w:t>
      </w:r>
      <w:r>
        <w:rPr>
          <w:rFonts w:ascii="Arial" w:hAnsi="Arial"/>
          <w:b w:val="0"/>
          <w:sz w:val="21"/>
        </w:rPr>
        <w:t>SEA’s AI market is expanding from ~USD 12B (2026) toward ~USD 80B (2031); Malaysia has ~68% professional AI adoption and a national “AI Nation 2030” push, yet a documented governance and data-readiness gap. High intent, low maturity, weak governance = the perfect entry market for a governed brain.</w:t>
      </w:r>
    </w:p>
    <w:p>
      <w:pPr>
        <w:pStyle w:val="ListBullet"/>
        <w:spacing w:after="80" w:line="276" w:lineRule="auto"/>
      </w:pPr>
      <w:r>
        <w:rPr>
          <w:rFonts w:ascii="Arial" w:hAnsi="Arial"/>
          <w:b/>
          <w:sz w:val="21"/>
        </w:rPr>
        <w:t xml:space="preserve">The compounding-asset gap. </w:t>
      </w:r>
      <w:r>
        <w:rPr>
          <w:rFonts w:ascii="Arial" w:hAnsi="Arial"/>
          <w:b w:val="0"/>
          <w:sz w:val="21"/>
        </w:rPr>
        <w:t>Every competitor sells a tool; CORTEX sells an asset that gets more valuable and more locked-in the longer it runs.</w:t>
      </w:r>
    </w:p>
    <w:p>
      <w:r>
        <w:br w:type="page"/>
      </w:r>
    </w:p>
    <w:p>
      <w:pPr>
        <w:pStyle w:val="Heading1"/>
        <w:pBdr>
          <w:bottom w:val="single" w:sz="6" w:space="6" w:color="C45A1A"/>
        </w:pBdr>
      </w:pPr>
      <w:r>
        <w:t>3. Competitor Analysis</w:t>
      </w:r>
    </w:p>
    <w:p>
      <w:pPr>
        <w:spacing w:after="140" w:line="283" w:lineRule="auto"/>
      </w:pPr>
      <w:r>
        <w:rPr>
          <w:rFonts w:ascii="Arial" w:hAnsi="Arial"/>
          <w:b w:val="0"/>
          <w:i w:val="0"/>
          <w:sz w:val="21"/>
        </w:rPr>
        <w:t>No incumbent occupies CORTEX’s position: a governed, grounded, full-stack business brain priced for organizations below the enterprise mega-cap tier. Each competitor owns one slice; none owns the whole brain with trust built in. Pricing reflects publicly reported 2026 figures (mostly sales-quoted, not list).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val="clear" w:fill="C45A1A"/>
            <w:tcBorders>
              <w:top w:val="single" w:sz="4" w:color="D8D2C8"/>
              <w:left w:val="single" w:sz="4" w:color="D8D2C8"/>
              <w:bottom w:val="single" w:sz="4" w:color="D8D2C8"/>
              <w:right w:val="single" w:sz="4" w:color="D8D2C8"/>
            </w:tcBorders>
          </w:tcPr>
          <w:p>
            <w:pPr>
              <w:spacing w:after="0"/>
            </w:pPr>
            <w:r>
              <w:rPr>
                <w:rFonts w:ascii="Arial" w:hAnsi="Arial"/>
                <w:b/>
                <w:color w:val="FFFFFF"/>
                <w:sz w:val="18"/>
              </w:rPr>
              <w:t>Player</w:t>
            </w:r>
          </w:p>
        </w:tc>
        <w:tc>
          <w:tcPr>
            <w:tcW w:type="dxa" w:w="2808"/>
            <w:shd w:val="clear" w:fill="C45A1A"/>
            <w:tcBorders>
              <w:top w:val="single" w:sz="4" w:color="D8D2C8"/>
              <w:left w:val="single" w:sz="4" w:color="D8D2C8"/>
              <w:bottom w:val="single" w:sz="4" w:color="D8D2C8"/>
              <w:right w:val="single" w:sz="4" w:color="D8D2C8"/>
            </w:tcBorders>
          </w:tcPr>
          <w:p>
            <w:pPr>
              <w:spacing w:after="0"/>
            </w:pPr>
            <w:r>
              <w:rPr>
                <w:rFonts w:ascii="Arial" w:hAnsi="Arial"/>
                <w:b/>
                <w:color w:val="FFFFFF"/>
                <w:sz w:val="18"/>
              </w:rPr>
              <w:t>What it is</w:t>
            </w:r>
          </w:p>
        </w:tc>
        <w:tc>
          <w:tcPr>
            <w:tcW w:type="dxa" w:w="3384"/>
            <w:shd w:val="clear" w:fill="C45A1A"/>
            <w:tcBorders>
              <w:top w:val="single" w:sz="4" w:color="D8D2C8"/>
              <w:left w:val="single" w:sz="4" w:color="D8D2C8"/>
              <w:bottom w:val="single" w:sz="4" w:color="D8D2C8"/>
              <w:right w:val="single" w:sz="4" w:color="D8D2C8"/>
            </w:tcBorders>
          </w:tcPr>
          <w:p>
            <w:pPr>
              <w:spacing w:after="0"/>
            </w:pPr>
            <w:r>
              <w:rPr>
                <w:rFonts w:ascii="Arial" w:hAnsi="Arial"/>
                <w:b/>
                <w:color w:val="FFFFFF"/>
                <w:sz w:val="18"/>
              </w:rPr>
              <w:t>Indicative 2026 price</w:t>
            </w:r>
          </w:p>
        </w:tc>
        <w:tc>
          <w:tcPr>
            <w:tcW w:type="dxa" w:w="3744"/>
            <w:shd w:val="clear" w:fill="C45A1A"/>
            <w:tcBorders>
              <w:top w:val="single" w:sz="4" w:color="D8D2C8"/>
              <w:left w:val="single" w:sz="4" w:color="D8D2C8"/>
              <w:bottom w:val="single" w:sz="4" w:color="D8D2C8"/>
              <w:right w:val="single" w:sz="4" w:color="D8D2C8"/>
            </w:tcBorders>
          </w:tcPr>
          <w:p>
            <w:pPr>
              <w:spacing w:after="0"/>
            </w:pPr>
            <w:r>
              <w:rPr>
                <w:rFonts w:ascii="Arial" w:hAnsi="Arial"/>
                <w:b/>
                <w:color w:val="FFFFFF"/>
                <w:sz w:val="18"/>
              </w:rPr>
              <w:t>Gap vs. CORTEX</w:t>
            </w:r>
          </w:p>
        </w:tc>
      </w:tr>
      <w:tr>
        <w:tc>
          <w:tcPr>
            <w:tcW w:type="dxa" w:w="2160"/>
            <w:tcBorders>
              <w:top w:val="single" w:sz="4" w:color="D8D2C8"/>
              <w:left w:val="single" w:sz="4" w:color="D8D2C8"/>
              <w:bottom w:val="single" w:sz="4" w:color="D8D2C8"/>
              <w:right w:val="single" w:sz="4" w:color="D8D2C8"/>
            </w:tcBorders>
            <w:shd w:val="clear" w:fill="EDEAE4"/>
          </w:tcPr>
          <w:p>
            <w:pPr>
              <w:spacing w:after="0" w:line="252" w:lineRule="auto"/>
            </w:pPr>
            <w:r>
              <w:rPr>
                <w:rFonts w:ascii="Arial" w:hAnsi="Arial"/>
                <w:b/>
                <w:sz w:val="17"/>
              </w:rPr>
              <w:t>Palantir Foundry/AIP</w:t>
            </w:r>
          </w:p>
        </w:tc>
        <w:tc>
          <w:tcPr>
            <w:tcW w:type="dxa" w:w="2808"/>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Ontology + AI operational layer</w:t>
            </w:r>
          </w:p>
        </w:tc>
        <w:tc>
          <w:tcPr>
            <w:tcW w:type="dxa" w:w="3384"/>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Custom; 6–7 figures, land-and-expand</w:t>
            </w:r>
          </w:p>
        </w:tc>
        <w:tc>
          <w:tcPr>
            <w:tcW w:type="dxa" w:w="3744"/>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Unreachable for SME/mid-market; heavy</w:t>
            </w:r>
          </w:p>
        </w:tc>
      </w:tr>
      <w:tr>
        <w:tc>
          <w:tcPr>
            <w:tcW w:type="dxa" w:w="2160"/>
            <w:tcBorders>
              <w:top w:val="single" w:sz="4" w:color="D8D2C8"/>
              <w:left w:val="single" w:sz="4" w:color="D8D2C8"/>
              <w:bottom w:val="single" w:sz="4" w:color="D8D2C8"/>
              <w:right w:val="single" w:sz="4" w:color="D8D2C8"/>
            </w:tcBorders>
            <w:shd w:val="clear" w:fill="EDEAE4"/>
          </w:tcPr>
          <w:p>
            <w:pPr>
              <w:spacing w:after="0" w:line="252" w:lineRule="auto"/>
            </w:pPr>
            <w:r>
              <w:rPr>
                <w:rFonts w:ascii="Arial" w:hAnsi="Arial"/>
                <w:b/>
                <w:sz w:val="17"/>
              </w:rPr>
              <w:t>Glean</w:t>
            </w:r>
          </w:p>
        </w:tc>
        <w:tc>
          <w:tcPr>
            <w:tcW w:type="dxa" w:w="2808"/>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Enterprise AI search/assistant</w:t>
            </w:r>
          </w:p>
        </w:tc>
        <w:tc>
          <w:tcPr>
            <w:tcW w:type="dxa" w:w="3384"/>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~$50/user + $15 AI; ~100-seat min; ~$60K+ ACV</w:t>
            </w:r>
          </w:p>
        </w:tc>
        <w:tc>
          <w:tcPr>
            <w:tcW w:type="dxa" w:w="3744"/>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Answers only; no execution, decisions, memory graph</w:t>
            </w:r>
          </w:p>
        </w:tc>
      </w:tr>
      <w:tr>
        <w:tc>
          <w:tcPr>
            <w:tcW w:type="dxa" w:w="2160"/>
            <w:tcBorders>
              <w:top w:val="single" w:sz="4" w:color="D8D2C8"/>
              <w:left w:val="single" w:sz="4" w:color="D8D2C8"/>
              <w:bottom w:val="single" w:sz="4" w:color="D8D2C8"/>
              <w:right w:val="single" w:sz="4" w:color="D8D2C8"/>
            </w:tcBorders>
            <w:shd w:val="clear" w:fill="EDEAE4"/>
          </w:tcPr>
          <w:p>
            <w:pPr>
              <w:spacing w:after="0" w:line="252" w:lineRule="auto"/>
            </w:pPr>
            <w:r>
              <w:rPr>
                <w:rFonts w:ascii="Arial" w:hAnsi="Arial"/>
                <w:b/>
                <w:sz w:val="17"/>
              </w:rPr>
              <w:t>Guru</w:t>
            </w:r>
          </w:p>
        </w:tc>
        <w:tc>
          <w:tcPr>
            <w:tcW w:type="dxa" w:w="2808"/>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AI knowledge management / wiki</w:t>
            </w:r>
          </w:p>
        </w:tc>
        <w:tc>
          <w:tcPr>
            <w:tcW w:type="dxa" w:w="3384"/>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~$25/seat; 10-seat minimum</w:t>
            </w:r>
          </w:p>
        </w:tc>
        <w:tc>
          <w:tcPr>
            <w:tcW w:type="dxa" w:w="3744"/>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Wiki, not a reasoning / operating brain</w:t>
            </w:r>
          </w:p>
        </w:tc>
      </w:tr>
      <w:tr>
        <w:tc>
          <w:tcPr>
            <w:tcW w:type="dxa" w:w="2160"/>
            <w:tcBorders>
              <w:top w:val="single" w:sz="4" w:color="D8D2C8"/>
              <w:left w:val="single" w:sz="4" w:color="D8D2C8"/>
              <w:bottom w:val="single" w:sz="4" w:color="D8D2C8"/>
              <w:right w:val="single" w:sz="4" w:color="D8D2C8"/>
            </w:tcBorders>
            <w:shd w:val="clear" w:fill="EDEAE4"/>
          </w:tcPr>
          <w:p>
            <w:pPr>
              <w:spacing w:after="0" w:line="252" w:lineRule="auto"/>
            </w:pPr>
            <w:r>
              <w:rPr>
                <w:rFonts w:ascii="Arial" w:hAnsi="Arial"/>
                <w:b/>
                <w:sz w:val="17"/>
              </w:rPr>
              <w:t>Notion AI</w:t>
            </w:r>
          </w:p>
        </w:tc>
        <w:tc>
          <w:tcPr>
            <w:tcW w:type="dxa" w:w="2808"/>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Workspace + AI</w:t>
            </w:r>
          </w:p>
        </w:tc>
        <w:tc>
          <w:tcPr>
            <w:tcW w:type="dxa" w:w="3384"/>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Business ~$20/member; AI bundled</w:t>
            </w:r>
          </w:p>
        </w:tc>
        <w:tc>
          <w:tcPr>
            <w:tcW w:type="dxa" w:w="3744"/>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No governance, grounding or RBAC depth</w:t>
            </w:r>
          </w:p>
        </w:tc>
      </w:tr>
      <w:tr>
        <w:tc>
          <w:tcPr>
            <w:tcW w:type="dxa" w:w="2160"/>
            <w:tcBorders>
              <w:top w:val="single" w:sz="4" w:color="D8D2C8"/>
              <w:left w:val="single" w:sz="4" w:color="D8D2C8"/>
              <w:bottom w:val="single" w:sz="4" w:color="D8D2C8"/>
              <w:right w:val="single" w:sz="4" w:color="D8D2C8"/>
            </w:tcBorders>
            <w:shd w:val="clear" w:fill="EDEAE4"/>
          </w:tcPr>
          <w:p>
            <w:pPr>
              <w:spacing w:after="0" w:line="252" w:lineRule="auto"/>
            </w:pPr>
            <w:r>
              <w:rPr>
                <w:rFonts w:ascii="Arial" w:hAnsi="Arial"/>
                <w:b/>
                <w:sz w:val="17"/>
              </w:rPr>
              <w:t>Microsoft 365 Copilot</w:t>
            </w:r>
          </w:p>
        </w:tc>
        <w:tc>
          <w:tcPr>
            <w:tcW w:type="dxa" w:w="2808"/>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AI across Office</w:t>
            </w:r>
          </w:p>
        </w:tc>
        <w:tc>
          <w:tcPr>
            <w:tcW w:type="dxa" w:w="3384"/>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$30/user enterprise add-on (on top of base)</w:t>
            </w:r>
          </w:p>
        </w:tc>
        <w:tc>
          <w:tcPr>
            <w:tcW w:type="dxa" w:w="3744"/>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Generic; no business knowledge graph or memory</w:t>
            </w:r>
          </w:p>
        </w:tc>
      </w:tr>
      <w:tr>
        <w:tc>
          <w:tcPr>
            <w:tcW w:type="dxa" w:w="2160"/>
            <w:tcBorders>
              <w:top w:val="single" w:sz="4" w:color="D8D2C8"/>
              <w:left w:val="single" w:sz="4" w:color="D8D2C8"/>
              <w:bottom w:val="single" w:sz="4" w:color="D8D2C8"/>
              <w:right w:val="single" w:sz="4" w:color="D8D2C8"/>
            </w:tcBorders>
            <w:shd w:val="clear" w:fill="EDEAE4"/>
          </w:tcPr>
          <w:p>
            <w:pPr>
              <w:spacing w:after="0" w:line="252" w:lineRule="auto"/>
            </w:pPr>
            <w:r>
              <w:rPr>
                <w:rFonts w:ascii="Arial" w:hAnsi="Arial"/>
                <w:b/>
                <w:sz w:val="17"/>
              </w:rPr>
              <w:t>ChatGPT Enterprise</w:t>
            </w:r>
          </w:p>
        </w:tc>
        <w:tc>
          <w:tcPr>
            <w:tcW w:type="dxa" w:w="2808"/>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Private GPT for staff</w:t>
            </w:r>
          </w:p>
        </w:tc>
        <w:tc>
          <w:tcPr>
            <w:tcW w:type="dxa" w:w="3384"/>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~$50–60/user; 150-seat min; ~$108K/yr floor</w:t>
            </w:r>
          </w:p>
        </w:tc>
        <w:tc>
          <w:tcPr>
            <w:tcW w:type="dxa" w:w="3744"/>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No governed graph, memory or no-fabrication guarantee</w:t>
            </w:r>
          </w:p>
        </w:tc>
      </w:tr>
      <w:tr>
        <w:tc>
          <w:tcPr>
            <w:tcW w:type="dxa" w:w="2160"/>
            <w:tcBorders>
              <w:top w:val="single" w:sz="4" w:color="D8D2C8"/>
              <w:left w:val="single" w:sz="4" w:color="D8D2C8"/>
              <w:bottom w:val="single" w:sz="4" w:color="D8D2C8"/>
              <w:right w:val="single" w:sz="4" w:color="D8D2C8"/>
            </w:tcBorders>
            <w:shd w:val="clear" w:fill="EDEAE4"/>
          </w:tcPr>
          <w:p>
            <w:pPr>
              <w:spacing w:after="0" w:line="252" w:lineRule="auto"/>
            </w:pPr>
            <w:r>
              <w:rPr>
                <w:rFonts w:ascii="Arial" w:hAnsi="Arial"/>
                <w:b/>
                <w:sz w:val="17"/>
              </w:rPr>
              <w:t>Claude for Teams / Enterprise</w:t>
            </w:r>
          </w:p>
        </w:tc>
        <w:tc>
          <w:tcPr>
            <w:tcW w:type="dxa" w:w="2808"/>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Private Claude for staff</w:t>
            </w:r>
          </w:p>
        </w:tc>
        <w:tc>
          <w:tcPr>
            <w:tcW w:type="dxa" w:w="3384"/>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~$30/user (Team); Enterprise custom</w:t>
            </w:r>
          </w:p>
        </w:tc>
        <w:tc>
          <w:tcPr>
            <w:tcW w:type="dxa" w:w="3744"/>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Assistant, not an operating system</w:t>
            </w:r>
          </w:p>
        </w:tc>
      </w:tr>
      <w:tr>
        <w:tc>
          <w:tcPr>
            <w:tcW w:type="dxa" w:w="2160"/>
            <w:tcBorders>
              <w:top w:val="single" w:sz="4" w:color="D8D2C8"/>
              <w:left w:val="single" w:sz="4" w:color="D8D2C8"/>
              <w:bottom w:val="single" w:sz="4" w:color="D8D2C8"/>
              <w:right w:val="single" w:sz="4" w:color="D8D2C8"/>
            </w:tcBorders>
            <w:shd w:val="clear" w:fill="EDEAE4"/>
          </w:tcPr>
          <w:p>
            <w:pPr>
              <w:spacing w:after="0" w:line="252" w:lineRule="auto"/>
            </w:pPr>
            <w:r>
              <w:rPr>
                <w:rFonts w:ascii="Arial" w:hAnsi="Arial"/>
                <w:b/>
                <w:sz w:val="17"/>
              </w:rPr>
              <w:t>Salesforce Agentforce</w:t>
            </w:r>
          </w:p>
        </w:tc>
        <w:tc>
          <w:tcPr>
            <w:tcW w:type="dxa" w:w="2808"/>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Agents on CRM data</w:t>
            </w:r>
          </w:p>
        </w:tc>
        <w:tc>
          <w:tcPr>
            <w:tcW w:type="dxa" w:w="3384"/>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$2/conversation · $500/100K credits · ~$125/user</w:t>
            </w:r>
          </w:p>
        </w:tc>
        <w:tc>
          <w:tcPr>
            <w:tcW w:type="dxa" w:w="3744"/>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Locked to Salesforce; agents on ungoverned base</w:t>
            </w:r>
          </w:p>
        </w:tc>
      </w:tr>
    </w:tbl>
    <w:p>
      <w:pPr>
        <w:spacing w:after="120"/>
      </w:pPr>
    </w:p>
    <w:p>
      <w:pPr>
        <w:pStyle w:val="Heading2"/>
      </w:pPr>
      <w:r>
        <w:t>3.1 Other relevant players</w:t>
      </w:r>
    </w:p>
    <w:p>
      <w:pPr>
        <w:spacing w:after="140" w:line="283" w:lineRule="auto"/>
      </w:pPr>
      <w:r>
        <w:rPr>
          <w:rFonts w:ascii="Arial" w:hAnsi="Arial"/>
          <w:b w:val="0"/>
          <w:i w:val="0"/>
          <w:sz w:val="21"/>
        </w:rPr>
        <w:t>Microsoft Copilot Studio and AWS/Google build-your-own stacks (you build the governance), vertical point solutions (Harvey for law, Abridge/Hippocratic for health), and regional SI / consulting shops. All either require you to build governance yourself or solve one vertical. CORTEX productizes the governance and spans verticals via templates.</w:t>
      </w:r>
    </w:p>
    <w:p>
      <w:pPr>
        <w:pStyle w:val="Heading2"/>
      </w:pPr>
      <w:r>
        <w:t>3.2 Why CORTEX wins (the moat)</w:t>
      </w:r>
    </w:p>
    <w:p>
      <w:pPr>
        <w:pStyle w:val="ListNumber"/>
        <w:spacing w:after="80" w:line="276" w:lineRule="auto"/>
      </w:pPr>
      <w:r>
        <w:rPr>
          <w:rFonts w:ascii="Arial" w:hAnsi="Arial"/>
          <w:b/>
          <w:sz w:val="21"/>
        </w:rPr>
        <w:t xml:space="preserve">Governance + trust layer. </w:t>
      </w:r>
      <w:r>
        <w:rPr>
          <w:rFonts w:ascii="Arial" w:hAnsi="Arial"/>
          <w:b w:val="0"/>
          <w:sz w:val="21"/>
        </w:rPr>
        <w:t>Confidence bands, citations, human-approval tiers, no fabrication — what regulated buyers require, and a wedge generic AI can’t copy without rebuilding its core.</w:t>
      </w:r>
    </w:p>
    <w:p>
      <w:pPr>
        <w:pStyle w:val="ListNumber"/>
        <w:spacing w:after="80" w:line="276" w:lineRule="auto"/>
      </w:pPr>
      <w:r>
        <w:rPr>
          <w:rFonts w:ascii="Arial" w:hAnsi="Arial"/>
          <w:b/>
          <w:sz w:val="21"/>
        </w:rPr>
        <w:t xml:space="preserve">Knowledge graph + memory. </w:t>
      </w:r>
      <w:r>
        <w:rPr>
          <w:rFonts w:ascii="Arial" w:hAnsi="Arial"/>
          <w:b w:val="0"/>
          <w:sz w:val="21"/>
        </w:rPr>
        <w:t>Each client’s brain gets more valuable and more locked-in over time; switching means abandoning organizational memory.</w:t>
      </w:r>
    </w:p>
    <w:p>
      <w:pPr>
        <w:pStyle w:val="ListNumber"/>
        <w:spacing w:after="80" w:line="276" w:lineRule="auto"/>
      </w:pPr>
      <w:r>
        <w:rPr>
          <w:rFonts w:ascii="Arial" w:hAnsi="Arial"/>
          <w:b/>
          <w:sz w:val="21"/>
        </w:rPr>
        <w:t xml:space="preserve">Template library. </w:t>
      </w:r>
      <w:r>
        <w:rPr>
          <w:rFonts w:ascii="Arial" w:hAnsi="Arial"/>
          <w:b w:val="0"/>
          <w:sz w:val="21"/>
        </w:rPr>
        <w:t>A proprietary catalog of industry configurations makes every new vertical faster and cheaper than a competitor starting cold.</w:t>
      </w:r>
    </w:p>
    <w:p>
      <w:pPr>
        <w:pStyle w:val="ListNumber"/>
        <w:spacing w:after="80" w:line="276" w:lineRule="auto"/>
      </w:pPr>
      <w:r>
        <w:rPr>
          <w:rFonts w:ascii="Arial" w:hAnsi="Arial"/>
          <w:b/>
          <w:sz w:val="21"/>
        </w:rPr>
        <w:t xml:space="preserve">The methodology. </w:t>
      </w:r>
      <w:r>
        <w:rPr>
          <w:rFonts w:ascii="Arial" w:hAnsi="Arial"/>
          <w:b w:val="0"/>
          <w:sz w:val="21"/>
        </w:rPr>
        <w:t>The CORTEX Method turns implementation into a productized, teachable service — and the diagnostic is the sales pitch.</w:t>
      </w:r>
    </w:p>
    <w:p>
      <w:r>
        <w:br w:type="page"/>
      </w:r>
    </w:p>
    <w:p>
      <w:pPr>
        <w:pStyle w:val="Heading1"/>
        <w:pBdr>
          <w:bottom w:val="single" w:sz="6" w:space="6" w:color="C45A1A"/>
        </w:pBdr>
      </w:pPr>
      <w:r>
        <w:t>4. Offer Structure — The 4-Tier Ladder</w:t>
      </w:r>
    </w:p>
    <w:p>
      <w:pPr>
        <w:spacing w:after="140" w:line="283" w:lineRule="auto"/>
      </w:pPr>
      <w:r>
        <w:rPr>
          <w:rFonts w:ascii="Arial" w:hAnsi="Arial"/>
          <w:b w:val="0"/>
          <w:i w:val="0"/>
          <w:sz w:val="21"/>
        </w:rPr>
        <w:t>One platform, five maturity levels, four company sizes. Customers buy their way up the levels and switch on more layers — never re-platformed as they grow. The maturity gap itself is the value case in every sales conversation.</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944"/>
            <w:shd w:val="clear" w:fill="C45A1A"/>
            <w:tcBorders>
              <w:top w:val="single" w:sz="4" w:color="D8D2C8"/>
              <w:left w:val="single" w:sz="4" w:color="D8D2C8"/>
              <w:bottom w:val="single" w:sz="4" w:color="D8D2C8"/>
              <w:right w:val="single" w:sz="4" w:color="D8D2C8"/>
            </w:tcBorders>
          </w:tcPr>
          <w:p>
            <w:pPr>
              <w:spacing w:after="0"/>
            </w:pPr>
            <w:r>
              <w:rPr>
                <w:rFonts w:ascii="Arial" w:hAnsi="Arial"/>
                <w:b/>
                <w:color w:val="FFFFFF"/>
                <w:sz w:val="18"/>
              </w:rPr>
            </w:r>
          </w:p>
        </w:tc>
        <w:tc>
          <w:tcPr>
            <w:tcW w:type="dxa" w:w="2376"/>
            <w:shd w:val="clear" w:fill="C45A1A"/>
            <w:tcBorders>
              <w:top w:val="single" w:sz="4" w:color="D8D2C8"/>
              <w:left w:val="single" w:sz="4" w:color="D8D2C8"/>
              <w:bottom w:val="single" w:sz="4" w:color="D8D2C8"/>
              <w:right w:val="single" w:sz="4" w:color="D8D2C8"/>
            </w:tcBorders>
          </w:tcPr>
          <w:p>
            <w:pPr>
              <w:spacing w:after="0"/>
            </w:pPr>
            <w:r>
              <w:rPr>
                <w:rFonts w:ascii="Arial" w:hAnsi="Arial"/>
                <w:b/>
                <w:color w:val="FFFFFF"/>
                <w:sz w:val="18"/>
              </w:rPr>
              <w:t>STARTER</w:t>
            </w:r>
          </w:p>
        </w:tc>
        <w:tc>
          <w:tcPr>
            <w:tcW w:type="dxa" w:w="2376"/>
            <w:shd w:val="clear" w:fill="C45A1A"/>
            <w:tcBorders>
              <w:top w:val="single" w:sz="4" w:color="D8D2C8"/>
              <w:left w:val="single" w:sz="4" w:color="D8D2C8"/>
              <w:bottom w:val="single" w:sz="4" w:color="D8D2C8"/>
              <w:right w:val="single" w:sz="4" w:color="D8D2C8"/>
            </w:tcBorders>
          </w:tcPr>
          <w:p>
            <w:pPr>
              <w:spacing w:after="0"/>
            </w:pPr>
            <w:r>
              <w:rPr>
                <w:rFonts w:ascii="Arial" w:hAnsi="Arial"/>
                <w:b/>
                <w:color w:val="FFFFFF"/>
                <w:sz w:val="18"/>
              </w:rPr>
              <w:t>GROWTH</w:t>
            </w:r>
          </w:p>
        </w:tc>
        <w:tc>
          <w:tcPr>
            <w:tcW w:type="dxa" w:w="2520"/>
            <w:shd w:val="clear" w:fill="C45A1A"/>
            <w:tcBorders>
              <w:top w:val="single" w:sz="4" w:color="D8D2C8"/>
              <w:left w:val="single" w:sz="4" w:color="D8D2C8"/>
              <w:bottom w:val="single" w:sz="4" w:color="D8D2C8"/>
              <w:right w:val="single" w:sz="4" w:color="D8D2C8"/>
            </w:tcBorders>
          </w:tcPr>
          <w:p>
            <w:pPr>
              <w:spacing w:after="0"/>
            </w:pPr>
            <w:r>
              <w:rPr>
                <w:rFonts w:ascii="Arial" w:hAnsi="Arial"/>
                <w:b/>
                <w:color w:val="FFFFFF"/>
                <w:sz w:val="18"/>
              </w:rPr>
              <w:t>PROFESSIONAL</w:t>
            </w:r>
          </w:p>
        </w:tc>
        <w:tc>
          <w:tcPr>
            <w:tcW w:type="dxa" w:w="2592"/>
            <w:shd w:val="clear" w:fill="C45A1A"/>
            <w:tcBorders>
              <w:top w:val="single" w:sz="4" w:color="D8D2C8"/>
              <w:left w:val="single" w:sz="4" w:color="D8D2C8"/>
              <w:bottom w:val="single" w:sz="4" w:color="D8D2C8"/>
              <w:right w:val="single" w:sz="4" w:color="D8D2C8"/>
            </w:tcBorders>
          </w:tcPr>
          <w:p>
            <w:pPr>
              <w:spacing w:after="0"/>
            </w:pPr>
            <w:r>
              <w:rPr>
                <w:rFonts w:ascii="Arial" w:hAnsi="Arial"/>
                <w:b/>
                <w:color w:val="FFFFFF"/>
                <w:sz w:val="18"/>
              </w:rPr>
              <w:t>ENTERPRISE</w:t>
            </w:r>
          </w:p>
        </w:tc>
      </w:tr>
      <w:tr>
        <w:tc>
          <w:tcPr>
            <w:tcW w:type="dxa" w:w="1944"/>
            <w:tcBorders>
              <w:top w:val="single" w:sz="4" w:color="D8D2C8"/>
              <w:left w:val="single" w:sz="4" w:color="D8D2C8"/>
              <w:bottom w:val="single" w:sz="4" w:color="D8D2C8"/>
              <w:right w:val="single" w:sz="4" w:color="D8D2C8"/>
            </w:tcBorders>
            <w:shd w:val="clear" w:fill="EDEAE4"/>
          </w:tcPr>
          <w:p>
            <w:pPr>
              <w:spacing w:after="0" w:line="252" w:lineRule="auto"/>
            </w:pPr>
            <w:r>
              <w:rPr>
                <w:rFonts w:ascii="Arial" w:hAnsi="Arial"/>
                <w:b/>
                <w:sz w:val="17"/>
              </w:rPr>
              <w:t>Target</w:t>
            </w:r>
          </w:p>
        </w:tc>
        <w:tc>
          <w:tcPr>
            <w:tcW w:type="dxa" w:w="2376"/>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Solo / micro (1–10)</w:t>
            </w:r>
          </w:p>
        </w:tc>
        <w:tc>
          <w:tcPr>
            <w:tcW w:type="dxa" w:w="2376"/>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SME (10–250)</w:t>
            </w:r>
          </w:p>
        </w:tc>
        <w:tc>
          <w:tcPr>
            <w:tcW w:type="dxa" w:w="2520"/>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Mid-market (250–2,500)</w:t>
            </w:r>
          </w:p>
        </w:tc>
        <w:tc>
          <w:tcPr>
            <w:tcW w:type="dxa" w:w="2592"/>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Enterprise (2.5K–10K+)</w:t>
            </w:r>
          </w:p>
        </w:tc>
      </w:tr>
      <w:tr>
        <w:tc>
          <w:tcPr>
            <w:tcW w:type="dxa" w:w="1944"/>
            <w:tcBorders>
              <w:top w:val="single" w:sz="4" w:color="D8D2C8"/>
              <w:left w:val="single" w:sz="4" w:color="D8D2C8"/>
              <w:bottom w:val="single" w:sz="4" w:color="D8D2C8"/>
              <w:right w:val="single" w:sz="4" w:color="D8D2C8"/>
            </w:tcBorders>
            <w:shd w:val="clear" w:fill="EDEAE4"/>
          </w:tcPr>
          <w:p>
            <w:pPr>
              <w:spacing w:after="0" w:line="252" w:lineRule="auto"/>
            </w:pPr>
            <w:r>
              <w:rPr>
                <w:rFonts w:ascii="Arial" w:hAnsi="Arial"/>
                <w:b/>
                <w:sz w:val="17"/>
              </w:rPr>
              <w:t>Maturity</w:t>
            </w:r>
          </w:p>
        </w:tc>
        <w:tc>
          <w:tcPr>
            <w:tcW w:type="dxa" w:w="2376"/>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Level 1 → 2</w:t>
            </w:r>
          </w:p>
        </w:tc>
        <w:tc>
          <w:tcPr>
            <w:tcW w:type="dxa" w:w="2376"/>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Level 2 → 3</w:t>
            </w:r>
          </w:p>
        </w:tc>
        <w:tc>
          <w:tcPr>
            <w:tcW w:type="dxa" w:w="2520"/>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Level 3 → 4</w:t>
            </w:r>
          </w:p>
        </w:tc>
        <w:tc>
          <w:tcPr>
            <w:tcW w:type="dxa" w:w="2592"/>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Level 4 → 5</w:t>
            </w:r>
          </w:p>
        </w:tc>
      </w:tr>
      <w:tr>
        <w:tc>
          <w:tcPr>
            <w:tcW w:type="dxa" w:w="1944"/>
            <w:tcBorders>
              <w:top w:val="single" w:sz="4" w:color="D8D2C8"/>
              <w:left w:val="single" w:sz="4" w:color="D8D2C8"/>
              <w:bottom w:val="single" w:sz="4" w:color="D8D2C8"/>
              <w:right w:val="single" w:sz="4" w:color="D8D2C8"/>
            </w:tcBorders>
            <w:shd w:val="clear" w:fill="EDEAE4"/>
          </w:tcPr>
          <w:p>
            <w:pPr>
              <w:spacing w:after="0" w:line="252" w:lineRule="auto"/>
            </w:pPr>
            <w:r>
              <w:rPr>
                <w:rFonts w:ascii="Arial" w:hAnsi="Arial"/>
                <w:b/>
                <w:sz w:val="17"/>
              </w:rPr>
              <w:t>Outcome</w:t>
            </w:r>
          </w:p>
        </w:tc>
        <w:tc>
          <w:tcPr>
            <w:tcW w:type="dxa" w:w="2376"/>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Find &amp; trust answers</w:t>
            </w:r>
          </w:p>
        </w:tc>
        <w:tc>
          <w:tcPr>
            <w:tcW w:type="dxa" w:w="2376"/>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Brain runs the work</w:t>
            </w:r>
          </w:p>
        </w:tc>
        <w:tc>
          <w:tcPr>
            <w:tcW w:type="dxa" w:w="2520"/>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Brain helps decide</w:t>
            </w:r>
          </w:p>
        </w:tc>
        <w:tc>
          <w:tcPr>
            <w:tcW w:type="dxa" w:w="2592"/>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Business runs on it</w:t>
            </w:r>
          </w:p>
        </w:tc>
      </w:tr>
      <w:tr>
        <w:tc>
          <w:tcPr>
            <w:tcW w:type="dxa" w:w="1944"/>
            <w:tcBorders>
              <w:top w:val="single" w:sz="4" w:color="D8D2C8"/>
              <w:left w:val="single" w:sz="4" w:color="D8D2C8"/>
              <w:bottom w:val="single" w:sz="4" w:color="D8D2C8"/>
              <w:right w:val="single" w:sz="4" w:color="D8D2C8"/>
            </w:tcBorders>
            <w:shd w:val="clear" w:fill="EDEAE4"/>
          </w:tcPr>
          <w:p>
            <w:pPr>
              <w:spacing w:after="0" w:line="252" w:lineRule="auto"/>
            </w:pPr>
            <w:r>
              <w:rPr>
                <w:rFonts w:ascii="Arial" w:hAnsi="Arial"/>
                <w:b/>
                <w:sz w:val="17"/>
              </w:rPr>
              <w:t>Layers active</w:t>
            </w:r>
          </w:p>
        </w:tc>
        <w:tc>
          <w:tcPr>
            <w:tcW w:type="dxa" w:w="2376"/>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2–3</w:t>
            </w:r>
          </w:p>
        </w:tc>
        <w:tc>
          <w:tcPr>
            <w:tcW w:type="dxa" w:w="2376"/>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4–5</w:t>
            </w:r>
          </w:p>
        </w:tc>
        <w:tc>
          <w:tcPr>
            <w:tcW w:type="dxa" w:w="2520"/>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6–7</w:t>
            </w:r>
          </w:p>
        </w:tc>
        <w:tc>
          <w:tcPr>
            <w:tcW w:type="dxa" w:w="2592"/>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All 8 lobes</w:t>
            </w:r>
          </w:p>
        </w:tc>
      </w:tr>
      <w:tr>
        <w:tc>
          <w:tcPr>
            <w:tcW w:type="dxa" w:w="1944"/>
            <w:tcBorders>
              <w:top w:val="single" w:sz="4" w:color="D8D2C8"/>
              <w:left w:val="single" w:sz="4" w:color="D8D2C8"/>
              <w:bottom w:val="single" w:sz="4" w:color="D8D2C8"/>
              <w:right w:val="single" w:sz="4" w:color="D8D2C8"/>
            </w:tcBorders>
            <w:shd w:val="clear" w:fill="EDEAE4"/>
          </w:tcPr>
          <w:p>
            <w:pPr>
              <w:spacing w:after="0" w:line="252" w:lineRule="auto"/>
            </w:pPr>
            <w:r>
              <w:rPr>
                <w:rFonts w:ascii="Arial" w:hAnsi="Arial"/>
                <w:b/>
                <w:sz w:val="17"/>
              </w:rPr>
              <w:t>Documents</w:t>
            </w:r>
          </w:p>
        </w:tc>
        <w:tc>
          <w:tcPr>
            <w:tcW w:type="dxa" w:w="2376"/>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Up to 500</w:t>
            </w:r>
          </w:p>
        </w:tc>
        <w:tc>
          <w:tcPr>
            <w:tcW w:type="dxa" w:w="2376"/>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Up to 5,000</w:t>
            </w:r>
          </w:p>
        </w:tc>
        <w:tc>
          <w:tcPr>
            <w:tcW w:type="dxa" w:w="2520"/>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Up to 50,000</w:t>
            </w:r>
          </w:p>
        </w:tc>
        <w:tc>
          <w:tcPr>
            <w:tcW w:type="dxa" w:w="2592"/>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Unlimited</w:t>
            </w:r>
          </w:p>
        </w:tc>
      </w:tr>
      <w:tr>
        <w:tc>
          <w:tcPr>
            <w:tcW w:type="dxa" w:w="1944"/>
            <w:tcBorders>
              <w:top w:val="single" w:sz="4" w:color="D8D2C8"/>
              <w:left w:val="single" w:sz="4" w:color="D8D2C8"/>
              <w:bottom w:val="single" w:sz="4" w:color="D8D2C8"/>
              <w:right w:val="single" w:sz="4" w:color="D8D2C8"/>
            </w:tcBorders>
            <w:shd w:val="clear" w:fill="EDEAE4"/>
          </w:tcPr>
          <w:p>
            <w:pPr>
              <w:spacing w:after="0" w:line="252" w:lineRule="auto"/>
            </w:pPr>
            <w:r>
              <w:rPr>
                <w:rFonts w:ascii="Arial" w:hAnsi="Arial"/>
                <w:b/>
                <w:sz w:val="17"/>
              </w:rPr>
              <w:t>Data sources</w:t>
            </w:r>
          </w:p>
        </w:tc>
        <w:tc>
          <w:tcPr>
            <w:tcW w:type="dxa" w:w="2376"/>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3 (uploaded)</w:t>
            </w:r>
          </w:p>
        </w:tc>
        <w:tc>
          <w:tcPr>
            <w:tcW w:type="dxa" w:w="2376"/>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8 (docs + first APIs)</w:t>
            </w:r>
          </w:p>
        </w:tc>
        <w:tc>
          <w:tcPr>
            <w:tcW w:type="dxa" w:w="2520"/>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15+ live integrations</w:t>
            </w:r>
          </w:p>
        </w:tc>
        <w:tc>
          <w:tcPr>
            <w:tcW w:type="dxa" w:w="2592"/>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Unlimited + custom</w:t>
            </w:r>
          </w:p>
        </w:tc>
      </w:tr>
      <w:tr>
        <w:tc>
          <w:tcPr>
            <w:tcW w:type="dxa" w:w="1944"/>
            <w:tcBorders>
              <w:top w:val="single" w:sz="4" w:color="D8D2C8"/>
              <w:left w:val="single" w:sz="4" w:color="D8D2C8"/>
              <w:bottom w:val="single" w:sz="4" w:color="D8D2C8"/>
              <w:right w:val="single" w:sz="4" w:color="D8D2C8"/>
            </w:tcBorders>
            <w:shd w:val="clear" w:fill="EDEAE4"/>
          </w:tcPr>
          <w:p>
            <w:pPr>
              <w:spacing w:after="0" w:line="252" w:lineRule="auto"/>
            </w:pPr>
            <w:r>
              <w:rPr>
                <w:rFonts w:ascii="Arial" w:hAnsi="Arial"/>
                <w:b/>
                <w:sz w:val="17"/>
              </w:rPr>
              <w:t>AI functions</w:t>
            </w:r>
          </w:p>
        </w:tc>
        <w:tc>
          <w:tcPr>
            <w:tcW w:type="dxa" w:w="2376"/>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Grounded Q&amp;A + sourcing</w:t>
            </w:r>
          </w:p>
        </w:tc>
        <w:tc>
          <w:tcPr>
            <w:tcW w:type="dxa" w:w="2376"/>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 Content + ops drafting</w:t>
            </w:r>
          </w:p>
        </w:tc>
        <w:tc>
          <w:tcPr>
            <w:tcW w:type="dxa" w:w="2520"/>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 Decision scoring + agents</w:t>
            </w:r>
          </w:p>
        </w:tc>
        <w:tc>
          <w:tcPr>
            <w:tcW w:type="dxa" w:w="2592"/>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 Custom scoring, multi-brain</w:t>
            </w:r>
          </w:p>
        </w:tc>
      </w:tr>
      <w:tr>
        <w:tc>
          <w:tcPr>
            <w:tcW w:type="dxa" w:w="1944"/>
            <w:tcBorders>
              <w:top w:val="single" w:sz="4" w:color="D8D2C8"/>
              <w:left w:val="single" w:sz="4" w:color="D8D2C8"/>
              <w:bottom w:val="single" w:sz="4" w:color="D8D2C8"/>
              <w:right w:val="single" w:sz="4" w:color="D8D2C8"/>
            </w:tcBorders>
            <w:shd w:val="clear" w:fill="EDEAE4"/>
          </w:tcPr>
          <w:p>
            <w:pPr>
              <w:spacing w:after="0" w:line="252" w:lineRule="auto"/>
            </w:pPr>
            <w:r>
              <w:rPr>
                <w:rFonts w:ascii="Arial" w:hAnsi="Arial"/>
                <w:b/>
                <w:sz w:val="17"/>
              </w:rPr>
              <w:t>Automations</w:t>
            </w:r>
          </w:p>
        </w:tc>
        <w:tc>
          <w:tcPr>
            <w:tcW w:type="dxa" w:w="2376"/>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Read-only briefs</w:t>
            </w:r>
          </w:p>
        </w:tc>
        <w:tc>
          <w:tcPr>
            <w:tcW w:type="dxa" w:w="2376"/>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Basic schedules</w:t>
            </w:r>
          </w:p>
        </w:tc>
        <w:tc>
          <w:tcPr>
            <w:tcW w:type="dxa" w:w="2520"/>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Workflows + integrations</w:t>
            </w:r>
          </w:p>
        </w:tc>
        <w:tc>
          <w:tcPr>
            <w:tcW w:type="dxa" w:w="2592"/>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Full cadence + triggers</w:t>
            </w:r>
          </w:p>
        </w:tc>
      </w:tr>
      <w:tr>
        <w:tc>
          <w:tcPr>
            <w:tcW w:type="dxa" w:w="1944"/>
            <w:tcBorders>
              <w:top w:val="single" w:sz="4" w:color="D8D2C8"/>
              <w:left w:val="single" w:sz="4" w:color="D8D2C8"/>
              <w:bottom w:val="single" w:sz="4" w:color="D8D2C8"/>
              <w:right w:val="single" w:sz="4" w:color="D8D2C8"/>
            </w:tcBorders>
            <w:shd w:val="clear" w:fill="EDEAE4"/>
          </w:tcPr>
          <w:p>
            <w:pPr>
              <w:spacing w:after="0" w:line="252" w:lineRule="auto"/>
            </w:pPr>
            <w:r>
              <w:rPr>
                <w:rFonts w:ascii="Arial" w:hAnsi="Arial"/>
                <w:b/>
                <w:sz w:val="17"/>
              </w:rPr>
              <w:t>Dashboard</w:t>
            </w:r>
          </w:p>
        </w:tc>
        <w:tc>
          <w:tcPr>
            <w:tcW w:type="dxa" w:w="2376"/>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Search + ask box</w:t>
            </w:r>
          </w:p>
        </w:tc>
        <w:tc>
          <w:tcPr>
            <w:tcW w:type="dxa" w:w="2376"/>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 Graph view, briefs</w:t>
            </w:r>
          </w:p>
        </w:tc>
        <w:tc>
          <w:tcPr>
            <w:tcW w:type="dxa" w:w="2520"/>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 Scorecards, reports</w:t>
            </w:r>
          </w:p>
        </w:tc>
        <w:tc>
          <w:tcPr>
            <w:tcW w:type="dxa" w:w="2592"/>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 Role-aware enterprise</w:t>
            </w:r>
          </w:p>
        </w:tc>
      </w:tr>
      <w:tr>
        <w:tc>
          <w:tcPr>
            <w:tcW w:type="dxa" w:w="1944"/>
            <w:tcBorders>
              <w:top w:val="single" w:sz="4" w:color="D8D2C8"/>
              <w:left w:val="single" w:sz="4" w:color="D8D2C8"/>
              <w:bottom w:val="single" w:sz="4" w:color="D8D2C8"/>
              <w:right w:val="single" w:sz="4" w:color="D8D2C8"/>
            </w:tcBorders>
            <w:shd w:val="clear" w:fill="EDEAE4"/>
          </w:tcPr>
          <w:p>
            <w:pPr>
              <w:spacing w:after="0" w:line="252" w:lineRule="auto"/>
            </w:pPr>
            <w:r>
              <w:rPr>
                <w:rFonts w:ascii="Arial" w:hAnsi="Arial"/>
                <w:b/>
                <w:sz w:val="17"/>
              </w:rPr>
              <w:t>RBAC</w:t>
            </w:r>
          </w:p>
        </w:tc>
        <w:tc>
          <w:tcPr>
            <w:tcW w:type="dxa" w:w="2376"/>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Owner / flat</w:t>
            </w:r>
          </w:p>
        </w:tc>
        <w:tc>
          <w:tcPr>
            <w:tcW w:type="dxa" w:w="2376"/>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A few roles</w:t>
            </w:r>
          </w:p>
        </w:tc>
        <w:tc>
          <w:tcPr>
            <w:tcW w:type="dxa" w:w="2520"/>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Department clearances</w:t>
            </w:r>
          </w:p>
        </w:tc>
        <w:tc>
          <w:tcPr>
            <w:tcW w:type="dxa" w:w="2592"/>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Fine-grained, SSO, audit</w:t>
            </w:r>
          </w:p>
        </w:tc>
      </w:tr>
      <w:tr>
        <w:tc>
          <w:tcPr>
            <w:tcW w:type="dxa" w:w="1944"/>
            <w:tcBorders>
              <w:top w:val="single" w:sz="4" w:color="D8D2C8"/>
              <w:left w:val="single" w:sz="4" w:color="D8D2C8"/>
              <w:bottom w:val="single" w:sz="4" w:color="D8D2C8"/>
              <w:right w:val="single" w:sz="4" w:color="D8D2C8"/>
            </w:tcBorders>
            <w:shd w:val="clear" w:fill="EDEAE4"/>
          </w:tcPr>
          <w:p>
            <w:pPr>
              <w:spacing w:after="0" w:line="252" w:lineRule="auto"/>
            </w:pPr>
            <w:r>
              <w:rPr>
                <w:rFonts w:ascii="Arial" w:hAnsi="Arial"/>
                <w:b/>
                <w:sz w:val="17"/>
              </w:rPr>
              <w:t>Deployment</w:t>
            </w:r>
          </w:p>
        </w:tc>
        <w:tc>
          <w:tcPr>
            <w:tcW w:type="dxa" w:w="2376"/>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Shared multi-tenant</w:t>
            </w:r>
          </w:p>
        </w:tc>
        <w:tc>
          <w:tcPr>
            <w:tcW w:type="dxa" w:w="2376"/>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Multi-tenant</w:t>
            </w:r>
          </w:p>
        </w:tc>
        <w:tc>
          <w:tcPr>
            <w:tcW w:type="dxa" w:w="2520"/>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MT or isolated</w:t>
            </w:r>
          </w:p>
        </w:tc>
        <w:tc>
          <w:tcPr>
            <w:tcW w:type="dxa" w:w="2592"/>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Single-tenant / VPC / on-prem</w:t>
            </w:r>
          </w:p>
        </w:tc>
      </w:tr>
      <w:tr>
        <w:tc>
          <w:tcPr>
            <w:tcW w:type="dxa" w:w="1944"/>
            <w:tcBorders>
              <w:top w:val="single" w:sz="4" w:color="D8D2C8"/>
              <w:left w:val="single" w:sz="4" w:color="D8D2C8"/>
              <w:bottom w:val="single" w:sz="4" w:color="D8D2C8"/>
              <w:right w:val="single" w:sz="4" w:color="D8D2C8"/>
            </w:tcBorders>
            <w:shd w:val="clear" w:fill="EDEAE4"/>
          </w:tcPr>
          <w:p>
            <w:pPr>
              <w:spacing w:after="0" w:line="252" w:lineRule="auto"/>
            </w:pPr>
            <w:r>
              <w:rPr>
                <w:rFonts w:ascii="Arial" w:hAnsi="Arial"/>
                <w:b/>
                <w:sz w:val="17"/>
              </w:rPr>
              <w:t>Support</w:t>
            </w:r>
          </w:p>
        </w:tc>
        <w:tc>
          <w:tcPr>
            <w:tcW w:type="dxa" w:w="2376"/>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Self-serve + docs</w:t>
            </w:r>
          </w:p>
        </w:tc>
        <w:tc>
          <w:tcPr>
            <w:tcW w:type="dxa" w:w="2376"/>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Light onboarding</w:t>
            </w:r>
          </w:p>
        </w:tc>
        <w:tc>
          <w:tcPr>
            <w:tcW w:type="dxa" w:w="2520"/>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Guided implementation</w:t>
            </w:r>
          </w:p>
        </w:tc>
        <w:tc>
          <w:tcPr>
            <w:tcW w:type="dxa" w:w="2592"/>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Dedicated success + SLA</w:t>
            </w:r>
          </w:p>
        </w:tc>
      </w:tr>
    </w:tbl>
    <w:p>
      <w:pPr>
        <w:spacing w:after="120"/>
      </w:pPr>
    </w:p>
    <w:p>
      <w:pPr>
        <w:spacing w:after="140" w:line="283" w:lineRule="auto"/>
      </w:pPr>
      <w:r>
        <w:rPr>
          <w:rFonts w:ascii="Arial" w:hAnsi="Arial"/>
          <w:b/>
          <w:i w:val="0"/>
          <w:sz w:val="21"/>
        </w:rPr>
        <w:t xml:space="preserve">Three intertwined offers underneath the ladder: </w:t>
      </w:r>
      <w:r>
        <w:rPr>
          <w:rFonts w:ascii="Arial" w:hAnsi="Arial"/>
          <w:b w:val="0"/>
          <w:i w:val="0"/>
          <w:sz w:val="21"/>
        </w:rPr>
        <w:t>(1) the Platform (recurring SaaS), (2) the Implementation (high-margin service that makes the software stick), and (3) the Industry Templates (reusable IP that makes each sale fast and bespoke-feeling). Add-ons monetize the variable layer: extra templates, additional brand-brains for agencies, premium integrations, compliance packs.</w:t>
      </w:r>
    </w:p>
    <w:p>
      <w:pPr>
        <w:pStyle w:val="Heading1"/>
        <w:pBdr>
          <w:bottom w:val="single" w:sz="6" w:space="6" w:color="C45A1A"/>
        </w:pBdr>
      </w:pPr>
      <w:r>
        <w:t>5. Pricing Strategy — Three Regional Price Books</w:t>
      </w:r>
    </w:p>
    <w:p>
      <w:pPr>
        <w:spacing w:after="140" w:line="283" w:lineRule="auto"/>
      </w:pPr>
      <w:r>
        <w:rPr>
          <w:rFonts w:ascii="Arial" w:hAnsi="Arial"/>
          <w:b w:val="0"/>
          <w:i w:val="0"/>
          <w:sz w:val="21"/>
        </w:rPr>
        <w:t>We price on value and maturity, not seats alone. Three commercial levers set price: maturity level reached, company size/usage, and deployment isolation. Southeast Asia is the anchor; Europe and Premium Enterprise are variants tuned to higher willingness-to-pay and stricter isolation needs.</w:t>
      </w:r>
    </w:p>
    <w:p>
      <w:pPr>
        <w:pStyle w:val="Heading2"/>
      </w:pPr>
      <w:r>
        <w:t>5.1 Malaysia / Southeast Asia (MYR) — anchor</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664"/>
            <w:shd w:val="clear" w:fill="C45A1A"/>
            <w:tcBorders>
              <w:top w:val="single" w:sz="4" w:color="D8D2C8"/>
              <w:left w:val="single" w:sz="4" w:color="D8D2C8"/>
              <w:bottom w:val="single" w:sz="4" w:color="D8D2C8"/>
              <w:right w:val="single" w:sz="4" w:color="D8D2C8"/>
            </w:tcBorders>
          </w:tcPr>
          <w:p>
            <w:pPr>
              <w:spacing w:after="0"/>
            </w:pPr>
            <w:r>
              <w:rPr>
                <w:rFonts w:ascii="Arial" w:hAnsi="Arial"/>
                <w:b/>
                <w:color w:val="FFFFFF"/>
                <w:sz w:val="18"/>
              </w:rPr>
            </w:r>
          </w:p>
        </w:tc>
        <w:tc>
          <w:tcPr>
            <w:tcW w:type="dxa" w:w="2304"/>
            <w:shd w:val="clear" w:fill="C45A1A"/>
            <w:tcBorders>
              <w:top w:val="single" w:sz="4" w:color="D8D2C8"/>
              <w:left w:val="single" w:sz="4" w:color="D8D2C8"/>
              <w:bottom w:val="single" w:sz="4" w:color="D8D2C8"/>
              <w:right w:val="single" w:sz="4" w:color="D8D2C8"/>
            </w:tcBorders>
          </w:tcPr>
          <w:p>
            <w:pPr>
              <w:spacing w:after="0"/>
            </w:pPr>
            <w:r>
              <w:rPr>
                <w:rFonts w:ascii="Arial" w:hAnsi="Arial"/>
                <w:b/>
                <w:color w:val="FFFFFF"/>
                <w:sz w:val="18"/>
              </w:rPr>
              <w:t>STARTER</w:t>
            </w:r>
          </w:p>
        </w:tc>
        <w:tc>
          <w:tcPr>
            <w:tcW w:type="dxa" w:w="2304"/>
            <w:shd w:val="clear" w:fill="C45A1A"/>
            <w:tcBorders>
              <w:top w:val="single" w:sz="4" w:color="D8D2C8"/>
              <w:left w:val="single" w:sz="4" w:color="D8D2C8"/>
              <w:bottom w:val="single" w:sz="4" w:color="D8D2C8"/>
              <w:right w:val="single" w:sz="4" w:color="D8D2C8"/>
            </w:tcBorders>
          </w:tcPr>
          <w:p>
            <w:pPr>
              <w:spacing w:after="0"/>
            </w:pPr>
            <w:r>
              <w:rPr>
                <w:rFonts w:ascii="Arial" w:hAnsi="Arial"/>
                <w:b/>
                <w:color w:val="FFFFFF"/>
                <w:sz w:val="18"/>
              </w:rPr>
              <w:t>GROWTH</w:t>
            </w:r>
          </w:p>
        </w:tc>
        <w:tc>
          <w:tcPr>
            <w:tcW w:type="dxa" w:w="2448"/>
            <w:shd w:val="clear" w:fill="C45A1A"/>
            <w:tcBorders>
              <w:top w:val="single" w:sz="4" w:color="D8D2C8"/>
              <w:left w:val="single" w:sz="4" w:color="D8D2C8"/>
              <w:bottom w:val="single" w:sz="4" w:color="D8D2C8"/>
              <w:right w:val="single" w:sz="4" w:color="D8D2C8"/>
            </w:tcBorders>
          </w:tcPr>
          <w:p>
            <w:pPr>
              <w:spacing w:after="0"/>
            </w:pPr>
            <w:r>
              <w:rPr>
                <w:rFonts w:ascii="Arial" w:hAnsi="Arial"/>
                <w:b/>
                <w:color w:val="FFFFFF"/>
                <w:sz w:val="18"/>
              </w:rPr>
              <w:t>PROFESSIONAL</w:t>
            </w:r>
          </w:p>
        </w:tc>
        <w:tc>
          <w:tcPr>
            <w:tcW w:type="dxa" w:w="2304"/>
            <w:shd w:val="clear" w:fill="C45A1A"/>
            <w:tcBorders>
              <w:top w:val="single" w:sz="4" w:color="D8D2C8"/>
              <w:left w:val="single" w:sz="4" w:color="D8D2C8"/>
              <w:bottom w:val="single" w:sz="4" w:color="D8D2C8"/>
              <w:right w:val="single" w:sz="4" w:color="D8D2C8"/>
            </w:tcBorders>
          </w:tcPr>
          <w:p>
            <w:pPr>
              <w:spacing w:after="0"/>
            </w:pPr>
            <w:r>
              <w:rPr>
                <w:rFonts w:ascii="Arial" w:hAnsi="Arial"/>
                <w:b/>
                <w:color w:val="FFFFFF"/>
                <w:sz w:val="18"/>
              </w:rPr>
              <w:t>ENTERPRISE</w:t>
            </w:r>
          </w:p>
        </w:tc>
      </w:tr>
      <w:tr>
        <w:tc>
          <w:tcPr>
            <w:tcW w:type="dxa" w:w="2664"/>
            <w:tcBorders>
              <w:top w:val="single" w:sz="4" w:color="D8D2C8"/>
              <w:left w:val="single" w:sz="4" w:color="D8D2C8"/>
              <w:bottom w:val="single" w:sz="4" w:color="D8D2C8"/>
              <w:right w:val="single" w:sz="4" w:color="D8D2C8"/>
            </w:tcBorders>
            <w:shd w:val="clear" w:fill="EDEAE4"/>
          </w:tcPr>
          <w:p>
            <w:pPr>
              <w:spacing w:after="0" w:line="252" w:lineRule="auto"/>
            </w:pPr>
            <w:r>
              <w:rPr>
                <w:rFonts w:ascii="Arial" w:hAnsi="Arial"/>
                <w:b/>
                <w:sz w:val="17"/>
              </w:rPr>
              <w:t>Setup (one-time)</w:t>
            </w:r>
          </w:p>
        </w:tc>
        <w:tc>
          <w:tcPr>
            <w:tcW w:type="dxa" w:w="2304"/>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RM 6,000</w:t>
            </w:r>
          </w:p>
        </w:tc>
        <w:tc>
          <w:tcPr>
            <w:tcW w:type="dxa" w:w="2304"/>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RM 18,000</w:t>
            </w:r>
          </w:p>
        </w:tc>
        <w:tc>
          <w:tcPr>
            <w:tcW w:type="dxa" w:w="2448"/>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RM 45,000</w:t>
            </w:r>
          </w:p>
        </w:tc>
        <w:tc>
          <w:tcPr>
            <w:tcW w:type="dxa" w:w="2304"/>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RM 120,000+</w:t>
            </w:r>
          </w:p>
        </w:tc>
      </w:tr>
      <w:tr>
        <w:tc>
          <w:tcPr>
            <w:tcW w:type="dxa" w:w="2664"/>
            <w:tcBorders>
              <w:top w:val="single" w:sz="4" w:color="D8D2C8"/>
              <w:left w:val="single" w:sz="4" w:color="D8D2C8"/>
              <w:bottom w:val="single" w:sz="4" w:color="D8D2C8"/>
              <w:right w:val="single" w:sz="4" w:color="D8D2C8"/>
            </w:tcBorders>
            <w:shd w:val="clear" w:fill="EDEAE4"/>
          </w:tcPr>
          <w:p>
            <w:pPr>
              <w:spacing w:after="0" w:line="252" w:lineRule="auto"/>
            </w:pPr>
            <w:r>
              <w:rPr>
                <w:rFonts w:ascii="Arial" w:hAnsi="Arial"/>
                <w:b/>
                <w:sz w:val="17"/>
              </w:rPr>
              <w:t>Monthly platform</w:t>
            </w:r>
          </w:p>
        </w:tc>
        <w:tc>
          <w:tcPr>
            <w:tcW w:type="dxa" w:w="2304"/>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RM 1,200</w:t>
            </w:r>
          </w:p>
        </w:tc>
        <w:tc>
          <w:tcPr>
            <w:tcW w:type="dxa" w:w="2304"/>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RM 3,500</w:t>
            </w:r>
          </w:p>
        </w:tc>
        <w:tc>
          <w:tcPr>
            <w:tcW w:type="dxa" w:w="2448"/>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RM 8,000</w:t>
            </w:r>
          </w:p>
        </w:tc>
        <w:tc>
          <w:tcPr>
            <w:tcW w:type="dxa" w:w="2304"/>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RM 18,000+</w:t>
            </w:r>
          </w:p>
        </w:tc>
      </w:tr>
      <w:tr>
        <w:tc>
          <w:tcPr>
            <w:tcW w:type="dxa" w:w="2664"/>
            <w:tcBorders>
              <w:top w:val="single" w:sz="4" w:color="D8D2C8"/>
              <w:left w:val="single" w:sz="4" w:color="D8D2C8"/>
              <w:bottom w:val="single" w:sz="4" w:color="D8D2C8"/>
              <w:right w:val="single" w:sz="4" w:color="D8D2C8"/>
            </w:tcBorders>
            <w:shd w:val="clear" w:fill="EDEAE4"/>
          </w:tcPr>
          <w:p>
            <w:pPr>
              <w:spacing w:after="0" w:line="252" w:lineRule="auto"/>
            </w:pPr>
            <w:r>
              <w:rPr>
                <w:rFonts w:ascii="Arial" w:hAnsi="Arial"/>
                <w:b/>
                <w:sz w:val="17"/>
              </w:rPr>
              <w:t>Year-1 total</w:t>
            </w:r>
          </w:p>
        </w:tc>
        <w:tc>
          <w:tcPr>
            <w:tcW w:type="dxa" w:w="2304"/>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RM 20,400</w:t>
            </w:r>
          </w:p>
        </w:tc>
        <w:tc>
          <w:tcPr>
            <w:tcW w:type="dxa" w:w="2304"/>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RM 60,000</w:t>
            </w:r>
          </w:p>
        </w:tc>
        <w:tc>
          <w:tcPr>
            <w:tcW w:type="dxa" w:w="2448"/>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RM 141,000</w:t>
            </w:r>
          </w:p>
        </w:tc>
        <w:tc>
          <w:tcPr>
            <w:tcW w:type="dxa" w:w="2304"/>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RM 336,000+</w:t>
            </w:r>
          </w:p>
        </w:tc>
      </w:tr>
    </w:tbl>
    <w:p>
      <w:pPr>
        <w:spacing w:after="100"/>
      </w:pPr>
    </w:p>
    <w:p>
      <w:pPr>
        <w:pStyle w:val="Heading2"/>
      </w:pPr>
      <w:r>
        <w:t>5.2 Europe / DACH (EUR)</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664"/>
            <w:shd w:val="clear" w:fill="C45A1A"/>
            <w:tcBorders>
              <w:top w:val="single" w:sz="4" w:color="D8D2C8"/>
              <w:left w:val="single" w:sz="4" w:color="D8D2C8"/>
              <w:bottom w:val="single" w:sz="4" w:color="D8D2C8"/>
              <w:right w:val="single" w:sz="4" w:color="D8D2C8"/>
            </w:tcBorders>
          </w:tcPr>
          <w:p>
            <w:pPr>
              <w:spacing w:after="0"/>
            </w:pPr>
            <w:r>
              <w:rPr>
                <w:rFonts w:ascii="Arial" w:hAnsi="Arial"/>
                <w:b/>
                <w:color w:val="FFFFFF"/>
                <w:sz w:val="18"/>
              </w:rPr>
            </w:r>
          </w:p>
        </w:tc>
        <w:tc>
          <w:tcPr>
            <w:tcW w:type="dxa" w:w="2304"/>
            <w:shd w:val="clear" w:fill="C45A1A"/>
            <w:tcBorders>
              <w:top w:val="single" w:sz="4" w:color="D8D2C8"/>
              <w:left w:val="single" w:sz="4" w:color="D8D2C8"/>
              <w:bottom w:val="single" w:sz="4" w:color="D8D2C8"/>
              <w:right w:val="single" w:sz="4" w:color="D8D2C8"/>
            </w:tcBorders>
          </w:tcPr>
          <w:p>
            <w:pPr>
              <w:spacing w:after="0"/>
            </w:pPr>
            <w:r>
              <w:rPr>
                <w:rFonts w:ascii="Arial" w:hAnsi="Arial"/>
                <w:b/>
                <w:color w:val="FFFFFF"/>
                <w:sz w:val="18"/>
              </w:rPr>
              <w:t>STARTER</w:t>
            </w:r>
          </w:p>
        </w:tc>
        <w:tc>
          <w:tcPr>
            <w:tcW w:type="dxa" w:w="2304"/>
            <w:shd w:val="clear" w:fill="C45A1A"/>
            <w:tcBorders>
              <w:top w:val="single" w:sz="4" w:color="D8D2C8"/>
              <w:left w:val="single" w:sz="4" w:color="D8D2C8"/>
              <w:bottom w:val="single" w:sz="4" w:color="D8D2C8"/>
              <w:right w:val="single" w:sz="4" w:color="D8D2C8"/>
            </w:tcBorders>
          </w:tcPr>
          <w:p>
            <w:pPr>
              <w:spacing w:after="0"/>
            </w:pPr>
            <w:r>
              <w:rPr>
                <w:rFonts w:ascii="Arial" w:hAnsi="Arial"/>
                <w:b/>
                <w:color w:val="FFFFFF"/>
                <w:sz w:val="18"/>
              </w:rPr>
              <w:t>GROWTH</w:t>
            </w:r>
          </w:p>
        </w:tc>
        <w:tc>
          <w:tcPr>
            <w:tcW w:type="dxa" w:w="2448"/>
            <w:shd w:val="clear" w:fill="C45A1A"/>
            <w:tcBorders>
              <w:top w:val="single" w:sz="4" w:color="D8D2C8"/>
              <w:left w:val="single" w:sz="4" w:color="D8D2C8"/>
              <w:bottom w:val="single" w:sz="4" w:color="D8D2C8"/>
              <w:right w:val="single" w:sz="4" w:color="D8D2C8"/>
            </w:tcBorders>
          </w:tcPr>
          <w:p>
            <w:pPr>
              <w:spacing w:after="0"/>
            </w:pPr>
            <w:r>
              <w:rPr>
                <w:rFonts w:ascii="Arial" w:hAnsi="Arial"/>
                <w:b/>
                <w:color w:val="FFFFFF"/>
                <w:sz w:val="18"/>
              </w:rPr>
              <w:t>PROFESSIONAL</w:t>
            </w:r>
          </w:p>
        </w:tc>
        <w:tc>
          <w:tcPr>
            <w:tcW w:type="dxa" w:w="2304"/>
            <w:shd w:val="clear" w:fill="C45A1A"/>
            <w:tcBorders>
              <w:top w:val="single" w:sz="4" w:color="D8D2C8"/>
              <w:left w:val="single" w:sz="4" w:color="D8D2C8"/>
              <w:bottom w:val="single" w:sz="4" w:color="D8D2C8"/>
              <w:right w:val="single" w:sz="4" w:color="D8D2C8"/>
            </w:tcBorders>
          </w:tcPr>
          <w:p>
            <w:pPr>
              <w:spacing w:after="0"/>
            </w:pPr>
            <w:r>
              <w:rPr>
                <w:rFonts w:ascii="Arial" w:hAnsi="Arial"/>
                <w:b/>
                <w:color w:val="FFFFFF"/>
                <w:sz w:val="18"/>
              </w:rPr>
              <w:t>ENTERPRISE</w:t>
            </w:r>
          </w:p>
        </w:tc>
      </w:tr>
      <w:tr>
        <w:tc>
          <w:tcPr>
            <w:tcW w:type="dxa" w:w="2664"/>
            <w:tcBorders>
              <w:top w:val="single" w:sz="4" w:color="D8D2C8"/>
              <w:left w:val="single" w:sz="4" w:color="D8D2C8"/>
              <w:bottom w:val="single" w:sz="4" w:color="D8D2C8"/>
              <w:right w:val="single" w:sz="4" w:color="D8D2C8"/>
            </w:tcBorders>
            <w:shd w:val="clear" w:fill="EDEAE4"/>
          </w:tcPr>
          <w:p>
            <w:pPr>
              <w:spacing w:after="0" w:line="252" w:lineRule="auto"/>
            </w:pPr>
            <w:r>
              <w:rPr>
                <w:rFonts w:ascii="Arial" w:hAnsi="Arial"/>
                <w:b/>
                <w:sz w:val="17"/>
              </w:rPr>
              <w:t>Setup (one-time)</w:t>
            </w:r>
          </w:p>
        </w:tc>
        <w:tc>
          <w:tcPr>
            <w:tcW w:type="dxa" w:w="2304"/>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€ 2,500</w:t>
            </w:r>
          </w:p>
        </w:tc>
        <w:tc>
          <w:tcPr>
            <w:tcW w:type="dxa" w:w="2304"/>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€ 8,000</w:t>
            </w:r>
          </w:p>
        </w:tc>
        <w:tc>
          <w:tcPr>
            <w:tcW w:type="dxa" w:w="2448"/>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€ 22,000</w:t>
            </w:r>
          </w:p>
        </w:tc>
        <w:tc>
          <w:tcPr>
            <w:tcW w:type="dxa" w:w="2304"/>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€ 65,000+</w:t>
            </w:r>
          </w:p>
        </w:tc>
      </w:tr>
      <w:tr>
        <w:tc>
          <w:tcPr>
            <w:tcW w:type="dxa" w:w="2664"/>
            <w:tcBorders>
              <w:top w:val="single" w:sz="4" w:color="D8D2C8"/>
              <w:left w:val="single" w:sz="4" w:color="D8D2C8"/>
              <w:bottom w:val="single" w:sz="4" w:color="D8D2C8"/>
              <w:right w:val="single" w:sz="4" w:color="D8D2C8"/>
            </w:tcBorders>
            <w:shd w:val="clear" w:fill="EDEAE4"/>
          </w:tcPr>
          <w:p>
            <w:pPr>
              <w:spacing w:after="0" w:line="252" w:lineRule="auto"/>
            </w:pPr>
            <w:r>
              <w:rPr>
                <w:rFonts w:ascii="Arial" w:hAnsi="Arial"/>
                <w:b/>
                <w:sz w:val="17"/>
              </w:rPr>
              <w:t>Monthly platform</w:t>
            </w:r>
          </w:p>
        </w:tc>
        <w:tc>
          <w:tcPr>
            <w:tcW w:type="dxa" w:w="2304"/>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€ 450</w:t>
            </w:r>
          </w:p>
        </w:tc>
        <w:tc>
          <w:tcPr>
            <w:tcW w:type="dxa" w:w="2304"/>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€ 1,400</w:t>
            </w:r>
          </w:p>
        </w:tc>
        <w:tc>
          <w:tcPr>
            <w:tcW w:type="dxa" w:w="2448"/>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€ 3,500</w:t>
            </w:r>
          </w:p>
        </w:tc>
        <w:tc>
          <w:tcPr>
            <w:tcW w:type="dxa" w:w="2304"/>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€ 8,500+</w:t>
            </w:r>
          </w:p>
        </w:tc>
      </w:tr>
      <w:tr>
        <w:tc>
          <w:tcPr>
            <w:tcW w:type="dxa" w:w="2664"/>
            <w:tcBorders>
              <w:top w:val="single" w:sz="4" w:color="D8D2C8"/>
              <w:left w:val="single" w:sz="4" w:color="D8D2C8"/>
              <w:bottom w:val="single" w:sz="4" w:color="D8D2C8"/>
              <w:right w:val="single" w:sz="4" w:color="D8D2C8"/>
            </w:tcBorders>
            <w:shd w:val="clear" w:fill="EDEAE4"/>
          </w:tcPr>
          <w:p>
            <w:pPr>
              <w:spacing w:after="0" w:line="252" w:lineRule="auto"/>
            </w:pPr>
            <w:r>
              <w:rPr>
                <w:rFonts w:ascii="Arial" w:hAnsi="Arial"/>
                <w:b/>
                <w:sz w:val="17"/>
              </w:rPr>
              <w:t>Year-1 total</w:t>
            </w:r>
          </w:p>
        </w:tc>
        <w:tc>
          <w:tcPr>
            <w:tcW w:type="dxa" w:w="2304"/>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€ 7,900</w:t>
            </w:r>
          </w:p>
        </w:tc>
        <w:tc>
          <w:tcPr>
            <w:tcW w:type="dxa" w:w="2304"/>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€ 24,800</w:t>
            </w:r>
          </w:p>
        </w:tc>
        <w:tc>
          <w:tcPr>
            <w:tcW w:type="dxa" w:w="2448"/>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€ 64,000</w:t>
            </w:r>
          </w:p>
        </w:tc>
        <w:tc>
          <w:tcPr>
            <w:tcW w:type="dxa" w:w="2304"/>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€ 167,000+</w:t>
            </w:r>
          </w:p>
        </w:tc>
      </w:tr>
    </w:tbl>
    <w:p>
      <w:pPr>
        <w:spacing w:after="100"/>
      </w:pPr>
    </w:p>
    <w:p>
      <w:pPr>
        <w:pStyle w:val="Heading2"/>
      </w:pPr>
      <w:r>
        <w:t>5.3 Global Premium Enterprise (USD) — single-tenant / VPC</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664"/>
            <w:shd w:val="clear" w:fill="C45A1A"/>
            <w:tcBorders>
              <w:top w:val="single" w:sz="4" w:color="D8D2C8"/>
              <w:left w:val="single" w:sz="4" w:color="D8D2C8"/>
              <w:bottom w:val="single" w:sz="4" w:color="D8D2C8"/>
              <w:right w:val="single" w:sz="4" w:color="D8D2C8"/>
            </w:tcBorders>
          </w:tcPr>
          <w:p>
            <w:pPr>
              <w:spacing w:after="0"/>
            </w:pPr>
            <w:r>
              <w:rPr>
                <w:rFonts w:ascii="Arial" w:hAnsi="Arial"/>
                <w:b/>
                <w:color w:val="FFFFFF"/>
                <w:sz w:val="18"/>
              </w:rPr>
            </w:r>
          </w:p>
        </w:tc>
        <w:tc>
          <w:tcPr>
            <w:tcW w:type="dxa" w:w="2304"/>
            <w:shd w:val="clear" w:fill="C45A1A"/>
            <w:tcBorders>
              <w:top w:val="single" w:sz="4" w:color="D8D2C8"/>
              <w:left w:val="single" w:sz="4" w:color="D8D2C8"/>
              <w:bottom w:val="single" w:sz="4" w:color="D8D2C8"/>
              <w:right w:val="single" w:sz="4" w:color="D8D2C8"/>
            </w:tcBorders>
          </w:tcPr>
          <w:p>
            <w:pPr>
              <w:spacing w:after="0"/>
            </w:pPr>
            <w:r>
              <w:rPr>
                <w:rFonts w:ascii="Arial" w:hAnsi="Arial"/>
                <w:b/>
                <w:color w:val="FFFFFF"/>
                <w:sz w:val="18"/>
              </w:rPr>
              <w:t>STARTER</w:t>
            </w:r>
          </w:p>
        </w:tc>
        <w:tc>
          <w:tcPr>
            <w:tcW w:type="dxa" w:w="2304"/>
            <w:shd w:val="clear" w:fill="C45A1A"/>
            <w:tcBorders>
              <w:top w:val="single" w:sz="4" w:color="D8D2C8"/>
              <w:left w:val="single" w:sz="4" w:color="D8D2C8"/>
              <w:bottom w:val="single" w:sz="4" w:color="D8D2C8"/>
              <w:right w:val="single" w:sz="4" w:color="D8D2C8"/>
            </w:tcBorders>
          </w:tcPr>
          <w:p>
            <w:pPr>
              <w:spacing w:after="0"/>
            </w:pPr>
            <w:r>
              <w:rPr>
                <w:rFonts w:ascii="Arial" w:hAnsi="Arial"/>
                <w:b/>
                <w:color w:val="FFFFFF"/>
                <w:sz w:val="18"/>
              </w:rPr>
              <w:t>GROWTH</w:t>
            </w:r>
          </w:p>
        </w:tc>
        <w:tc>
          <w:tcPr>
            <w:tcW w:type="dxa" w:w="2448"/>
            <w:shd w:val="clear" w:fill="C45A1A"/>
            <w:tcBorders>
              <w:top w:val="single" w:sz="4" w:color="D8D2C8"/>
              <w:left w:val="single" w:sz="4" w:color="D8D2C8"/>
              <w:bottom w:val="single" w:sz="4" w:color="D8D2C8"/>
              <w:right w:val="single" w:sz="4" w:color="D8D2C8"/>
            </w:tcBorders>
          </w:tcPr>
          <w:p>
            <w:pPr>
              <w:spacing w:after="0"/>
            </w:pPr>
            <w:r>
              <w:rPr>
                <w:rFonts w:ascii="Arial" w:hAnsi="Arial"/>
                <w:b/>
                <w:color w:val="FFFFFF"/>
                <w:sz w:val="18"/>
              </w:rPr>
              <w:t>PROFESSIONAL</w:t>
            </w:r>
          </w:p>
        </w:tc>
        <w:tc>
          <w:tcPr>
            <w:tcW w:type="dxa" w:w="2304"/>
            <w:shd w:val="clear" w:fill="C45A1A"/>
            <w:tcBorders>
              <w:top w:val="single" w:sz="4" w:color="D8D2C8"/>
              <w:left w:val="single" w:sz="4" w:color="D8D2C8"/>
              <w:bottom w:val="single" w:sz="4" w:color="D8D2C8"/>
              <w:right w:val="single" w:sz="4" w:color="D8D2C8"/>
            </w:tcBorders>
          </w:tcPr>
          <w:p>
            <w:pPr>
              <w:spacing w:after="0"/>
            </w:pPr>
            <w:r>
              <w:rPr>
                <w:rFonts w:ascii="Arial" w:hAnsi="Arial"/>
                <w:b/>
                <w:color w:val="FFFFFF"/>
                <w:sz w:val="18"/>
              </w:rPr>
              <w:t>ENTERPRISE</w:t>
            </w:r>
          </w:p>
        </w:tc>
      </w:tr>
      <w:tr>
        <w:tc>
          <w:tcPr>
            <w:tcW w:type="dxa" w:w="2664"/>
            <w:tcBorders>
              <w:top w:val="single" w:sz="4" w:color="D8D2C8"/>
              <w:left w:val="single" w:sz="4" w:color="D8D2C8"/>
              <w:bottom w:val="single" w:sz="4" w:color="D8D2C8"/>
              <w:right w:val="single" w:sz="4" w:color="D8D2C8"/>
            </w:tcBorders>
            <w:shd w:val="clear" w:fill="EDEAE4"/>
          </w:tcPr>
          <w:p>
            <w:pPr>
              <w:spacing w:after="0" w:line="252" w:lineRule="auto"/>
            </w:pPr>
            <w:r>
              <w:rPr>
                <w:rFonts w:ascii="Arial" w:hAnsi="Arial"/>
                <w:b/>
                <w:sz w:val="17"/>
              </w:rPr>
              <w:t>Setup (one-time)</w:t>
            </w:r>
          </w:p>
        </w:tc>
        <w:tc>
          <w:tcPr>
            <w:tcW w:type="dxa" w:w="2304"/>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$ 3,000</w:t>
            </w:r>
          </w:p>
        </w:tc>
        <w:tc>
          <w:tcPr>
            <w:tcW w:type="dxa" w:w="2304"/>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$ 12,000</w:t>
            </w:r>
          </w:p>
        </w:tc>
        <w:tc>
          <w:tcPr>
            <w:tcW w:type="dxa" w:w="2448"/>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$ 35,000</w:t>
            </w:r>
          </w:p>
        </w:tc>
        <w:tc>
          <w:tcPr>
            <w:tcW w:type="dxa" w:w="2304"/>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$ 90,000+</w:t>
            </w:r>
          </w:p>
        </w:tc>
      </w:tr>
      <w:tr>
        <w:tc>
          <w:tcPr>
            <w:tcW w:type="dxa" w:w="2664"/>
            <w:tcBorders>
              <w:top w:val="single" w:sz="4" w:color="D8D2C8"/>
              <w:left w:val="single" w:sz="4" w:color="D8D2C8"/>
              <w:bottom w:val="single" w:sz="4" w:color="D8D2C8"/>
              <w:right w:val="single" w:sz="4" w:color="D8D2C8"/>
            </w:tcBorders>
            <w:shd w:val="clear" w:fill="EDEAE4"/>
          </w:tcPr>
          <w:p>
            <w:pPr>
              <w:spacing w:after="0" w:line="252" w:lineRule="auto"/>
            </w:pPr>
            <w:r>
              <w:rPr>
                <w:rFonts w:ascii="Arial" w:hAnsi="Arial"/>
                <w:b/>
                <w:sz w:val="17"/>
              </w:rPr>
              <w:t>Monthly platform</w:t>
            </w:r>
          </w:p>
        </w:tc>
        <w:tc>
          <w:tcPr>
            <w:tcW w:type="dxa" w:w="2304"/>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$ 600</w:t>
            </w:r>
          </w:p>
        </w:tc>
        <w:tc>
          <w:tcPr>
            <w:tcW w:type="dxa" w:w="2304"/>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$ 2,000</w:t>
            </w:r>
          </w:p>
        </w:tc>
        <w:tc>
          <w:tcPr>
            <w:tcW w:type="dxa" w:w="2448"/>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$ 6,000</w:t>
            </w:r>
          </w:p>
        </w:tc>
        <w:tc>
          <w:tcPr>
            <w:tcW w:type="dxa" w:w="2304"/>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$ 15,000+</w:t>
            </w:r>
          </w:p>
        </w:tc>
      </w:tr>
      <w:tr>
        <w:tc>
          <w:tcPr>
            <w:tcW w:type="dxa" w:w="2664"/>
            <w:tcBorders>
              <w:top w:val="single" w:sz="4" w:color="D8D2C8"/>
              <w:left w:val="single" w:sz="4" w:color="D8D2C8"/>
              <w:bottom w:val="single" w:sz="4" w:color="D8D2C8"/>
              <w:right w:val="single" w:sz="4" w:color="D8D2C8"/>
            </w:tcBorders>
            <w:shd w:val="clear" w:fill="EDEAE4"/>
          </w:tcPr>
          <w:p>
            <w:pPr>
              <w:spacing w:after="0" w:line="252" w:lineRule="auto"/>
            </w:pPr>
            <w:r>
              <w:rPr>
                <w:rFonts w:ascii="Arial" w:hAnsi="Arial"/>
                <w:b/>
                <w:sz w:val="17"/>
              </w:rPr>
              <w:t>Year-1 total</w:t>
            </w:r>
          </w:p>
        </w:tc>
        <w:tc>
          <w:tcPr>
            <w:tcW w:type="dxa" w:w="2304"/>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$ 10,200</w:t>
            </w:r>
          </w:p>
        </w:tc>
        <w:tc>
          <w:tcPr>
            <w:tcW w:type="dxa" w:w="2304"/>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$ 36,000</w:t>
            </w:r>
          </w:p>
        </w:tc>
        <w:tc>
          <w:tcPr>
            <w:tcW w:type="dxa" w:w="2448"/>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$ 107,000</w:t>
            </w:r>
          </w:p>
        </w:tc>
        <w:tc>
          <w:tcPr>
            <w:tcW w:type="dxa" w:w="2304"/>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$ 270,000+</w:t>
            </w:r>
          </w:p>
        </w:tc>
      </w:tr>
    </w:tbl>
    <w:p>
      <w:pPr>
        <w:spacing w:after="100"/>
      </w:pPr>
    </w:p>
    <w:p>
      <w:pPr>
        <w:spacing w:after="140" w:line="283" w:lineRule="auto"/>
      </w:pPr>
      <w:r>
        <w:rPr>
          <w:rFonts w:ascii="Arial" w:hAnsi="Arial"/>
          <w:b/>
          <w:i w:val="0"/>
          <w:sz w:val="21"/>
        </w:rPr>
        <w:t xml:space="preserve">Why this is defensible: </w:t>
      </w:r>
      <w:r>
        <w:rPr>
          <w:rFonts w:ascii="Arial" w:hAnsi="Arial"/>
          <w:b w:val="0"/>
          <w:i w:val="0"/>
          <w:sz w:val="21"/>
        </w:rPr>
        <w:t>our Growth tier (~RM 60K / ~USD 13K Year-1) lands below the ~USD 60K–108K floors of Glean and ChatGPT Enterprise while delivering far more than search or chat. Our Enterprise tier still undercuts a Palantir engagement by an order of magnitude. We compete on value-per-dollar at the mid-market, not on per-seat price wars.</w:t>
      </w:r>
    </w:p>
    <w:p>
      <w:pPr>
        <w:pStyle w:val="Heading1"/>
        <w:pBdr>
          <w:bottom w:val="single" w:sz="6" w:space="6" w:color="C45A1A"/>
        </w:pBdr>
      </w:pPr>
      <w:r>
        <w:t>6. Margin Analysis</w:t>
      </w:r>
    </w:p>
    <w:p>
      <w:pPr>
        <w:spacing w:after="140" w:line="283" w:lineRule="auto"/>
      </w:pPr>
      <w:r>
        <w:rPr>
          <w:rFonts w:ascii="Arial" w:hAnsi="Arial"/>
          <w:b w:val="0"/>
          <w:i w:val="0"/>
          <w:sz w:val="21"/>
        </w:rPr>
        <w:t>CORTEX has the classic services-to-product margin profile: implementation funds the early business at solid (40–48%) margins while subscription compounds at SaaS-grade (63–90%) margins. As templates mature and self-serve onboarding replaces hands-on capture, implementation hours fall and the subscription mix rises — pulling blended margin toward 80%+.</w:t>
      </w:r>
    </w:p>
    <w:p>
      <w:pPr>
        <w:pStyle w:val="Heading2"/>
      </w:pPr>
      <w:r>
        <w:t>6.1 Per-tier margins (SEA prices, USD)</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3744"/>
            <w:shd w:val="clear" w:fill="C45A1A"/>
            <w:tcBorders>
              <w:top w:val="single" w:sz="4" w:color="D8D2C8"/>
              <w:left w:val="single" w:sz="4" w:color="D8D2C8"/>
              <w:bottom w:val="single" w:sz="4" w:color="D8D2C8"/>
              <w:right w:val="single" w:sz="4" w:color="D8D2C8"/>
            </w:tcBorders>
          </w:tcPr>
          <w:p>
            <w:pPr>
              <w:spacing w:after="0"/>
            </w:pPr>
            <w:r>
              <w:rPr>
                <w:rFonts w:ascii="Arial" w:hAnsi="Arial"/>
                <w:b/>
                <w:color w:val="FFFFFF"/>
                <w:sz w:val="18"/>
              </w:rPr>
            </w:r>
          </w:p>
        </w:tc>
        <w:tc>
          <w:tcPr>
            <w:tcW w:type="dxa" w:w="2448"/>
            <w:shd w:val="clear" w:fill="C45A1A"/>
            <w:tcBorders>
              <w:top w:val="single" w:sz="4" w:color="D8D2C8"/>
              <w:left w:val="single" w:sz="4" w:color="D8D2C8"/>
              <w:bottom w:val="single" w:sz="4" w:color="D8D2C8"/>
              <w:right w:val="single" w:sz="4" w:color="D8D2C8"/>
            </w:tcBorders>
          </w:tcPr>
          <w:p>
            <w:pPr>
              <w:spacing w:after="0"/>
            </w:pPr>
            <w:r>
              <w:rPr>
                <w:rFonts w:ascii="Arial" w:hAnsi="Arial"/>
                <w:b/>
                <w:color w:val="FFFFFF"/>
                <w:sz w:val="18"/>
              </w:rPr>
              <w:t>STARTER</w:t>
            </w:r>
          </w:p>
        </w:tc>
        <w:tc>
          <w:tcPr>
            <w:tcW w:type="dxa" w:w="2448"/>
            <w:shd w:val="clear" w:fill="C45A1A"/>
            <w:tcBorders>
              <w:top w:val="single" w:sz="4" w:color="D8D2C8"/>
              <w:left w:val="single" w:sz="4" w:color="D8D2C8"/>
              <w:bottom w:val="single" w:sz="4" w:color="D8D2C8"/>
              <w:right w:val="single" w:sz="4" w:color="D8D2C8"/>
            </w:tcBorders>
          </w:tcPr>
          <w:p>
            <w:pPr>
              <w:spacing w:after="0"/>
            </w:pPr>
            <w:r>
              <w:rPr>
                <w:rFonts w:ascii="Arial" w:hAnsi="Arial"/>
                <w:b/>
                <w:color w:val="FFFFFF"/>
                <w:sz w:val="18"/>
              </w:rPr>
              <w:t>GROWTH</w:t>
            </w:r>
          </w:p>
        </w:tc>
        <w:tc>
          <w:tcPr>
            <w:tcW w:type="dxa" w:w="2448"/>
            <w:shd w:val="clear" w:fill="C45A1A"/>
            <w:tcBorders>
              <w:top w:val="single" w:sz="4" w:color="D8D2C8"/>
              <w:left w:val="single" w:sz="4" w:color="D8D2C8"/>
              <w:bottom w:val="single" w:sz="4" w:color="D8D2C8"/>
              <w:right w:val="single" w:sz="4" w:color="D8D2C8"/>
            </w:tcBorders>
          </w:tcPr>
          <w:p>
            <w:pPr>
              <w:spacing w:after="0"/>
            </w:pPr>
            <w:r>
              <w:rPr>
                <w:rFonts w:ascii="Arial" w:hAnsi="Arial"/>
                <w:b/>
                <w:color w:val="FFFFFF"/>
                <w:sz w:val="18"/>
              </w:rPr>
              <w:t>PROFESSIONAL</w:t>
            </w:r>
          </w:p>
        </w:tc>
        <w:tc>
          <w:tcPr>
            <w:tcW w:type="dxa" w:w="2376"/>
            <w:shd w:val="clear" w:fill="C45A1A"/>
            <w:tcBorders>
              <w:top w:val="single" w:sz="4" w:color="D8D2C8"/>
              <w:left w:val="single" w:sz="4" w:color="D8D2C8"/>
              <w:bottom w:val="single" w:sz="4" w:color="D8D2C8"/>
              <w:right w:val="single" w:sz="4" w:color="D8D2C8"/>
            </w:tcBorders>
          </w:tcPr>
          <w:p>
            <w:pPr>
              <w:spacing w:after="0"/>
            </w:pPr>
            <w:r>
              <w:rPr>
                <w:rFonts w:ascii="Arial" w:hAnsi="Arial"/>
                <w:b/>
                <w:color w:val="FFFFFF"/>
                <w:sz w:val="18"/>
              </w:rPr>
              <w:t>ENTERPRISE</w:t>
            </w:r>
          </w:p>
        </w:tc>
      </w:tr>
      <w:tr>
        <w:tc>
          <w:tcPr>
            <w:tcW w:type="dxa" w:w="3744"/>
            <w:tcBorders>
              <w:top w:val="single" w:sz="4" w:color="D8D2C8"/>
              <w:left w:val="single" w:sz="4" w:color="D8D2C8"/>
              <w:bottom w:val="single" w:sz="4" w:color="D8D2C8"/>
              <w:right w:val="single" w:sz="4" w:color="D8D2C8"/>
            </w:tcBorders>
            <w:shd w:val="clear" w:fill="EDEAE4"/>
          </w:tcPr>
          <w:p>
            <w:pPr>
              <w:spacing w:after="0" w:line="252" w:lineRule="auto"/>
            </w:pPr>
            <w:r>
              <w:rPr>
                <w:rFonts w:ascii="Arial" w:hAnsi="Arial"/>
                <w:b/>
                <w:sz w:val="17"/>
              </w:rPr>
              <w:t>Subscription gross margin</w:t>
            </w:r>
          </w:p>
        </w:tc>
        <w:tc>
          <w:tcPr>
            <w:tcW w:type="dxa" w:w="2448"/>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90%</w:t>
            </w:r>
          </w:p>
        </w:tc>
        <w:tc>
          <w:tcPr>
            <w:tcW w:type="dxa" w:w="2448"/>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88%</w:t>
            </w:r>
          </w:p>
        </w:tc>
        <w:tc>
          <w:tcPr>
            <w:tcW w:type="dxa" w:w="2448"/>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79%</w:t>
            </w:r>
          </w:p>
        </w:tc>
        <w:tc>
          <w:tcPr>
            <w:tcW w:type="dxa" w:w="2376"/>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63%</w:t>
            </w:r>
          </w:p>
        </w:tc>
      </w:tr>
      <w:tr>
        <w:tc>
          <w:tcPr>
            <w:tcW w:type="dxa" w:w="3744"/>
            <w:tcBorders>
              <w:top w:val="single" w:sz="4" w:color="D8D2C8"/>
              <w:left w:val="single" w:sz="4" w:color="D8D2C8"/>
              <w:bottom w:val="single" w:sz="4" w:color="D8D2C8"/>
              <w:right w:val="single" w:sz="4" w:color="D8D2C8"/>
            </w:tcBorders>
            <w:shd w:val="clear" w:fill="EDEAE4"/>
          </w:tcPr>
          <w:p>
            <w:pPr>
              <w:spacing w:after="0" w:line="252" w:lineRule="auto"/>
            </w:pPr>
            <w:r>
              <w:rPr>
                <w:rFonts w:ascii="Arial" w:hAnsi="Arial"/>
                <w:b/>
                <w:sz w:val="17"/>
              </w:rPr>
              <w:t>Implementation gross margin</w:t>
            </w:r>
          </w:p>
        </w:tc>
        <w:tc>
          <w:tcPr>
            <w:tcW w:type="dxa" w:w="2448"/>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47%</w:t>
            </w:r>
          </w:p>
        </w:tc>
        <w:tc>
          <w:tcPr>
            <w:tcW w:type="dxa" w:w="2448"/>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45%</w:t>
            </w:r>
          </w:p>
        </w:tc>
        <w:tc>
          <w:tcPr>
            <w:tcW w:type="dxa" w:w="2448"/>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43%</w:t>
            </w:r>
          </w:p>
        </w:tc>
        <w:tc>
          <w:tcPr>
            <w:tcW w:type="dxa" w:w="2376"/>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47%</w:t>
            </w:r>
          </w:p>
        </w:tc>
      </w:tr>
      <w:tr>
        <w:tc>
          <w:tcPr>
            <w:tcW w:type="dxa" w:w="3744"/>
            <w:tcBorders>
              <w:top w:val="single" w:sz="4" w:color="D8D2C8"/>
              <w:left w:val="single" w:sz="4" w:color="D8D2C8"/>
              <w:bottom w:val="single" w:sz="4" w:color="D8D2C8"/>
              <w:right w:val="single" w:sz="4" w:color="D8D2C8"/>
            </w:tcBorders>
            <w:shd w:val="clear" w:fill="EDEAE4"/>
          </w:tcPr>
          <w:p>
            <w:pPr>
              <w:spacing w:after="0" w:line="252" w:lineRule="auto"/>
            </w:pPr>
            <w:r>
              <w:rPr>
                <w:rFonts w:ascii="Arial" w:hAnsi="Arial"/>
                <w:b/>
                <w:sz w:val="17"/>
              </w:rPr>
              <w:t>Year-1 blended margin</w:t>
            </w:r>
          </w:p>
        </w:tc>
        <w:tc>
          <w:tcPr>
            <w:tcW w:type="dxa" w:w="2448"/>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78%</w:t>
            </w:r>
          </w:p>
        </w:tc>
        <w:tc>
          <w:tcPr>
            <w:tcW w:type="dxa" w:w="2448"/>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75%</w:t>
            </w:r>
          </w:p>
        </w:tc>
        <w:tc>
          <w:tcPr>
            <w:tcW w:type="dxa" w:w="2448"/>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68%</w:t>
            </w:r>
          </w:p>
        </w:tc>
        <w:tc>
          <w:tcPr>
            <w:tcW w:type="dxa" w:w="2376"/>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58%</w:t>
            </w:r>
          </w:p>
        </w:tc>
      </w:tr>
    </w:tbl>
    <w:p>
      <w:pPr>
        <w:spacing w:after="100"/>
      </w:pPr>
    </w:p>
    <w:p>
      <w:pPr>
        <w:pStyle w:val="Heading2"/>
      </w:pPr>
      <w:r>
        <w:t>6.2 Cost structure</w:t>
      </w:r>
    </w:p>
    <w:p>
      <w:pPr>
        <w:pStyle w:val="ListBullet"/>
        <w:spacing w:after="80" w:line="276" w:lineRule="auto"/>
      </w:pPr>
      <w:r>
        <w:rPr>
          <w:rFonts w:ascii="Arial" w:hAnsi="Arial"/>
          <w:b/>
          <w:sz w:val="21"/>
        </w:rPr>
        <w:t xml:space="preserve">Subscription COGS: </w:t>
      </w:r>
      <w:r>
        <w:rPr>
          <w:rFonts w:ascii="Arial" w:hAnsi="Arial"/>
          <w:b w:val="0"/>
          <w:sz w:val="21"/>
        </w:rPr>
        <w:t>LLM tokens + hosting (Postgres/pgvector, object store, optional OpenSearch/graph DB). ~$25/mo (Starter, shared) to ~$1,400/mo (Enterprise, single-tenant, heavy compute + governance).</w:t>
      </w:r>
    </w:p>
    <w:p>
      <w:pPr>
        <w:pStyle w:val="ListBullet"/>
        <w:spacing w:after="80" w:line="276" w:lineRule="auto"/>
      </w:pPr>
      <w:r>
        <w:rPr>
          <w:rFonts w:ascii="Arial" w:hAnsi="Arial"/>
          <w:b/>
          <w:sz w:val="21"/>
        </w:rPr>
        <w:t xml:space="preserve">Implementation COGS: </w:t>
      </w:r>
      <w:r>
        <w:rPr>
          <w:rFonts w:ascii="Arial" w:hAnsi="Arial"/>
          <w:b w:val="0"/>
          <w:sz w:val="21"/>
        </w:rPr>
        <w:t>consultant/engineer time running the CORTEX Method (16 hrs Starter → 320 hrs Enterprise at ~$42/hr internal cost in years 1–2). The cost line templates attack directly.</w:t>
      </w:r>
    </w:p>
    <w:p>
      <w:pPr>
        <w:pStyle w:val="ListBullet"/>
        <w:spacing w:after="80" w:line="276" w:lineRule="auto"/>
      </w:pPr>
      <w:r>
        <w:rPr>
          <w:rFonts w:ascii="Arial" w:hAnsi="Arial"/>
          <w:b/>
          <w:sz w:val="21"/>
        </w:rPr>
        <w:t xml:space="preserve">OPEX: </w:t>
      </w:r>
      <w:r>
        <w:rPr>
          <w:rFonts w:ascii="Arial" w:hAnsi="Arial"/>
          <w:b w:val="0"/>
          <w:sz w:val="21"/>
        </w:rPr>
        <w:t>team, S&amp;M, G&amp;A — $180K (Y1) → $520K (Y2) → $1.15M (Y3), crossing into positive EBITDA in Year 2.</w:t>
      </w:r>
    </w:p>
    <w:p>
      <w:pPr>
        <w:pStyle w:val="Heading2"/>
      </w:pPr>
      <w:r>
        <w:t>6.3 Scalability</w:t>
      </w:r>
    </w:p>
    <w:p>
      <w:pPr>
        <w:spacing w:after="140" w:line="283" w:lineRule="auto"/>
      </w:pPr>
      <w:r>
        <w:rPr>
          <w:rFonts w:ascii="Arial" w:hAnsi="Arial"/>
          <w:b w:val="0"/>
          <w:i w:val="0"/>
          <w:sz w:val="21"/>
        </w:rPr>
        <w:t>The core architecture is invariant from 1 to 10,000 employees — only how much is switched on, how isolated the deployment is, and how granular the governance is flex with size. A stateless API layer scales horizontally; Postgres+pgvector carries the long tail; the LLM layer is provider-pluggable and cost-tiered. Commercially, the same platform sells across five maturity stages, four sizes and many templates — growth is configuration, not migration, and governance becomes more premium (not more costly to us) as clients grow.</w:t>
      </w:r>
    </w:p>
    <w:p>
      <w:pPr>
        <w:pStyle w:val="Heading2"/>
      </w:pPr>
      <w:r>
        <w:t>6.4 Personnel requirement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5184"/>
            <w:shd w:val="clear" w:fill="C45A1A"/>
            <w:tcBorders>
              <w:top w:val="single" w:sz="4" w:color="D8D2C8"/>
              <w:left w:val="single" w:sz="4" w:color="D8D2C8"/>
              <w:bottom w:val="single" w:sz="4" w:color="D8D2C8"/>
              <w:right w:val="single" w:sz="4" w:color="D8D2C8"/>
            </w:tcBorders>
          </w:tcPr>
          <w:p>
            <w:pPr>
              <w:spacing w:after="0"/>
            </w:pPr>
            <w:r>
              <w:rPr>
                <w:rFonts w:ascii="Arial" w:hAnsi="Arial"/>
                <w:b/>
                <w:color w:val="FFFFFF"/>
                <w:sz w:val="18"/>
              </w:rPr>
              <w:t>Function</w:t>
            </w:r>
          </w:p>
        </w:tc>
        <w:tc>
          <w:tcPr>
            <w:tcW w:type="dxa" w:w="2736"/>
            <w:shd w:val="clear" w:fill="C45A1A"/>
            <w:tcBorders>
              <w:top w:val="single" w:sz="4" w:color="D8D2C8"/>
              <w:left w:val="single" w:sz="4" w:color="D8D2C8"/>
              <w:bottom w:val="single" w:sz="4" w:color="D8D2C8"/>
              <w:right w:val="single" w:sz="4" w:color="D8D2C8"/>
            </w:tcBorders>
          </w:tcPr>
          <w:p>
            <w:pPr>
              <w:spacing w:after="0"/>
            </w:pPr>
            <w:r>
              <w:rPr>
                <w:rFonts w:ascii="Arial" w:hAnsi="Arial"/>
                <w:b/>
                <w:color w:val="FFFFFF"/>
                <w:sz w:val="18"/>
              </w:rPr>
              <w:t>Year 1</w:t>
            </w:r>
          </w:p>
        </w:tc>
        <w:tc>
          <w:tcPr>
            <w:tcW w:type="dxa" w:w="2736"/>
            <w:shd w:val="clear" w:fill="C45A1A"/>
            <w:tcBorders>
              <w:top w:val="single" w:sz="4" w:color="D8D2C8"/>
              <w:left w:val="single" w:sz="4" w:color="D8D2C8"/>
              <w:bottom w:val="single" w:sz="4" w:color="D8D2C8"/>
              <w:right w:val="single" w:sz="4" w:color="D8D2C8"/>
            </w:tcBorders>
          </w:tcPr>
          <w:p>
            <w:pPr>
              <w:spacing w:after="0"/>
            </w:pPr>
            <w:r>
              <w:rPr>
                <w:rFonts w:ascii="Arial" w:hAnsi="Arial"/>
                <w:b/>
                <w:color w:val="FFFFFF"/>
                <w:sz w:val="18"/>
              </w:rPr>
              <w:t>Year 2</w:t>
            </w:r>
          </w:p>
        </w:tc>
        <w:tc>
          <w:tcPr>
            <w:tcW w:type="dxa" w:w="2736"/>
            <w:shd w:val="clear" w:fill="C45A1A"/>
            <w:tcBorders>
              <w:top w:val="single" w:sz="4" w:color="D8D2C8"/>
              <w:left w:val="single" w:sz="4" w:color="D8D2C8"/>
              <w:bottom w:val="single" w:sz="4" w:color="D8D2C8"/>
              <w:right w:val="single" w:sz="4" w:color="D8D2C8"/>
            </w:tcBorders>
          </w:tcPr>
          <w:p>
            <w:pPr>
              <w:spacing w:after="0"/>
            </w:pPr>
            <w:r>
              <w:rPr>
                <w:rFonts w:ascii="Arial" w:hAnsi="Arial"/>
                <w:b/>
                <w:color w:val="FFFFFF"/>
                <w:sz w:val="18"/>
              </w:rPr>
              <w:t>Year 3</w:t>
            </w:r>
          </w:p>
        </w:tc>
      </w:tr>
      <w:tr>
        <w:tc>
          <w:tcPr>
            <w:tcW w:type="dxa" w:w="5184"/>
            <w:tcBorders>
              <w:top w:val="single" w:sz="4" w:color="D8D2C8"/>
              <w:left w:val="single" w:sz="4" w:color="D8D2C8"/>
              <w:bottom w:val="single" w:sz="4" w:color="D8D2C8"/>
              <w:right w:val="single" w:sz="4" w:color="D8D2C8"/>
            </w:tcBorders>
            <w:shd w:val="clear" w:fill="EDEAE4"/>
          </w:tcPr>
          <w:p>
            <w:pPr>
              <w:spacing w:after="0" w:line="252" w:lineRule="auto"/>
            </w:pPr>
            <w:r>
              <w:rPr>
                <w:rFonts w:ascii="Arial" w:hAnsi="Arial"/>
                <w:b/>
                <w:sz w:val="17"/>
              </w:rPr>
              <w:t>AI / full-stack engineering</w:t>
            </w:r>
          </w:p>
        </w:tc>
        <w:tc>
          <w:tcPr>
            <w:tcW w:type="dxa" w:w="2736"/>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1</w:t>
            </w:r>
          </w:p>
        </w:tc>
        <w:tc>
          <w:tcPr>
            <w:tcW w:type="dxa" w:w="2736"/>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3</w:t>
            </w:r>
          </w:p>
        </w:tc>
        <w:tc>
          <w:tcPr>
            <w:tcW w:type="dxa" w:w="2736"/>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6</w:t>
            </w:r>
          </w:p>
        </w:tc>
      </w:tr>
      <w:tr>
        <w:tc>
          <w:tcPr>
            <w:tcW w:type="dxa" w:w="5184"/>
            <w:tcBorders>
              <w:top w:val="single" w:sz="4" w:color="D8D2C8"/>
              <w:left w:val="single" w:sz="4" w:color="D8D2C8"/>
              <w:bottom w:val="single" w:sz="4" w:color="D8D2C8"/>
              <w:right w:val="single" w:sz="4" w:color="D8D2C8"/>
            </w:tcBorders>
            <w:shd w:val="clear" w:fill="EDEAE4"/>
          </w:tcPr>
          <w:p>
            <w:pPr>
              <w:spacing w:after="0" w:line="252" w:lineRule="auto"/>
            </w:pPr>
            <w:r>
              <w:rPr>
                <w:rFonts w:ascii="Arial" w:hAnsi="Arial"/>
                <w:b/>
                <w:sz w:val="17"/>
              </w:rPr>
              <w:t>Implementation consulting</w:t>
            </w:r>
          </w:p>
        </w:tc>
        <w:tc>
          <w:tcPr>
            <w:tcW w:type="dxa" w:w="2736"/>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1</w:t>
            </w:r>
          </w:p>
        </w:tc>
        <w:tc>
          <w:tcPr>
            <w:tcW w:type="dxa" w:w="2736"/>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3</w:t>
            </w:r>
          </w:p>
        </w:tc>
        <w:tc>
          <w:tcPr>
            <w:tcW w:type="dxa" w:w="2736"/>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7</w:t>
            </w:r>
          </w:p>
        </w:tc>
      </w:tr>
      <w:tr>
        <w:tc>
          <w:tcPr>
            <w:tcW w:type="dxa" w:w="5184"/>
            <w:tcBorders>
              <w:top w:val="single" w:sz="4" w:color="D8D2C8"/>
              <w:left w:val="single" w:sz="4" w:color="D8D2C8"/>
              <w:bottom w:val="single" w:sz="4" w:color="D8D2C8"/>
              <w:right w:val="single" w:sz="4" w:color="D8D2C8"/>
            </w:tcBorders>
            <w:shd w:val="clear" w:fill="EDEAE4"/>
          </w:tcPr>
          <w:p>
            <w:pPr>
              <w:spacing w:after="0" w:line="252" w:lineRule="auto"/>
            </w:pPr>
            <w:r>
              <w:rPr>
                <w:rFonts w:ascii="Arial" w:hAnsi="Arial"/>
                <w:b/>
                <w:sz w:val="17"/>
              </w:rPr>
              <w:t>Sales / partnerships</w:t>
            </w:r>
          </w:p>
        </w:tc>
        <w:tc>
          <w:tcPr>
            <w:tcW w:type="dxa" w:w="2736"/>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0</w:t>
            </w:r>
          </w:p>
        </w:tc>
        <w:tc>
          <w:tcPr>
            <w:tcW w:type="dxa" w:w="2736"/>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2</w:t>
            </w:r>
          </w:p>
        </w:tc>
        <w:tc>
          <w:tcPr>
            <w:tcW w:type="dxa" w:w="2736"/>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5</w:t>
            </w:r>
          </w:p>
        </w:tc>
      </w:tr>
      <w:tr>
        <w:tc>
          <w:tcPr>
            <w:tcW w:type="dxa" w:w="5184"/>
            <w:tcBorders>
              <w:top w:val="single" w:sz="4" w:color="D8D2C8"/>
              <w:left w:val="single" w:sz="4" w:color="D8D2C8"/>
              <w:bottom w:val="single" w:sz="4" w:color="D8D2C8"/>
              <w:right w:val="single" w:sz="4" w:color="D8D2C8"/>
            </w:tcBorders>
            <w:shd w:val="clear" w:fill="EDEAE4"/>
          </w:tcPr>
          <w:p>
            <w:pPr>
              <w:spacing w:after="0" w:line="252" w:lineRule="auto"/>
            </w:pPr>
            <w:r>
              <w:rPr>
                <w:rFonts w:ascii="Arial" w:hAnsi="Arial"/>
                <w:b/>
                <w:sz w:val="17"/>
              </w:rPr>
              <w:t>Customer success</w:t>
            </w:r>
          </w:p>
        </w:tc>
        <w:tc>
          <w:tcPr>
            <w:tcW w:type="dxa" w:w="2736"/>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0</w:t>
            </w:r>
          </w:p>
        </w:tc>
        <w:tc>
          <w:tcPr>
            <w:tcW w:type="dxa" w:w="2736"/>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1</w:t>
            </w:r>
          </w:p>
        </w:tc>
        <w:tc>
          <w:tcPr>
            <w:tcW w:type="dxa" w:w="2736"/>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4</w:t>
            </w:r>
          </w:p>
        </w:tc>
      </w:tr>
      <w:tr>
        <w:tc>
          <w:tcPr>
            <w:tcW w:type="dxa" w:w="5184"/>
            <w:tcBorders>
              <w:top w:val="single" w:sz="4" w:color="D8D2C8"/>
              <w:left w:val="single" w:sz="4" w:color="D8D2C8"/>
              <w:bottom w:val="single" w:sz="4" w:color="D8D2C8"/>
              <w:right w:val="single" w:sz="4" w:color="D8D2C8"/>
            </w:tcBorders>
            <w:shd w:val="clear" w:fill="EDEAE4"/>
          </w:tcPr>
          <w:p>
            <w:pPr>
              <w:spacing w:after="0" w:line="252" w:lineRule="auto"/>
            </w:pPr>
            <w:r>
              <w:rPr>
                <w:rFonts w:ascii="Arial" w:hAnsi="Arial"/>
                <w:b/>
                <w:sz w:val="17"/>
              </w:rPr>
              <w:t>Marketing / content</w:t>
            </w:r>
          </w:p>
        </w:tc>
        <w:tc>
          <w:tcPr>
            <w:tcW w:type="dxa" w:w="2736"/>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1</w:t>
            </w:r>
          </w:p>
        </w:tc>
        <w:tc>
          <w:tcPr>
            <w:tcW w:type="dxa" w:w="2736"/>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1</w:t>
            </w:r>
          </w:p>
        </w:tc>
        <w:tc>
          <w:tcPr>
            <w:tcW w:type="dxa" w:w="2736"/>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3</w:t>
            </w:r>
          </w:p>
        </w:tc>
      </w:tr>
      <w:tr>
        <w:tc>
          <w:tcPr>
            <w:tcW w:type="dxa" w:w="5184"/>
            <w:tcBorders>
              <w:top w:val="single" w:sz="4" w:color="D8D2C8"/>
              <w:left w:val="single" w:sz="4" w:color="D8D2C8"/>
              <w:bottom w:val="single" w:sz="4" w:color="D8D2C8"/>
              <w:right w:val="single" w:sz="4" w:color="D8D2C8"/>
            </w:tcBorders>
            <w:shd w:val="clear" w:fill="EDEAE4"/>
          </w:tcPr>
          <w:p>
            <w:pPr>
              <w:spacing w:after="0" w:line="252" w:lineRule="auto"/>
            </w:pPr>
            <w:r>
              <w:rPr>
                <w:rFonts w:ascii="Arial" w:hAnsi="Arial"/>
                <w:b/>
                <w:sz w:val="17"/>
              </w:rPr>
              <w:t>Founder + ops / admin</w:t>
            </w:r>
          </w:p>
        </w:tc>
        <w:tc>
          <w:tcPr>
            <w:tcW w:type="dxa" w:w="2736"/>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1</w:t>
            </w:r>
          </w:p>
        </w:tc>
        <w:tc>
          <w:tcPr>
            <w:tcW w:type="dxa" w:w="2736"/>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2</w:t>
            </w:r>
          </w:p>
        </w:tc>
        <w:tc>
          <w:tcPr>
            <w:tcW w:type="dxa" w:w="2736"/>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3</w:t>
            </w:r>
          </w:p>
        </w:tc>
      </w:tr>
      <w:tr>
        <w:tc>
          <w:tcPr>
            <w:tcW w:type="dxa" w:w="5184"/>
            <w:tcBorders>
              <w:top w:val="single" w:sz="4" w:color="D8D2C8"/>
              <w:left w:val="single" w:sz="4" w:color="D8D2C8"/>
              <w:bottom w:val="single" w:sz="4" w:color="D8D2C8"/>
              <w:right w:val="single" w:sz="4" w:color="D8D2C8"/>
            </w:tcBorders>
            <w:shd w:val="clear" w:fill="EDEAE4"/>
          </w:tcPr>
          <w:p>
            <w:pPr>
              <w:spacing w:after="0" w:line="252" w:lineRule="auto"/>
            </w:pPr>
            <w:r>
              <w:rPr>
                <w:rFonts w:ascii="Arial" w:hAnsi="Arial"/>
                <w:b/>
                <w:sz w:val="17"/>
              </w:rPr>
              <w:t>Total headcount</w:t>
            </w:r>
          </w:p>
        </w:tc>
        <w:tc>
          <w:tcPr>
            <w:tcW w:type="dxa" w:w="2736"/>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4</w:t>
            </w:r>
          </w:p>
        </w:tc>
        <w:tc>
          <w:tcPr>
            <w:tcW w:type="dxa" w:w="2736"/>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12</w:t>
            </w:r>
          </w:p>
        </w:tc>
        <w:tc>
          <w:tcPr>
            <w:tcW w:type="dxa" w:w="2736"/>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28</w:t>
            </w:r>
          </w:p>
        </w:tc>
      </w:tr>
    </w:tbl>
    <w:p>
      <w:r>
        <w:br w:type="page"/>
      </w:r>
    </w:p>
    <w:p>
      <w:pPr>
        <w:pStyle w:val="Heading1"/>
        <w:pBdr>
          <w:bottom w:val="single" w:sz="6" w:space="6" w:color="C45A1A"/>
        </w:pBdr>
      </w:pPr>
      <w:r>
        <w:t>7. Website Structure &amp; Copy</w:t>
      </w:r>
    </w:p>
    <w:p>
      <w:pPr>
        <w:spacing w:after="140" w:line="283" w:lineRule="auto"/>
      </w:pPr>
      <w:r>
        <w:rPr>
          <w:rFonts w:ascii="Arial" w:hAnsi="Arial"/>
          <w:b w:val="0"/>
          <w:i w:val="0"/>
          <w:sz w:val="21"/>
        </w:rPr>
        <w:t xml:space="preserve">Six sections built to convert serious buyers: lead with the category and the trust promise, prove it with the maturity diagnostic, route everyone to a booked demo. Structure: </w:t>
      </w:r>
      <w:r>
        <w:rPr>
          <w:rFonts w:ascii="Arial" w:hAnsi="Arial"/>
          <w:b/>
          <w:i w:val="0"/>
          <w:sz w:val="21"/>
        </w:rPr>
        <w:t>Home · Solutions · Industries · Pricing · Case Studies · Book Demo.</w:t>
      </w:r>
    </w:p>
    <w:p>
      <w:pPr>
        <w:pStyle w:val="Heading2"/>
      </w:pPr>
      <w:r>
        <w:t>Home</w:t>
      </w:r>
    </w:p>
    <w:p>
      <w:pPr>
        <w:spacing w:after="140" w:line="283" w:lineRule="auto"/>
      </w:pPr>
      <w:r>
        <w:rPr>
          <w:rFonts w:ascii="Arial" w:hAnsi="Arial"/>
          <w:b/>
          <w:i w:val="0"/>
          <w:sz w:val="21"/>
        </w:rPr>
        <w:t xml:space="preserve">Hero headline: </w:t>
      </w:r>
      <w:r>
        <w:rPr>
          <w:rFonts w:ascii="Arial" w:hAnsi="Arial"/>
          <w:b w:val="0"/>
          <w:i w:val="0"/>
          <w:sz w:val="21"/>
        </w:rPr>
        <w:t>“Your company already has a brain. It’s just scattered across people, files and apps.”</w:t>
      </w:r>
    </w:p>
    <w:p>
      <w:pPr>
        <w:spacing w:after="140" w:line="283" w:lineRule="auto"/>
      </w:pPr>
      <w:r>
        <w:rPr>
          <w:rFonts w:ascii="Arial" w:hAnsi="Arial"/>
          <w:b/>
          <w:i w:val="0"/>
          <w:sz w:val="21"/>
        </w:rPr>
        <w:t xml:space="preserve">Sub-headline: </w:t>
      </w:r>
      <w:r>
        <w:rPr>
          <w:rFonts w:ascii="Arial" w:hAnsi="Arial"/>
          <w:b w:val="0"/>
          <w:i w:val="0"/>
          <w:sz w:val="21"/>
        </w:rPr>
        <w:t>CORTEX is the governed AI operating system that captures what your business knows, runs how it works, and helps it decide — without ever making things up.</w:t>
      </w:r>
    </w:p>
    <w:p>
      <w:pPr>
        <w:spacing w:after="140" w:line="283" w:lineRule="auto"/>
      </w:pPr>
      <w:r>
        <w:rPr>
          <w:rFonts w:ascii="Arial" w:hAnsi="Arial"/>
          <w:b/>
          <w:i w:val="0"/>
          <w:sz w:val="21"/>
        </w:rPr>
        <w:t xml:space="preserve">CTAs: </w:t>
      </w:r>
      <w:r>
        <w:rPr>
          <w:rFonts w:ascii="Arial" w:hAnsi="Arial"/>
          <w:b w:val="0"/>
          <w:i w:val="0"/>
          <w:sz w:val="21"/>
        </w:rPr>
        <w:t>Primary — Book a demo.  Secondary — Take the 2-minute Maturity Assessment.</w:t>
      </w:r>
    </w:p>
    <w:p>
      <w:pPr>
        <w:spacing w:after="140" w:line="283" w:lineRule="auto"/>
      </w:pPr>
      <w:r>
        <w:rPr>
          <w:rFonts w:ascii="Arial" w:hAnsi="Arial"/>
          <w:b/>
          <w:i w:val="0"/>
          <w:sz w:val="21"/>
        </w:rPr>
        <w:t xml:space="preserve">Value props: </w:t>
      </w:r>
      <w:r>
        <w:rPr>
          <w:rFonts w:ascii="Arial" w:hAnsi="Arial"/>
          <w:b w:val="0"/>
          <w:i w:val="0"/>
          <w:sz w:val="21"/>
        </w:rPr>
        <w:t>(1) Never lose knowledge again — one trusted source of truth. (2) Decisions on evidence, not opinion — every answer sourced and confidence-rated. (3) Built for trust — no fabrication, full access control, human approval for high-stakes output.</w:t>
      </w:r>
    </w:p>
    <w:p>
      <w:pPr>
        <w:pStyle w:val="Heading2"/>
      </w:pPr>
      <w:r>
        <w:t>Solutions</w:t>
      </w:r>
    </w:p>
    <w:p>
      <w:pPr>
        <w:spacing w:after="140" w:line="283" w:lineRule="auto"/>
      </w:pPr>
      <w:r>
        <w:rPr>
          <w:rFonts w:ascii="Arial" w:hAnsi="Arial"/>
          <w:b w:val="0"/>
          <w:i w:val="0"/>
          <w:sz w:val="21"/>
        </w:rPr>
        <w:t>Organized by the eight brain layers framed as outcomes: Knowledge (“end ask-the-veteran”), Operations (“meetings become assigned work”), Marketing &amp; Content (“on-brand at scale”), Sales (“every rep performs like your best rep”), Customer (“one memory of every relationship”), Decision (“score high-stakes choices”), Intelligence &amp; Risk (“live radar + crisis playbook”), Automation (“the business runs on a cadence”). Each labelled with the maturity level it unlocks.</w:t>
      </w:r>
    </w:p>
    <w:p>
      <w:pPr>
        <w:spacing w:after="140" w:line="283" w:lineRule="auto"/>
      </w:pPr>
      <w:r>
        <w:rPr>
          <w:rFonts w:ascii="Arial" w:hAnsi="Arial"/>
          <w:b/>
          <w:i w:val="0"/>
          <w:sz w:val="21"/>
        </w:rPr>
        <w:t xml:space="preserve">Value proposition: </w:t>
      </w:r>
      <w:r>
        <w:rPr>
          <w:rFonts w:ascii="Arial" w:hAnsi="Arial"/>
          <w:b w:val="0"/>
          <w:i w:val="0"/>
          <w:sz w:val="21"/>
        </w:rPr>
        <w:t>“One brain, eight functions, zero hallucinations.”</w:t>
      </w:r>
    </w:p>
    <w:p>
      <w:pPr>
        <w:pStyle w:val="Heading2"/>
      </w:pPr>
      <w:r>
        <w:t>Industries</w:t>
      </w:r>
    </w:p>
    <w:p>
      <w:pPr>
        <w:spacing w:after="140" w:line="283" w:lineRule="auto"/>
      </w:pPr>
      <w:r>
        <w:rPr>
          <w:rFonts w:ascii="Arial" w:hAnsi="Arial"/>
          <w:b w:val="0"/>
          <w:i w:val="0"/>
          <w:sz w:val="21"/>
        </w:rPr>
        <w:t>A page per hardened template — Law Firms, Medical Practices, Hotels &amp; Hospitality, Real Estate, Marketing Agencies, Restaurants — each showing the layers that lead, the compliance red-lines we respect (attorney-client privilege, HIPAA/PDPA, food-safety), and a vertical-specific demo. The trust layer is the hero on regulated pages.</w:t>
      </w:r>
    </w:p>
    <w:p>
      <w:pPr>
        <w:spacing w:after="140" w:line="283" w:lineRule="auto"/>
      </w:pPr>
      <w:r>
        <w:rPr>
          <w:rFonts w:ascii="Arial" w:hAnsi="Arial"/>
          <w:b/>
          <w:i w:val="0"/>
          <w:sz w:val="21"/>
        </w:rPr>
        <w:t xml:space="preserve">Value proposition: </w:t>
      </w:r>
      <w:r>
        <w:rPr>
          <w:rFonts w:ascii="Arial" w:hAnsi="Arial"/>
          <w:b w:val="0"/>
          <w:i w:val="0"/>
          <w:sz w:val="21"/>
        </w:rPr>
        <w:t>“We don’t adapt your business to software. We configure the brain to your industry.”</w:t>
      </w:r>
    </w:p>
    <w:p>
      <w:pPr>
        <w:pStyle w:val="Heading2"/>
      </w:pPr>
      <w:r>
        <w:t>Pricing</w:t>
      </w:r>
    </w:p>
    <w:p>
      <w:pPr>
        <w:spacing w:after="140" w:line="283" w:lineRule="auto"/>
      </w:pPr>
      <w:r>
        <w:rPr>
          <w:rFonts w:ascii="Arial" w:hAnsi="Arial"/>
          <w:b w:val="0"/>
          <w:i w:val="0"/>
          <w:sz w:val="21"/>
        </w:rPr>
        <w:t>The 4-tier ladder shown as a maturity journey (Starter → Enterprise), region-aware (MYR/EUR/USD), with the maturity diagnostic embedded: “Where is your business today?” Anchored on value vs. the cost of lost knowledge and bad decisions, not per-seat comparison. CTA on every tier.</w:t>
      </w:r>
    </w:p>
    <w:p>
      <w:pPr>
        <w:pStyle w:val="Heading2"/>
      </w:pPr>
      <w:r>
        <w:t>Case Studies</w:t>
      </w:r>
    </w:p>
    <w:p>
      <w:pPr>
        <w:spacing w:after="140" w:line="283" w:lineRule="auto"/>
      </w:pPr>
      <w:r>
        <w:rPr>
          <w:rFonts w:ascii="Arial" w:hAnsi="Arial"/>
          <w:b w:val="0"/>
          <w:i w:val="0"/>
          <w:sz w:val="21"/>
        </w:rPr>
        <w:t>Proof over promises. Each study: the maturity gap before → what we captured and switched on → measurable result (onboarding time cut, questions deflected, decision quality, hours saved). Lead with the PIOS lineage as credibility anchor (“built where one fabricated fact causes real damage”), then add commercial references as they land.</w:t>
      </w:r>
    </w:p>
    <w:p>
      <w:pPr>
        <w:pStyle w:val="Heading2"/>
      </w:pPr>
      <w:r>
        <w:t>Book Demo</w:t>
      </w:r>
    </w:p>
    <w:p>
      <w:pPr>
        <w:spacing w:after="140" w:line="283" w:lineRule="auto"/>
      </w:pPr>
      <w:r>
        <w:rPr>
          <w:rFonts w:ascii="Arial" w:hAnsi="Arial"/>
          <w:b w:val="0"/>
          <w:i w:val="0"/>
          <w:sz w:val="21"/>
        </w:rPr>
        <w:t>A single frictionless booking flow. The demo is the differentiator: a live, grounded, fully-sourced answer from a sample brain — then a deliberate “I don’t know” on an out-of-scope question. We sell the governance, not the magic.</w:t>
      </w:r>
    </w:p>
    <w:p>
      <w:pPr>
        <w:pStyle w:val="Heading1"/>
        <w:pBdr>
          <w:bottom w:val="single" w:sz="6" w:space="6" w:color="C45A1A"/>
        </w:pBdr>
      </w:pPr>
      <w:r>
        <w:t>8. Sales Strategy</w:t>
      </w:r>
    </w:p>
    <w:p>
      <w:pPr>
        <w:pStyle w:val="Heading2"/>
      </w:pPr>
      <w:r>
        <w:t>8.1 Target customers &amp; industries</w:t>
      </w:r>
    </w:p>
    <w:p>
      <w:pPr>
        <w:pStyle w:val="ListBullet"/>
        <w:spacing w:after="80" w:line="276" w:lineRule="auto"/>
      </w:pPr>
      <w:r>
        <w:rPr>
          <w:rFonts w:ascii="Arial" w:hAnsi="Arial"/>
          <w:b/>
          <w:sz w:val="21"/>
        </w:rPr>
        <w:t xml:space="preserve">Beachhead verticals (regulated = trust-layer sells itself): </w:t>
      </w:r>
      <w:r>
        <w:rPr>
          <w:rFonts w:ascii="Arial" w:hAnsi="Arial"/>
          <w:b w:val="0"/>
          <w:sz w:val="21"/>
        </w:rPr>
        <w:t>law firms, medical/dental practices, then hotels, real estate, marketing agencies, multi-location hospitality.</w:t>
      </w:r>
    </w:p>
    <w:p>
      <w:pPr>
        <w:pStyle w:val="ListBullet"/>
        <w:spacing w:after="80" w:line="276" w:lineRule="auto"/>
      </w:pPr>
      <w:r>
        <w:rPr>
          <w:rFonts w:ascii="Arial" w:hAnsi="Arial"/>
          <w:b/>
          <w:sz w:val="21"/>
        </w:rPr>
        <w:t xml:space="preserve">Buyer: </w:t>
      </w:r>
      <w:r>
        <w:rPr>
          <w:rFonts w:ascii="Arial" w:hAnsi="Arial"/>
          <w:b w:val="0"/>
          <w:sz w:val="21"/>
        </w:rPr>
        <w:t>owner / managing partner / GM of a 10–250-person SME, and department heads in 250–2,500-person mid-market firms — non-technical, ROI-driven, feeling the pain of lost knowledge and inconsistent service.</w:t>
      </w:r>
    </w:p>
    <w:p>
      <w:pPr>
        <w:pStyle w:val="ListBullet"/>
        <w:spacing w:after="80" w:line="276" w:lineRule="auto"/>
      </w:pPr>
      <w:r>
        <w:rPr>
          <w:rFonts w:ascii="Arial" w:hAnsi="Arial"/>
          <w:b/>
          <w:sz w:val="21"/>
        </w:rPr>
        <w:t xml:space="preserve">Geography: </w:t>
      </w:r>
      <w:r>
        <w:rPr>
          <w:rFonts w:ascii="Arial" w:hAnsi="Arial"/>
          <w:b w:val="0"/>
          <w:sz w:val="21"/>
        </w:rPr>
        <w:t>Kuala Lumpur / Malaysia first (warm network, winsym.ai presence, Google + Meta Partner credibility), then SEA, then DACH via the German-language advantage.</w:t>
      </w:r>
    </w:p>
    <w:p>
      <w:pPr>
        <w:pStyle w:val="Heading2"/>
      </w:pPr>
      <w:r>
        <w:t>8.2 Acquisition process</w:t>
      </w:r>
    </w:p>
    <w:p>
      <w:pPr>
        <w:spacing w:after="140" w:line="283" w:lineRule="auto"/>
      </w:pPr>
      <w:r>
        <w:rPr>
          <w:rFonts w:ascii="Arial" w:hAnsi="Arial"/>
          <w:b/>
          <w:i w:val="0"/>
          <w:sz w:val="21"/>
        </w:rPr>
        <w:t xml:space="preserve">The diagnostic is the pitch. </w:t>
      </w:r>
      <w:r>
        <w:rPr>
          <w:rFonts w:ascii="Arial" w:hAnsi="Arial"/>
          <w:b w:val="0"/>
          <w:i w:val="0"/>
          <w:sz w:val="21"/>
        </w:rPr>
        <w:t>Every conversation opens by placing the prospect on the maturity ladder: “You’re operating at Level 1 but trying to make Level 4 decisions.” The gap is the value case. Funnel: content/SEO + warm outreach + speaking → free Maturity Assessment → discovery call → grounded live demo → paid pilot (one or two layers) → land at Level 2.</w:t>
      </w:r>
    </w:p>
    <w:p>
      <w:pPr>
        <w:pStyle w:val="Heading2"/>
      </w:pPr>
      <w:r>
        <w:t>8.3 Demo process</w:t>
      </w:r>
    </w:p>
    <w:p>
      <w:pPr>
        <w:spacing w:after="140" w:line="283" w:lineRule="auto"/>
      </w:pPr>
      <w:r>
        <w:rPr>
          <w:rFonts w:ascii="Arial" w:hAnsi="Arial"/>
          <w:b w:val="0"/>
          <w:i w:val="0"/>
          <w:sz w:val="21"/>
        </w:rPr>
        <w:t>Pre-load a small sample brain for the prospect’s vertical. Show a grounded, sourced answer; then deliberately ask something not in the knowledge base to prove it says “I don’t know” and routes the gap rather than fabricating. That refusal to make things up is what closes regulated buyers.</w:t>
      </w:r>
    </w:p>
    <w:p>
      <w:pPr>
        <w:pStyle w:val="Heading2"/>
      </w:pPr>
      <w:r>
        <w:t>8.4 Upselling / land-and-expand</w:t>
      </w:r>
    </w:p>
    <w:p>
      <w:pPr>
        <w:spacing w:after="140" w:line="283" w:lineRule="auto"/>
      </w:pPr>
      <w:r>
        <w:rPr>
          <w:rFonts w:ascii="Arial" w:hAnsi="Arial"/>
          <w:b w:val="0"/>
          <w:i w:val="0"/>
          <w:sz w:val="21"/>
        </w:rPr>
        <w:t>Land small on the one or two layers that hurt most (usually Knowledge + Operations), prove ROI fast at Level 2, then sell the climb: more layers, higher maturity, more departments, deeper integrations, additional templates/brand-brains. Net revenue retention modeled at 115% — the brain’s growing lock-in does the selling. Win 2–3 reference clients in one vertical, harden the template, then repeat.</w:t>
      </w:r>
    </w:p>
    <w:p>
      <w:r>
        <w:br w:type="page"/>
      </w:r>
    </w:p>
    <w:p>
      <w:pPr>
        <w:pStyle w:val="Heading1"/>
        <w:pBdr>
          <w:bottom w:val="single" w:sz="6" w:space="6" w:color="C45A1A"/>
        </w:pBdr>
      </w:pPr>
      <w:r>
        <w:t>9. Product Roadmap</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val="clear" w:fill="C45A1A"/>
            <w:tcBorders>
              <w:top w:val="single" w:sz="4" w:color="D8D2C8"/>
              <w:left w:val="single" w:sz="4" w:color="D8D2C8"/>
              <w:bottom w:val="single" w:sz="4" w:color="D8D2C8"/>
              <w:right w:val="single" w:sz="4" w:color="D8D2C8"/>
            </w:tcBorders>
          </w:tcPr>
          <w:p>
            <w:pPr>
              <w:spacing w:after="0"/>
            </w:pPr>
            <w:r>
              <w:rPr>
                <w:rFonts w:ascii="Arial" w:hAnsi="Arial"/>
                <w:b/>
                <w:color w:val="FFFFFF"/>
                <w:sz w:val="18"/>
              </w:rPr>
              <w:t>Phase</w:t>
            </w:r>
          </w:p>
        </w:tc>
        <w:tc>
          <w:tcPr>
            <w:tcW w:type="dxa" w:w="2880"/>
            <w:shd w:val="clear" w:fill="C45A1A"/>
            <w:tcBorders>
              <w:top w:val="single" w:sz="4" w:color="D8D2C8"/>
              <w:left w:val="single" w:sz="4" w:color="D8D2C8"/>
              <w:bottom w:val="single" w:sz="4" w:color="D8D2C8"/>
              <w:right w:val="single" w:sz="4" w:color="D8D2C8"/>
            </w:tcBorders>
          </w:tcPr>
          <w:p>
            <w:pPr>
              <w:spacing w:after="0"/>
            </w:pPr>
            <w:r>
              <w:rPr>
                <w:rFonts w:ascii="Arial" w:hAnsi="Arial"/>
                <w:b/>
                <w:color w:val="FFFFFF"/>
                <w:sz w:val="18"/>
              </w:rPr>
              <w:t>Theme</w:t>
            </w:r>
          </w:p>
        </w:tc>
        <w:tc>
          <w:tcPr>
            <w:tcW w:type="dxa" w:w="5040"/>
            <w:shd w:val="clear" w:fill="C45A1A"/>
            <w:tcBorders>
              <w:top w:val="single" w:sz="4" w:color="D8D2C8"/>
              <w:left w:val="single" w:sz="4" w:color="D8D2C8"/>
              <w:bottom w:val="single" w:sz="4" w:color="D8D2C8"/>
              <w:right w:val="single" w:sz="4" w:color="D8D2C8"/>
            </w:tcBorders>
          </w:tcPr>
          <w:p>
            <w:pPr>
              <w:spacing w:after="0"/>
            </w:pPr>
            <w:r>
              <w:rPr>
                <w:rFonts w:ascii="Arial" w:hAnsi="Arial"/>
                <w:b/>
                <w:color w:val="FFFFFF"/>
                <w:sz w:val="18"/>
              </w:rPr>
              <w:t>What we build / do</w:t>
            </w:r>
          </w:p>
        </w:tc>
        <w:tc>
          <w:tcPr>
            <w:tcW w:type="dxa" w:w="2880"/>
            <w:shd w:val="clear" w:fill="C45A1A"/>
            <w:tcBorders>
              <w:top w:val="single" w:sz="4" w:color="D8D2C8"/>
              <w:left w:val="single" w:sz="4" w:color="D8D2C8"/>
              <w:bottom w:val="single" w:sz="4" w:color="D8D2C8"/>
              <w:right w:val="single" w:sz="4" w:color="D8D2C8"/>
            </w:tcBorders>
          </w:tcPr>
          <w:p>
            <w:pPr>
              <w:spacing w:after="0"/>
            </w:pPr>
            <w:r>
              <w:rPr>
                <w:rFonts w:ascii="Arial" w:hAnsi="Arial"/>
                <w:b/>
                <w:color w:val="FFFFFF"/>
                <w:sz w:val="18"/>
              </w:rPr>
              <w:t>Outcome</w:t>
            </w:r>
          </w:p>
        </w:tc>
      </w:tr>
      <w:tr>
        <w:tc>
          <w:tcPr>
            <w:tcW w:type="dxa" w:w="1872"/>
            <w:tcBorders>
              <w:top w:val="single" w:sz="4" w:color="D8D2C8"/>
              <w:left w:val="single" w:sz="4" w:color="D8D2C8"/>
              <w:bottom w:val="single" w:sz="4" w:color="D8D2C8"/>
              <w:right w:val="single" w:sz="4" w:color="D8D2C8"/>
            </w:tcBorders>
            <w:shd w:val="clear" w:fill="EDEAE4"/>
          </w:tcPr>
          <w:p>
            <w:pPr>
              <w:spacing w:after="0" w:line="252" w:lineRule="auto"/>
            </w:pPr>
            <w:r>
              <w:rPr>
                <w:rFonts w:ascii="Arial" w:hAnsi="Arial"/>
                <w:b/>
                <w:sz w:val="17"/>
              </w:rPr>
              <w:t>Phase 1</w:t>
            </w:r>
          </w:p>
        </w:tc>
        <w:tc>
          <w:tcPr>
            <w:tcW w:type="dxa" w:w="2880"/>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Done-for-you Brain Setup</w:t>
            </w:r>
          </w:p>
        </w:tc>
        <w:tc>
          <w:tcPr>
            <w:tcW w:type="dxa" w:w="5040"/>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Services-led pilots for 2–3 clients in one vertical using the file-based/PoC approach + the CORTEX Method. Learn the template.</w:t>
            </w:r>
          </w:p>
        </w:tc>
        <w:tc>
          <w:tcPr>
            <w:tcW w:type="dxa" w:w="2880"/>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Revenue + references; first hardened template</w:t>
            </w:r>
          </w:p>
        </w:tc>
      </w:tr>
      <w:tr>
        <w:tc>
          <w:tcPr>
            <w:tcW w:type="dxa" w:w="1872"/>
            <w:tcBorders>
              <w:top w:val="single" w:sz="4" w:color="D8D2C8"/>
              <w:left w:val="single" w:sz="4" w:color="D8D2C8"/>
              <w:bottom w:val="single" w:sz="4" w:color="D8D2C8"/>
              <w:right w:val="single" w:sz="4" w:color="D8D2C8"/>
            </w:tcBorders>
            <w:shd w:val="clear" w:fill="EDEAE4"/>
          </w:tcPr>
          <w:p>
            <w:pPr>
              <w:spacing w:after="0" w:line="252" w:lineRule="auto"/>
            </w:pPr>
            <w:r>
              <w:rPr>
                <w:rFonts w:ascii="Arial" w:hAnsi="Arial"/>
                <w:b/>
                <w:sz w:val="17"/>
              </w:rPr>
              <w:t>Phase 2</w:t>
            </w:r>
          </w:p>
        </w:tc>
        <w:tc>
          <w:tcPr>
            <w:tcW w:type="dxa" w:w="2880"/>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Brain as a Service</w:t>
            </w:r>
          </w:p>
        </w:tc>
        <w:tc>
          <w:tcPr>
            <w:tcW w:type="dxa" w:w="5040"/>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Productize the platform: graph + RBAC + grounded RAG + trust layer first, then dashboard and user layers.</w:t>
            </w:r>
          </w:p>
        </w:tc>
        <w:tc>
          <w:tcPr>
            <w:tcW w:type="dxa" w:w="2880"/>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Recurring SaaS revenue; repeatable onboarding</w:t>
            </w:r>
          </w:p>
        </w:tc>
      </w:tr>
      <w:tr>
        <w:tc>
          <w:tcPr>
            <w:tcW w:type="dxa" w:w="1872"/>
            <w:tcBorders>
              <w:top w:val="single" w:sz="4" w:color="D8D2C8"/>
              <w:left w:val="single" w:sz="4" w:color="D8D2C8"/>
              <w:bottom w:val="single" w:sz="4" w:color="D8D2C8"/>
              <w:right w:val="single" w:sz="4" w:color="D8D2C8"/>
            </w:tcBorders>
            <w:shd w:val="clear" w:fill="EDEAE4"/>
          </w:tcPr>
          <w:p>
            <w:pPr>
              <w:spacing w:after="0" w:line="252" w:lineRule="auto"/>
            </w:pPr>
            <w:r>
              <w:rPr>
                <w:rFonts w:ascii="Arial" w:hAnsi="Arial"/>
                <w:b/>
                <w:sz w:val="17"/>
              </w:rPr>
              <w:t>Phase 3</w:t>
            </w:r>
          </w:p>
        </w:tc>
        <w:tc>
          <w:tcPr>
            <w:tcW w:type="dxa" w:w="2880"/>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Managed AI Operating System</w:t>
            </w:r>
          </w:p>
        </w:tc>
        <w:tc>
          <w:tcPr>
            <w:tcW w:type="dxa" w:w="5040"/>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Switch on the Automation/Cadence layer and live integrations for clients who’ve earned the maturity. Read-only automations first.</w:t>
            </w:r>
          </w:p>
        </w:tc>
        <w:tc>
          <w:tcPr>
            <w:tcW w:type="dxa" w:w="2880"/>
            <w:tcBorders>
              <w:top w:val="single" w:sz="4" w:color="D8D2C8"/>
              <w:left w:val="single" w:sz="4" w:color="D8D2C8"/>
              <w:bottom w:val="single" w:sz="4" w:color="D8D2C8"/>
              <w:right w:val="single" w:sz="4" w:color="D8D2C8"/>
            </w:tcBorders>
            <w:shd w:val="clear" w:fill="F5F2EE"/>
          </w:tcPr>
          <w:p>
            <w:pPr>
              <w:spacing w:after="0" w:line="252" w:lineRule="auto"/>
            </w:pPr>
            <w:r>
              <w:rPr>
                <w:rFonts w:ascii="Arial" w:hAnsi="Arial"/>
                <w:b w:val="0"/>
                <w:sz w:val="17"/>
              </w:rPr>
              <w:t>Level-5 clients; higher ACV; deep lock-in</w:t>
            </w:r>
          </w:p>
        </w:tc>
      </w:tr>
      <w:tr>
        <w:tc>
          <w:tcPr>
            <w:tcW w:type="dxa" w:w="1872"/>
            <w:tcBorders>
              <w:top w:val="single" w:sz="4" w:color="D8D2C8"/>
              <w:left w:val="single" w:sz="4" w:color="D8D2C8"/>
              <w:bottom w:val="single" w:sz="4" w:color="D8D2C8"/>
              <w:right w:val="single" w:sz="4" w:color="D8D2C8"/>
            </w:tcBorders>
            <w:shd w:val="clear" w:fill="EDEAE4"/>
          </w:tcPr>
          <w:p>
            <w:pPr>
              <w:spacing w:after="0" w:line="252" w:lineRule="auto"/>
            </w:pPr>
            <w:r>
              <w:rPr>
                <w:rFonts w:ascii="Arial" w:hAnsi="Arial"/>
                <w:b/>
                <w:sz w:val="17"/>
              </w:rPr>
              <w:t>Phase 4</w:t>
            </w:r>
          </w:p>
        </w:tc>
        <w:tc>
          <w:tcPr>
            <w:tcW w:type="dxa" w:w="2880"/>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Own SaaS Platform</w:t>
            </w:r>
          </w:p>
        </w:tc>
        <w:tc>
          <w:tcPr>
            <w:tcW w:type="dxa" w:w="5040"/>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Lower the floor (solo/SME self-serve) and raise the ceiling (enterprise single-tenant), with an expanding template marketplace.</w:t>
            </w:r>
          </w:p>
        </w:tc>
        <w:tc>
          <w:tcPr>
            <w:tcW w:type="dxa" w:w="2880"/>
            <w:tcBorders>
              <w:top w:val="single" w:sz="4" w:color="D8D2C8"/>
              <w:left w:val="single" w:sz="4" w:color="D8D2C8"/>
              <w:bottom w:val="single" w:sz="4" w:color="D8D2C8"/>
              <w:right w:val="single" w:sz="4" w:color="D8D2C8"/>
            </w:tcBorders>
          </w:tcPr>
          <w:p>
            <w:pPr>
              <w:spacing w:after="0" w:line="252" w:lineRule="auto"/>
            </w:pPr>
            <w:r>
              <w:rPr>
                <w:rFonts w:ascii="Arial" w:hAnsi="Arial"/>
                <w:b w:val="0"/>
                <w:sz w:val="17"/>
              </w:rPr>
              <w:t>Scalable self-serve + enterprise; template network effects</w:t>
            </w:r>
          </w:p>
        </w:tc>
      </w:tr>
    </w:tbl>
    <w:p>
      <w:pPr>
        <w:spacing w:after="120"/>
      </w:pPr>
    </w:p>
    <w:p>
      <w:pPr>
        <w:spacing w:after="140" w:line="283" w:lineRule="auto"/>
      </w:pPr>
      <w:r>
        <w:rPr>
          <w:rFonts w:ascii="Arial" w:hAnsi="Arial"/>
          <w:b/>
          <w:i w:val="0"/>
          <w:sz w:val="21"/>
        </w:rPr>
        <w:t xml:space="preserve">Sequencing logic: </w:t>
      </w:r>
      <w:r>
        <w:rPr>
          <w:rFonts w:ascii="Arial" w:hAnsi="Arial"/>
          <w:b w:val="0"/>
          <w:i w:val="0"/>
          <w:sz w:val="21"/>
        </w:rPr>
        <w:t>services-led first to learn the verticals and fund the build (a brain must be trusted before it’s bought), then convert to platform-led recurring revenue as templates mature. Never automate (Phase 3) before the knowledge it acts on is verified — the iron rule of the maturity model is also the rule of the roadmap.</w:t>
      </w:r>
    </w:p>
    <w:p>
      <w:pPr>
        <w:pStyle w:val="Heading1"/>
        <w:pBdr>
          <w:bottom w:val="single" w:sz="6" w:space="6" w:color="C45A1A"/>
        </w:pBdr>
      </w:pPr>
      <w:r>
        <w:t>10. Funding Strategy</w:t>
      </w:r>
    </w:p>
    <w:p>
      <w:pPr>
        <w:pStyle w:val="Heading2"/>
      </w:pPr>
      <w:r>
        <w:t>10.1 Bootstrapping (now)</w:t>
      </w:r>
    </w:p>
    <w:p>
      <w:pPr>
        <w:spacing w:after="140" w:line="283" w:lineRule="auto"/>
      </w:pPr>
      <w:r>
        <w:rPr>
          <w:rFonts w:ascii="Arial" w:hAnsi="Arial"/>
          <w:b w:val="0"/>
          <w:i w:val="0"/>
          <w:sz w:val="21"/>
        </w:rPr>
        <w:t>Fund Phase 1 from winsym.ai consulting cash flow. Services revenue from the first done-for-you brains directly finances the platform build — the capital-efficient services-to-product path. Keep the team lean (4 in Year 1) and let implementation margin cover burn.</w:t>
      </w:r>
    </w:p>
    <w:p>
      <w:pPr>
        <w:pStyle w:val="Heading2"/>
      </w:pPr>
      <w:r>
        <w:t>10.2 Grants &amp; support programmes</w:t>
      </w:r>
    </w:p>
    <w:p>
      <w:pPr>
        <w:spacing w:after="140" w:line="283" w:lineRule="auto"/>
      </w:pPr>
      <w:r>
        <w:rPr>
          <w:rFonts w:ascii="Arial" w:hAnsi="Arial"/>
          <w:b w:val="0"/>
          <w:i w:val="0"/>
          <w:sz w:val="21"/>
        </w:rPr>
        <w:t>Malaysia’s “AI Nation 2030” agenda and MSME AI-readiness initiatives (MDEC, Cradle, MyDIGITAL, plus Microsoft/partner programmes), and German/EU digitalization grants for the DACH expansion. Non-dilutive capital plus government credibility — valuable for selling to public-sector and regulated buyers.</w:t>
      </w:r>
    </w:p>
    <w:p>
      <w:pPr>
        <w:pStyle w:val="Heading2"/>
      </w:pPr>
      <w:r>
        <w:t>10.3 Angel investors</w:t>
      </w:r>
    </w:p>
    <w:p>
      <w:pPr>
        <w:spacing w:after="140" w:line="283" w:lineRule="auto"/>
      </w:pPr>
      <w:r>
        <w:rPr>
          <w:rFonts w:ascii="Arial" w:hAnsi="Arial"/>
          <w:b w:val="0"/>
          <w:i w:val="0"/>
          <w:sz w:val="21"/>
        </w:rPr>
        <w:t>A small USD 150–300K angel round once 2–3 reference clients and one hardened template exist — targeting SEA operator-angels and ex-founders who can open enterprise doors. Use of funds: first 2 engineers + a sales hire + the platform MVP (Phase 2).</w:t>
      </w:r>
    </w:p>
    <w:p>
      <w:pPr>
        <w:pStyle w:val="Heading2"/>
      </w:pPr>
      <w:r>
        <w:t>10.4 Venture capital</w:t>
      </w:r>
    </w:p>
    <w:p>
      <w:pPr>
        <w:spacing w:after="140" w:line="283" w:lineRule="auto"/>
      </w:pPr>
      <w:r>
        <w:rPr>
          <w:rFonts w:ascii="Arial" w:hAnsi="Arial"/>
          <w:b w:val="0"/>
          <w:i w:val="0"/>
          <w:sz w:val="21"/>
        </w:rPr>
        <w:t>A priced seed (~USD 1.5–3M) once the platform shows recurring revenue, net revenue retention &gt;110%, and a repeatable template motion. The pitch is category creation (BIOS) + a defensible governance moat + a services-to-SaaS margin story + the SEA-to-global expansion path. Regional funds for the seed; global funds at Series A.</w:t>
      </w:r>
    </w:p>
    <w:p>
      <w:pPr>
        <w:pStyle w:val="Heading2"/>
      </w:pPr>
      <w:r>
        <w:t>10.5 Strategic partners</w:t>
      </w:r>
    </w:p>
    <w:p>
      <w:pPr>
        <w:spacing w:after="140" w:line="283" w:lineRule="auto"/>
      </w:pPr>
      <w:r>
        <w:rPr>
          <w:rFonts w:ascii="Arial" w:hAnsi="Arial"/>
          <w:b w:val="0"/>
          <w:i w:val="0"/>
          <w:sz w:val="21"/>
        </w:rPr>
        <w:t>Cloud and model providers (Anthropic, Microsoft, AWS, Google — co-sell and credits), systems integrators and vertical associations (bar councils, medical/hospitality bodies) for distribution, and Google/Meta Partner status as trust signals. Strategic capital later can come from a cloud/enterprise-software player seeking a governed-AI layer for the mid-market.</w:t>
      </w:r>
    </w:p>
    <w:p>
      <w:r>
        <w:br w:type="page"/>
      </w:r>
    </w:p>
    <w:p>
      <w:pPr>
        <w:pStyle w:val="Heading1"/>
        <w:pBdr>
          <w:bottom w:val="single" w:sz="6" w:space="6" w:color="C45A1A"/>
        </w:pBdr>
      </w:pPr>
      <w:r>
        <w:t>11. Conclusion — The Company You Can Sell</w:t>
      </w:r>
    </w:p>
    <w:p>
      <w:pPr>
        <w:spacing w:after="140" w:line="283" w:lineRule="auto"/>
      </w:pPr>
      <w:r>
        <w:rPr>
          <w:rFonts w:ascii="Arial" w:hAnsi="Arial"/>
          <w:b/>
          <w:i w:val="0"/>
          <w:sz w:val="21"/>
        </w:rPr>
        <w:t xml:space="preserve">CORTEX builds the Business Intelligence Operating System: a governed digital brain that any organization installs to stop losing knowledge, guessing at decisions, and re-doing work. </w:t>
      </w:r>
      <w:r>
        <w:rPr>
          <w:rFonts w:ascii="Arial" w:hAnsi="Arial"/>
          <w:b w:val="0"/>
          <w:i w:val="0"/>
          <w:sz w:val="21"/>
        </w:rPr>
        <w:t>We sell one platform — configured per industry by reusable templates, delivered via a methodology that walks each client up a five-level maturity ladder — from a productivity tool for a solo founder to the operating system of a 10,000-person enterprise.</w:t>
      </w:r>
    </w:p>
    <w:p>
      <w:pPr>
        <w:spacing w:after="140" w:line="283" w:lineRule="auto"/>
      </w:pPr>
      <w:r>
        <w:rPr>
          <w:rFonts w:ascii="Arial" w:hAnsi="Arial"/>
          <w:b/>
          <w:i w:val="0"/>
          <w:sz w:val="21"/>
        </w:rPr>
        <w:t xml:space="preserve">The positioning, in one line: </w:t>
      </w:r>
      <w:r>
        <w:rPr>
          <w:rFonts w:ascii="Arial" w:hAnsi="Arial"/>
          <w:b w:val="0"/>
          <w:i w:val="0"/>
          <w:sz w:val="21"/>
        </w:rPr>
        <w:t>the rigor of McKinsey, the data-platform discipline of Palantir, and the everyday usability of Notion — fused into one trustworthy product, priced for the 99% of organizations the incumbents ignore.</w:t>
      </w:r>
    </w:p>
    <w:p>
      <w:pPr>
        <w:pStyle w:val="Heading2"/>
      </w:pPr>
      <w:r>
        <w:t>Revenue potential</w:t>
      </w:r>
    </w:p>
    <w:p>
      <w:pPr>
        <w:spacing w:after="140" w:line="283" w:lineRule="auto"/>
      </w:pPr>
      <w:r>
        <w:rPr>
          <w:rFonts w:ascii="Arial" w:hAnsi="Arial"/>
          <w:b w:val="0"/>
          <w:i w:val="0"/>
          <w:sz w:val="21"/>
        </w:rPr>
        <w:t>The base case reaches ~USD 2.6M revenue and ~USD 1.95M ARR by Year 3 at ~74% gross margin and ~29% EBITDA margin, with 243 active clients and an exit-rate MRR of ~$163K — a credible, capital-efficient path to a $10M+ ARR business. Because the platform never re-platforms a customer as they grow, and governance becomes more premium with scale, the model’s defensibility and expansion revenue increase over time. The ceiling is set by how many verticals we templatize and how far up the maturity ladder we take each client.</w:t>
      </w:r>
    </w:p>
    <w:p>
      <w:pPr>
        <w:spacing w:after="140" w:line="283" w:lineRule="auto"/>
      </w:pPr>
      <w:r>
        <w:rPr>
          <w:rFonts w:ascii="Arial" w:hAnsi="Arial"/>
          <w:b/>
          <w:i w:val="0"/>
          <w:sz w:val="21"/>
        </w:rPr>
        <w:t xml:space="preserve">The next move: </w:t>
      </w:r>
      <w:r>
        <w:rPr>
          <w:rFonts w:ascii="Arial" w:hAnsi="Arial"/>
          <w:b w:val="0"/>
          <w:i w:val="0"/>
          <w:sz w:val="21"/>
        </w:rPr>
        <w:t>close the first 2–3 done-for-you brains in a single beachhead vertical, harden that template, and use the references to raise the angel round that funds the platform. The framework is done. The company is a sequencing problem now — and the sequence is clear.</w:t>
      </w:r>
    </w:p>
    <w:p>
      <w:pPr>
        <w:spacing w:after="160"/>
      </w:pPr>
    </w:p>
    <w:p>
      <w:pPr>
        <w:spacing w:after="140" w:line="283" w:lineRule="auto"/>
      </w:pPr>
      <w:r>
        <w:rPr>
          <w:rFonts w:ascii="Arial" w:hAnsi="Arial"/>
          <w:b w:val="0"/>
          <w:i/>
          <w:color w:val="C45A1A"/>
          <w:sz w:val="23"/>
        </w:rPr>
        <w:t>CORTEX — Winning systems, backed by a brain.</w:t>
      </w:r>
    </w:p>
    <w:p>
      <w:pPr>
        <w:spacing w:after="140" w:line="283" w:lineRule="auto"/>
      </w:pPr>
      <w:r>
        <w:rPr>
          <w:rFonts w:ascii="Arial" w:hAnsi="Arial"/>
          <w:b w:val="0"/>
          <w:i w:val="0"/>
          <w:color w:val="6B6560"/>
          <w:sz w:val="16"/>
        </w:rPr>
        <w:t>Figures are illustrative model anchors built on the attached financial model; validate against live prospects before committing. Competitor pricing reflects publicly reported 2026 figures and is mostly sales-quoted, not list.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6560"/>
        <w:sz w:val="16"/>
      </w:rPr>
      <w:t>CORTEX — Confidential Business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C19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C45A1A"/>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Arial" w:hAnsi="Arial"/>
      <w:b/>
      <w:bCs/>
      <w:color w:val="1C1917"/>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C45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