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Bitcoin checkout for Zenon resource services</w:t>
      </w:r>
    </w:p>
    <w:p>
      <w:pPr>
        <w:pStyle w:val="Subtitle"/>
      </w:pPr>
      <w:r>
        <w:t>A focused integration experiment for Spiral</w:t>
      </w:r>
    </w:p>
    <w:p>
      <w:pPr>
        <w:pStyle w:val="Caption"/>
        <w:keepLines w:val="0"/>
        <w:widowControl/>
      </w:pPr>
      <w:r>
        <w:t>Draft 0.2  |  28 October 2026  |  Prepared by edgepillar</w:t>
      </w:r>
    </w:p>
    <w:p>
      <w:pPr>
        <w:keepLines w:val="0"/>
        <w:widowControl/>
      </w:pPr>
      <w:r>
        <w:t>I propose a small test of BTC payments for an existing Zenon resource provisioner. A customer pays over Lightning; a provider allocates its own QSR to supply plasma to the customer's chosen Zenon address. The customer does not buy QSR for that service. The question is whether this creates useful, unsubsidized bitcoin spending that current free or native onboarding options do not already satisfy.</w:t>
      </w:r>
    </w:p>
    <w:p>
      <w:pPr>
        <w:keepLines w:val="0"/>
        <w:widowControl/>
      </w:pPr>
      <w:r>
        <w:t>Zenon has no demonstrated advantage over Lightning for ordinary BTC payments in the evidence reviewed here. Its concrete addition is a native service that a Lightning payment can purchase. Lightning remains the payment rail. The proposed work is a checkout and delivery adapter plus a reusable recovery test suite, not another payment network or a new generic service marketplace.</w:t>
      </w:r>
    </w:p>
    <w:p>
      <w:pPr>
        <w:keepLines w:val="0"/>
        <w:widowControl/>
      </w:pPr>
      <w:r>
        <w:t>Recommendation: proceed with demand discovery and a bounded integration design. Real value deployment and any claim of increased bitcoin adoption remain NO GO until customer demand, economics, delivery recovery and operator acceptance are established. This draft reports source review, not newly executed integration or live payment results.</w:t>
      </w:r>
    </w:p>
    <w:p>
      <w:pPr>
        <w:pStyle w:val="Heading1"/>
      </w:pPr>
      <w:r>
        <w:t>1 A specific service and its incremental value</w:t>
      </w:r>
    </w:p>
    <w:p>
      <w:pPr>
        <w:keepLines w:val="0"/>
        <w:widowControl/>
      </w:pPr>
      <w:r>
        <w:t xml:space="preserve">Spiral's payments question requires evidence that people want to buy something with bitcoin. The relevant hypothesis here is narrow: someone who already needs a Zenon action may prefer paying sats for its resource provision instead of obtaining QSR or waiting for a constrained sponsor. The study must record that prior need; it must not manufacture a task solely to generate payments. </w:t>
      </w:r>
      <w:hyperlink r:id="rId11">
        <w:r>
          <w:rPr>
            <w:color w:val="1F4E79"/>
            <w:u w:val="single"/>
          </w:rPr>
          <w:t>[1]</w:t>
        </w:r>
      </w:hyperlink>
    </w:p>
    <w:p>
      <w:pPr>
        <w:keepLines w:val="0"/>
        <w:widowControl/>
      </w:pPr>
      <w:r>
        <w:t xml:space="preserve">There is an existing implementation to build around. Plasma Bot exposes resource requests to people and software agents. Its roadmap plans native QSR or ZNN payments while retaining free flows. The proposed extension is a BTC option, subject to maintainer agreement and a fresh overlap check. No BTC integration or paid demand is established by those documents. </w:t>
      </w:r>
      <w:hyperlink r:id="rId12">
        <w:r>
          <w:rPr>
            <w:color w:val="1F4E79"/>
            <w:u w:val="single"/>
          </w:rPr>
          <w:t>[4]</w:t>
        </w:r>
      </w:hyperlink>
      <w:r>
        <w:t xml:space="preserve"> </w:t>
      </w:r>
      <w:hyperlink r:id="rId13">
        <w:r>
          <w:rPr>
            <w:color w:val="1F4E79"/>
            <w:u w:val="single"/>
          </w:rPr>
          <w:t>[5]</w:t>
        </w:r>
      </w:hyperlink>
    </w:p>
    <w:p>
      <w:pPr>
        <w:keepLines w:val="0"/>
        <w:widowControl/>
      </w:pPr>
      <w:r>
        <w:t xml:space="preserve">The underlying contract separates the QSR owner from its beneficiary. That lets a provider supply a chain specific resource while the customer keeps its QSR acquisition step out of the checkout. Other networks can also sell services for BTC; this is a concrete Zenon testbed, not an exclusive global capability. </w:t>
      </w:r>
      <w:hyperlink r:id="rId14">
        <w:r>
          <w:rPr>
            <w:color w:val="1F4E79"/>
            <w:u w:val="single"/>
          </w:rPr>
          <w:t>[6]</w:t>
        </w:r>
      </w:hyperlink>
      <w:r>
        <w:t xml:space="preserve"> </w:t>
      </w:r>
      <w:hyperlink r:id="rId15">
        <w:r>
          <w:rPr>
            <w:color w:val="1F4E79"/>
            <w:u w:val="single"/>
          </w:rPr>
          <w:t>[7]</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656"/>
        <w:gridCol w:w="4291"/>
        <w:gridCol w:w="4219"/>
      </w:tblGrid>
      <w:tr>
        <w:trPr>
          <w:tblHeader/>
          <w:cantSplit/>
        </w:trPr>
        <w:tc>
          <w:tcPr>
            <w:tcW w:type="dxa" w:w="1656"/>
            <w:vAlign w:val="center"/>
            <w:shd w:fill="E8EDF2"/>
          </w:tcPr>
          <w:p>
            <w:pPr>
              <w:spacing w:after="0" w:before="0" w:line="257" w:lineRule="auto"/>
            </w:pPr>
            <w:r>
              <w:rPr>
                <w:b/>
                <w:sz w:val="20"/>
              </w:rPr>
              <w:t>Need</w:t>
            </w:r>
          </w:p>
        </w:tc>
        <w:tc>
          <w:tcPr>
            <w:tcW w:type="dxa" w:w="4291"/>
            <w:vAlign w:val="center"/>
            <w:shd w:fill="E8EDF2"/>
          </w:tcPr>
          <w:p>
            <w:pPr>
              <w:spacing w:after="0" w:before="0" w:line="257" w:lineRule="auto"/>
            </w:pPr>
            <w:r>
              <w:rPr>
                <w:b/>
                <w:sz w:val="20"/>
              </w:rPr>
              <w:t>Strong Lightning baseline</w:t>
            </w:r>
          </w:p>
        </w:tc>
        <w:tc>
          <w:tcPr>
            <w:tcW w:type="dxa" w:w="4219"/>
            <w:vAlign w:val="center"/>
            <w:shd w:fill="E8EDF2"/>
          </w:tcPr>
          <w:p>
            <w:pPr>
              <w:spacing w:after="0" w:before="0" w:line="257" w:lineRule="auto"/>
            </w:pPr>
            <w:r>
              <w:rPr>
                <w:b/>
                <w:sz w:val="20"/>
              </w:rPr>
              <w:t>What Zenon adds here</w:t>
            </w:r>
          </w:p>
        </w:tc>
      </w:tr>
      <w:tr>
        <w:trPr>
          <w:cantSplit/>
        </w:trPr>
        <w:tc>
          <w:tcPr>
            <w:tcW w:type="dxa" w:w="1656"/>
            <w:vAlign w:val="center"/>
          </w:tcPr>
          <w:p>
            <w:pPr>
              <w:spacing w:after="0" w:before="0" w:line="257" w:lineRule="auto"/>
            </w:pPr>
            <w:r>
              <w:rPr>
                <w:sz w:val="20"/>
              </w:rPr>
              <w:t>Paid APIs and sessions</w:t>
            </w:r>
          </w:p>
        </w:tc>
        <w:tc>
          <w:tcPr>
            <w:tcW w:type="dxa" w:w="4291"/>
            <w:vAlign w:val="center"/>
          </w:tcPr>
          <w:p>
            <w:pPr>
              <w:spacing w:after="0" w:before="0" w:line="257" w:lineRule="auto"/>
            </w:pPr>
            <w:r>
              <w:rPr>
                <w:sz w:val="20"/>
              </w:rPr>
              <w:t xml:space="preserve">L402, Aperture and existing wallet libraries already address this category. </w:t>
            </w:r>
            <w:hyperlink r:id="rId16">
              <w:r>
                <w:rPr>
                  <w:color w:val="1F4E79"/>
                  <w:u w:val="single"/>
                </w:rPr>
                <w:t>[10]</w:t>
              </w:r>
            </w:hyperlink>
            <w:r>
              <w:rPr>
                <w:sz w:val="20"/>
              </w:rPr>
              <w:t xml:space="preserve"> </w:t>
            </w:r>
            <w:hyperlink r:id="rId17">
              <w:r>
                <w:rPr>
                  <w:color w:val="1F4E79"/>
                  <w:u w:val="single"/>
                </w:rPr>
                <w:t>[11]</w:t>
              </w:r>
            </w:hyperlink>
          </w:p>
        </w:tc>
        <w:tc>
          <w:tcPr>
            <w:tcW w:type="dxa" w:w="4219"/>
            <w:vAlign w:val="center"/>
          </w:tcPr>
          <w:p>
            <w:pPr>
              <w:spacing w:after="0" w:before="0" w:line="257" w:lineRule="auto"/>
            </w:pPr>
            <w:r>
              <w:rPr>
                <w:sz w:val="20"/>
              </w:rPr>
              <w:t>No unique payment capability is claimed. Reuse the existing gateway.</w:t>
            </w:r>
          </w:p>
        </w:tc>
      </w:tr>
      <w:tr>
        <w:trPr>
          <w:cantSplit/>
        </w:trPr>
        <w:tc>
          <w:tcPr>
            <w:tcW w:type="dxa" w:w="1656"/>
            <w:vAlign w:val="center"/>
          </w:tcPr>
          <w:p>
            <w:pPr>
              <w:spacing w:after="0" w:before="0" w:line="257" w:lineRule="auto"/>
            </w:pPr>
            <w:r>
              <w:rPr>
                <w:sz w:val="20"/>
              </w:rPr>
              <w:t>Conditional payment</w:t>
            </w:r>
          </w:p>
        </w:tc>
        <w:tc>
          <w:tcPr>
            <w:tcW w:type="dxa" w:w="4291"/>
            <w:vAlign w:val="center"/>
          </w:tcPr>
          <w:p>
            <w:pPr>
              <w:spacing w:after="0" w:before="0" w:line="257" w:lineRule="auto"/>
            </w:pPr>
            <w:r>
              <w:rPr>
                <w:sz w:val="20"/>
              </w:rPr>
              <w:t xml:space="preserve">LND supports hold invoice creation, settlement and cancellation. Application delivery and refunds still need terms. </w:t>
            </w:r>
            <w:hyperlink r:id="rId18">
              <w:r>
                <w:rPr>
                  <w:color w:val="1F4E79"/>
                  <w:u w:val="single"/>
                </w:rPr>
                <w:t>[15]</w:t>
              </w:r>
            </w:hyperlink>
            <w:r>
              <w:rPr>
                <w:sz w:val="20"/>
              </w:rPr>
              <w:t xml:space="preserve"> </w:t>
            </w:r>
            <w:hyperlink r:id="rId19">
              <w:r>
                <w:rPr>
                  <w:color w:val="1F4E79"/>
                  <w:u w:val="single"/>
                </w:rPr>
                <w:t>[16]</w:t>
              </w:r>
            </w:hyperlink>
            <w:r>
              <w:rPr>
                <w:sz w:val="20"/>
              </w:rPr>
              <w:t xml:space="preserve"> </w:t>
            </w:r>
            <w:hyperlink r:id="rId20">
              <w:r>
                <w:rPr>
                  <w:color w:val="1F4E79"/>
                  <w:u w:val="single"/>
                </w:rPr>
                <w:t>[17]</w:t>
              </w:r>
            </w:hyperlink>
          </w:p>
        </w:tc>
        <w:tc>
          <w:tcPr>
            <w:tcW w:type="dxa" w:w="4219"/>
            <w:vAlign w:val="center"/>
          </w:tcPr>
          <w:p>
            <w:pPr>
              <w:spacing w:after="0" w:before="0" w:line="257" w:lineRule="auto"/>
            </w:pPr>
            <w:r>
              <w:rPr>
                <w:sz w:val="20"/>
              </w:rPr>
              <w:t>A generic escrow is not sufficient justification for another chain.</w:t>
            </w:r>
          </w:p>
        </w:tc>
      </w:tr>
      <w:tr>
        <w:trPr>
          <w:cantSplit/>
        </w:trPr>
        <w:tc>
          <w:tcPr>
            <w:tcW w:type="dxa" w:w="1656"/>
            <w:vAlign w:val="center"/>
          </w:tcPr>
          <w:p>
            <w:pPr>
              <w:spacing w:after="0" w:before="0" w:line="257" w:lineRule="auto"/>
            </w:pPr>
            <w:r>
              <w:rPr>
                <w:sz w:val="20"/>
              </w:rPr>
              <w:t>Native resource allocation</w:t>
            </w:r>
          </w:p>
        </w:tc>
        <w:tc>
          <w:tcPr>
            <w:tcW w:type="dxa" w:w="4291"/>
            <w:vAlign w:val="center"/>
          </w:tcPr>
          <w:p>
            <w:pPr>
              <w:spacing w:after="0" w:before="0" w:line="257" w:lineRule="auto"/>
            </w:pPr>
            <w:r>
              <w:rPr>
                <w:sz w:val="20"/>
              </w:rPr>
              <w:t>Lightning checkout can pay a provider that calls the existing fusion API.</w:t>
            </w:r>
          </w:p>
        </w:tc>
        <w:tc>
          <w:tcPr>
            <w:tcW w:type="dxa" w:w="4219"/>
            <w:vAlign w:val="center"/>
          </w:tcPr>
          <w:p>
            <w:pPr>
              <w:spacing w:after="0" w:before="0" w:line="257" w:lineRule="auto"/>
            </w:pPr>
            <w:r>
              <w:rPr>
                <w:sz w:val="20"/>
              </w:rPr>
              <w:t>Zenon supplies the native resource; the adapter must demonstrate reliable delivery and demand.</w:t>
            </w:r>
          </w:p>
        </w:tc>
      </w:tr>
      <w:tr>
        <w:trPr>
          <w:cantSplit/>
        </w:trPr>
        <w:tc>
          <w:tcPr>
            <w:tcW w:type="dxa" w:w="1656"/>
            <w:vAlign w:val="center"/>
          </w:tcPr>
          <w:p>
            <w:pPr>
              <w:spacing w:after="0" w:before="0" w:line="257" w:lineRule="auto"/>
            </w:pPr>
            <w:r>
              <w:rPr>
                <w:sz w:val="20"/>
              </w:rPr>
              <w:t>Cross asset settlement</w:t>
            </w:r>
          </w:p>
        </w:tc>
        <w:tc>
          <w:tcPr>
            <w:tcW w:type="dxa" w:w="4291"/>
            <w:vAlign w:val="center"/>
          </w:tcPr>
          <w:p>
            <w:pPr>
              <w:spacing w:after="0" w:before="0" w:line="257" w:lineRule="auto"/>
            </w:pPr>
            <w:r>
              <w:rPr>
                <w:sz w:val="20"/>
              </w:rPr>
              <w:t>A different question from paying a provider who already owns inventory.</w:t>
            </w:r>
          </w:p>
        </w:tc>
        <w:tc>
          <w:tcPr>
            <w:tcW w:type="dxa" w:w="4219"/>
            <w:vAlign w:val="center"/>
          </w:tcPr>
          <w:p>
            <w:pPr>
              <w:spacing w:after="0" w:before="0" w:line="257" w:lineRule="auto"/>
            </w:pPr>
            <w:r>
              <w:rPr>
                <w:sz w:val="20"/>
              </w:rPr>
              <w:t>HTLC and PTLC work could support later research; neither is needed for this checkout.</w:t>
            </w:r>
          </w:p>
        </w:tc>
      </w:tr>
      <w:tr>
        <w:trPr>
          <w:cantSplit/>
        </w:trPr>
        <w:tc>
          <w:tcPr>
            <w:tcW w:type="dxa" w:w="1656"/>
            <w:vAlign w:val="center"/>
          </w:tcPr>
          <w:p>
            <w:pPr>
              <w:spacing w:after="0" w:before="0" w:line="257" w:lineRule="auto"/>
            </w:pPr>
            <w:r>
              <w:rPr>
                <w:sz w:val="20"/>
              </w:rPr>
              <w:t>Security and cost</w:t>
            </w:r>
          </w:p>
        </w:tc>
        <w:tc>
          <w:tcPr>
            <w:tcW w:type="dxa" w:w="4291"/>
            <w:vAlign w:val="center"/>
          </w:tcPr>
          <w:p>
            <w:pPr>
              <w:spacing w:after="0" w:before="0" w:line="257" w:lineRule="auto"/>
            </w:pPr>
            <w:r>
              <w:rPr>
                <w:sz w:val="20"/>
              </w:rPr>
              <w:t>BTC settlement and service completion remain separate.</w:t>
            </w:r>
          </w:p>
        </w:tc>
        <w:tc>
          <w:tcPr>
            <w:tcW w:type="dxa" w:w="4219"/>
            <w:vAlign w:val="center"/>
          </w:tcPr>
          <w:p>
            <w:pPr>
              <w:spacing w:after="0" w:before="0" w:line="257" w:lineRule="auto"/>
            </w:pPr>
            <w:r>
              <w:rPr>
                <w:sz w:val="20"/>
              </w:rPr>
              <w:t>No inherited bitcoin security, trustless BTC escrow, guaranteed throughput or zero total cost is claimed.</w:t>
            </w:r>
          </w:p>
        </w:tc>
      </w:tr>
    </w:tbl>
    <w:p>
      <w:pPr>
        <w:spacing w:after="0"/>
      </w:pPr>
    </w:p>
    <w:p>
      <w:pPr>
        <w:keepLines w:val="0"/>
        <w:widowControl/>
      </w:pPr>
      <w:r>
        <w:t>A beneficiary address is required. The underlying action may still require a Zenon wallet and other assets. The proposal removes one resource acquisition step; it does not establish asset free access to every application. Existing proof of work and free sponsorship are mandatory alternatives in discovery. If they meet the same need adequately, a paid service may have no market.</w:t>
      </w:r>
    </w:p>
    <w:p>
      <w:pPr>
        <w:pStyle w:val="Heading1"/>
      </w:pPr>
      <w:r>
        <w:t>2 Concrete integration and delivery contract</w:t>
      </w:r>
    </w:p>
    <w:p>
      <w:pPr>
        <w:keepLines w:val="0"/>
        <w:widowControl/>
      </w:pPr>
      <w:r>
        <w:t xml:space="preserve">Start with one operator, one resource product and one Lightning adapter. Reuse an L402 gateway where its selected implementation meets the order authorization requirements. Treat x402 exact/lnbtc as a later compatibility target rather than building several protocols at once. Do not change a wire standard under an existing scheme name. </w:t>
      </w:r>
      <w:hyperlink r:id="rId16">
        <w:r>
          <w:rPr>
            <w:color w:val="1F4E79"/>
            <w:u w:val="single"/>
          </w:rPr>
          <w:t>[10]</w:t>
        </w:r>
      </w:hyperlink>
      <w:r>
        <w:t xml:space="preserve"> </w:t>
      </w:r>
      <w:hyperlink r:id="rId17">
        <w:r>
          <w:rPr>
            <w:color w:val="1F4E79"/>
            <w:u w:val="single"/>
          </w:rPr>
          <w:t>[11]</w:t>
        </w:r>
      </w:hyperlink>
      <w:r>
        <w:t xml:space="preserve"> </w:t>
      </w:r>
      <w:hyperlink r:id="rId21">
        <w:r>
          <w:rPr>
            <w:color w:val="1F4E79"/>
            <w:u w:val="single"/>
          </w:rPr>
          <w:t>[12]</w:t>
        </w:r>
      </w:hyperlink>
    </w:p>
    <w:p>
      <w:r>
        <w:drawing>
          <wp:inline xmlns:a="http://schemas.openxmlformats.org/drawingml/2006/main" xmlns:pic="http://schemas.openxmlformats.org/drawingml/2006/picture">
            <wp:extent cx="6455664" cy="2529840"/>
            <wp:docPr id="1" name="Picture 1"/>
            <wp:cNvGraphicFramePr>
              <a:graphicFrameLocks noChangeAspect="1"/>
            </wp:cNvGraphicFramePr>
            <a:graphic>
              <a:graphicData uri="http://schemas.openxmlformats.org/drawingml/2006/picture">
                <pic:pic>
                  <pic:nvPicPr>
                    <pic:cNvPr id="0" name="architecture_v02.png"/>
                    <pic:cNvPicPr/>
                  </pic:nvPicPr>
                  <pic:blipFill>
                    <a:blip r:embed="rId22"/>
                    <a:stretch>
                      <a:fillRect/>
                    </a:stretch>
                  </pic:blipFill>
                  <pic:spPr>
                    <a:xfrm>
                      <a:off x="0" y="0"/>
                      <a:ext cx="6455664" cy="2529840"/>
                    </a:xfrm>
                    <a:prstGeom prst="rect"/>
                  </pic:spPr>
                </pic:pic>
              </a:graphicData>
            </a:graphic>
          </wp:inline>
        </w:drawing>
      </w:r>
    </w:p>
    <w:p>
      <w:pPr>
        <w:pStyle w:val="Caption"/>
        <w:keepLines w:val="0"/>
        <w:widowControl/>
      </w:pPr>
      <w:r>
        <w:t>Figure 1  Proposed BTC payment and native service integration</w:t>
      </w:r>
    </w:p>
    <w:p>
      <w:pPr>
        <w:pStyle w:val="Heading2"/>
      </w:pPr>
      <w:r>
        <w:t>The thing being sold</w:t>
      </w:r>
    </w:p>
    <w:p>
      <w:pPr>
        <w:keepLines w:val="0"/>
        <w:widowControl/>
      </w:pPr>
      <w:r>
        <w:t xml:space="preserve">Sell a stated amount of QSR fused for a stated beneficiary under a pinned chain profile, with a minimum cancellation height or another explicitly enforceable duration condition. A quote must not promise a fixed number of transactions or a fixed wall clock service period from an unverified resource model. Confirm actual runtime constants and network overrides; a tagged constants file alone does not establish mainnet timing. </w:t>
      </w:r>
      <w:hyperlink r:id="rId23">
        <w:r>
          <w:rPr>
            <w:color w:val="1F4E79"/>
            <w:u w:val="single"/>
          </w:rPr>
          <w:t>[9]</w:t>
        </w:r>
      </w:hyperlink>
    </w:p>
    <w:p>
      <w:pPr>
        <w:keepLines w:val="0"/>
        <w:widowControl/>
      </w:pPr>
      <w:r>
        <w:t>Create an immutable order before issuing a payment challenge. It records an opaque order ID, provider, chain and genesis identity, beneficiary, QSR amount, price in sats, quote expiry, delivery deadline, minimum service condition, compensation terms and version. Reserve eligible inventory atomically. Scope the credential to that order and reject mutations after payment. For L402, distinguish server enforced order scoping from whatever cryptographic invoice binding the selected implementation actually provides.</w:t>
      </w:r>
    </w:p>
    <w:p>
      <w:pPr>
        <w:pStyle w:val="Heading2"/>
      </w:pPr>
      <w:r>
        <w:t>Payment and fulfillment states</w:t>
      </w:r>
    </w:p>
    <w:p>
      <w:pPr>
        <w:keepLines w:val="0"/>
        <w:widowControl/>
      </w:pPr>
      <w:r>
        <w:t>Use separate durable records for payment, authorization, native execution and delivery. A successful payment claim creates one job in the same database transaction or through an equivalent durable inbox and outbox. The provider serializes its account chain, prepares the allowed Fuse call, and stores original signed bytes and hash before publication. A publication timeout becomes unknown; reconciliation uses that same transaction. It cannot authorize another fusion or a fresh charge.</w:t>
      </w:r>
    </w:p>
    <w:p>
      <w:pPr>
        <w:keepLines w:val="0"/>
        <w:widowControl/>
      </w:pPr>
      <w:r>
        <w:t xml:space="preserve">Delivery requires observing the exact provider owned entry and its successful contract processing, checking the intended beneficiary, amount, identity and service condition. The release RPC lists entries by owner; a beneficiary's aggregate plasma reading cannot identify which order was delivered. Match the order to its fusion ID and provider, then record the node and depth policy used. An accepted send alone is insufficient. </w:t>
      </w:r>
      <w:hyperlink r:id="rId24">
        <w:r>
          <w:rPr>
            <w:color w:val="1F4E79"/>
            <w:u w:val="single"/>
          </w:rPr>
          <w:t>[8]</w:t>
        </w:r>
      </w:hyperlink>
    </w:p>
    <w:p>
      <w:pPr>
        <w:keepLines w:val="0"/>
        <w:widowControl/>
      </w:pPr>
      <w:r>
        <w:t xml:space="preserve">These are operator trusted full node observations. The current SPV contract does not authenticate state values or establish consensus finality. Agreement between selected RPCs can reveal disagreement but does not replace those missing guarantees. Label evidence accordingly rather than calling the delivery receipt trustless. </w:t>
      </w:r>
      <w:hyperlink r:id="rId25">
        <w:r>
          <w:rPr>
            <w:color w:val="1F4E79"/>
            <w:u w:val="single"/>
          </w:rPr>
          <w:t>[29]</w:t>
        </w:r>
      </w:hyperlink>
    </w:p>
    <w:p>
      <w:pPr>
        <w:pStyle w:val="Heading2"/>
      </w:pPr>
      <w:r>
        <w:t>Inventory and compensation</w:t>
      </w:r>
    </w:p>
    <w:p>
      <w:pPr>
        <w:keepLines w:val="0"/>
        <w:widowControl/>
      </w:pPr>
      <w:r>
        <w:t xml:space="preserve">Paid promises require a protected inventory policy. The provisioner's documented automatic recycling behavior is a reason to review eligibility before reuse, not an assumed paid service guarantee. Never recycle an entry while its sold condition still applies. Reclaimed QSR is available for new promises only after the return and required receive processing are established. </w:t>
      </w:r>
      <w:hyperlink r:id="rId12">
        <w:r>
          <w:rPr>
            <w:color w:val="1F4E79"/>
            <w:u w:val="single"/>
          </w:rPr>
          <w:t>[4]</w:t>
        </w:r>
      </w:hyperlink>
      <w:r>
        <w:t xml:space="preserve"> </w:t>
      </w:r>
      <w:hyperlink r:id="rId14">
        <w:r>
          <w:rPr>
            <w:color w:val="1F4E79"/>
            <w:u w:val="single"/>
          </w:rPr>
          <w:t>[6]</w:t>
        </w:r>
      </w:hyperlink>
    </w:p>
    <w:p>
      <w:pPr>
        <w:keepLines w:val="0"/>
        <w:widowControl/>
      </w:pPr>
      <w:r>
        <w:t xml:space="preserve">The initial design uses an upfront payment with explicit provider delivery and compensation obligations. This is not an atomic BTC to resource exchange. Cancellation of a settled Lightning invoice is not a refund; compensation requires a separately authorized payment or another agreed remedy. Preserve any uncertain compensation outcome rather than paying twice. </w:t>
      </w:r>
      <w:hyperlink r:id="rId20">
        <w:r>
          <w:rPr>
            <w:color w:val="1F4E79"/>
            <w:u w:val="single"/>
          </w:rPr>
          <w:t>[17]</w:t>
        </w:r>
      </w:hyperlink>
    </w:p>
    <w:p>
      <w:pPr>
        <w:keepLines w:val="0"/>
        <w:widowControl/>
      </w:pPr>
      <w:r>
        <w:t xml:space="preserve">A separately specified hold invoice experiment may be useful later, with measured timeout and liquidity costs. Do not insert it into the upfront exact/lnbtc scheme. An unpaid hold that outlasts an irreversible native action can expose the provider; a hold invoice alone cannot make that action atomic or judge service quality. </w:t>
      </w:r>
      <w:hyperlink r:id="rId18">
        <w:r>
          <w:rPr>
            <w:color w:val="1F4E79"/>
            <w:u w:val="single"/>
          </w:rPr>
          <w:t>[15]</w:t>
        </w:r>
      </w:hyperlink>
      <w:r>
        <w:t xml:space="preserve"> </w:t>
      </w:r>
      <w:hyperlink r:id="rId21">
        <w:r>
          <w:rPr>
            <w:color w:val="1F4E79"/>
            <w:u w:val="single"/>
          </w:rPr>
          <w:t>[12]</w:t>
        </w:r>
      </w:hyperlink>
    </w:p>
    <w:p>
      <w:pPr>
        <w:pStyle w:val="Heading2"/>
      </w:pPr>
      <w:r>
        <w:t>Signer and privacy boundaries</w:t>
      </w:r>
    </w:p>
    <w:p>
      <w:pPr>
        <w:keepLines w:val="0"/>
        <w:widowControl/>
      </w:pPr>
      <w:r>
        <w:t xml:space="preserve">The provider uses its own narrowly funded inventory wallet. Public input cannot request arbitrary account blocks or arbitrary recipients outside the purchased order. Retain standard wallet and library boundaries. A customer's keys never enter the fulfillment service. Any unattended signer requires its own reviewed permissions; interactive extension consent does not grant automatic signing authority. </w:t>
      </w:r>
      <w:hyperlink r:id="rId26">
        <w:r>
          <w:rPr>
            <w:color w:val="1F4E79"/>
            <w:u w:val="single"/>
          </w:rPr>
          <w:t>[36]</w:t>
        </w:r>
      </w:hyperlink>
      <w:r>
        <w:t xml:space="preserve"> </w:t>
      </w:r>
      <w:hyperlink r:id="rId27">
        <w:r>
          <w:rPr>
            <w:color w:val="1F4E79"/>
            <w:u w:val="single"/>
          </w:rPr>
          <w:t>[13]</w:t>
        </w:r>
      </w:hyperlink>
      <w:r>
        <w:t xml:space="preserve"> </w:t>
      </w:r>
      <w:hyperlink r:id="rId28">
        <w:r>
          <w:rPr>
            <w:color w:val="1F4E79"/>
            <w:u w:val="single"/>
          </w:rPr>
          <w:t>[14]</w:t>
        </w:r>
      </w:hyperlink>
    </w:p>
    <w:p>
      <w:pPr>
        <w:keepLines w:val="0"/>
        <w:widowControl/>
      </w:pPr>
      <w:r>
        <w:t>Store only the information needed to reconcile an order, with access controls and a retention policy. A gateway can correlate a Lightning payment with a Zenon address; pseudonyms do not remove that privacy risk. Keep raw journals, preimages, signed payloads, account linkage, credentials and private endpoints out of public results. Publish aggregates with small cell suppression and review timing leaks.</w:t>
      </w:r>
    </w:p>
    <w:p>
      <w:pPr>
        <w:pStyle w:val="Heading1"/>
      </w:pPr>
      <w:r>
        <w:t>3 Evidence and the work that remains</w:t>
      </w:r>
    </w:p>
    <w:p>
      <w:pPr>
        <w:keepLines w:val="0"/>
        <w:widowControl/>
      </w:pPr>
      <w:r>
        <w:t>The native service exists at source level; the paid integration is proposed. No new code, node, wallet, swap, benchmark or live chain qualification ran for this revision. Release evidence is separate from the binary, configuration and chain an operator actually uses. Preserve the original failed qualification results rather than treating a rewritten test or a green unrelated CI profile as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613"/>
        <w:gridCol w:w="4680"/>
        <w:gridCol w:w="3874"/>
      </w:tblGrid>
      <w:tr>
        <w:trPr>
          <w:tblHeader/>
          <w:cantSplit/>
        </w:trPr>
        <w:tc>
          <w:tcPr>
            <w:tcW w:type="dxa" w:w="1613"/>
            <w:vAlign w:val="center"/>
            <w:shd w:fill="E8EDF2"/>
          </w:tcPr>
          <w:p>
            <w:pPr>
              <w:spacing w:after="0" w:before="0" w:line="257" w:lineRule="auto"/>
            </w:pPr>
            <w:r>
              <w:rPr>
                <w:b/>
                <w:sz w:val="20"/>
              </w:rPr>
              <w:t>Dependency</w:t>
            </w:r>
          </w:p>
        </w:tc>
        <w:tc>
          <w:tcPr>
            <w:tcW w:type="dxa" w:w="4680"/>
            <w:vAlign w:val="center"/>
            <w:shd w:fill="E8EDF2"/>
          </w:tcPr>
          <w:p>
            <w:pPr>
              <w:spacing w:after="0" w:before="0" w:line="257" w:lineRule="auto"/>
            </w:pPr>
            <w:r>
              <w:rPr>
                <w:b/>
                <w:sz w:val="20"/>
              </w:rPr>
              <w:t>Evidence and limit</w:t>
            </w:r>
          </w:p>
        </w:tc>
        <w:tc>
          <w:tcPr>
            <w:tcW w:type="dxa" w:w="3874"/>
            <w:vAlign w:val="center"/>
            <w:shd w:fill="E8EDF2"/>
          </w:tcPr>
          <w:p>
            <w:pPr>
              <w:spacing w:after="0" w:before="0" w:line="257" w:lineRule="auto"/>
            </w:pPr>
            <w:r>
              <w:rPr>
                <w:b/>
                <w:sz w:val="20"/>
              </w:rPr>
              <w:t>Decision for the first experiment</w:t>
            </w:r>
          </w:p>
        </w:tc>
      </w:tr>
      <w:tr>
        <w:trPr>
          <w:cantSplit/>
        </w:trPr>
        <w:tc>
          <w:tcPr>
            <w:tcW w:type="dxa" w:w="1613"/>
            <w:vAlign w:val="center"/>
          </w:tcPr>
          <w:p>
            <w:pPr>
              <w:spacing w:after="0" w:before="0" w:line="257" w:lineRule="auto"/>
            </w:pPr>
            <w:r>
              <w:rPr>
                <w:sz w:val="20"/>
              </w:rPr>
              <w:t>Resource backend</w:t>
            </w:r>
          </w:p>
        </w:tc>
        <w:tc>
          <w:tcPr>
            <w:tcW w:type="dxa" w:w="4680"/>
            <w:vAlign w:val="center"/>
          </w:tcPr>
          <w:p>
            <w:pPr>
              <w:spacing w:after="0" w:before="0" w:line="257" w:lineRule="auto"/>
            </w:pPr>
            <w:r>
              <w:rPr>
                <w:sz w:val="20"/>
              </w:rPr>
              <w:t xml:space="preserve">Existing Plasma Bot source and native fusion mechanism. The README and roadmap are not a paid SLA or a production audit. </w:t>
            </w:r>
            <w:hyperlink r:id="rId12">
              <w:r>
                <w:rPr>
                  <w:color w:val="1F4E79"/>
                  <w:u w:val="single"/>
                </w:rPr>
                <w:t>[4]</w:t>
              </w:r>
            </w:hyperlink>
            <w:r>
              <w:rPr>
                <w:sz w:val="20"/>
              </w:rPr>
              <w:t xml:space="preserve"> </w:t>
            </w:r>
            <w:hyperlink r:id="rId14">
              <w:r>
                <w:rPr>
                  <w:color w:val="1F4E79"/>
                  <w:u w:val="single"/>
                </w:rPr>
                <w:t>[6]</w:t>
              </w:r>
            </w:hyperlink>
          </w:p>
        </w:tc>
        <w:tc>
          <w:tcPr>
            <w:tcW w:type="dxa" w:w="3874"/>
            <w:vAlign w:val="center"/>
          </w:tcPr>
          <w:p>
            <w:pPr>
              <w:spacing w:after="0" w:before="0" w:line="257" w:lineRule="auto"/>
            </w:pPr>
            <w:r>
              <w:rPr>
                <w:sz w:val="20"/>
              </w:rPr>
              <w:t>Reuse candidate after source, license, interface and overlap review. No maintainer time is committed.</w:t>
            </w:r>
          </w:p>
        </w:tc>
      </w:tr>
      <w:tr>
        <w:trPr>
          <w:cantSplit/>
        </w:trPr>
        <w:tc>
          <w:tcPr>
            <w:tcW w:type="dxa" w:w="1613"/>
            <w:vAlign w:val="center"/>
          </w:tcPr>
          <w:p>
            <w:pPr>
              <w:spacing w:after="0" w:before="0" w:line="257" w:lineRule="auto"/>
            </w:pPr>
            <w:r>
              <w:rPr>
                <w:sz w:val="20"/>
              </w:rPr>
              <w:t>Lightning gateway</w:t>
            </w:r>
          </w:p>
        </w:tc>
        <w:tc>
          <w:tcPr>
            <w:tcW w:type="dxa" w:w="4680"/>
            <w:vAlign w:val="center"/>
          </w:tcPr>
          <w:p>
            <w:pPr>
              <w:spacing w:after="0" w:before="0" w:line="257" w:lineRule="auto"/>
            </w:pPr>
            <w:r>
              <w:rPr>
                <w:sz w:val="20"/>
              </w:rPr>
              <w:t xml:space="preserve">Existing L402 and Aperture work. The x402 Lightning specification is another target, not proof every SDK implements it. </w:t>
            </w:r>
            <w:hyperlink r:id="rId16">
              <w:r>
                <w:rPr>
                  <w:color w:val="1F4E79"/>
                  <w:u w:val="single"/>
                </w:rPr>
                <w:t>[10]</w:t>
              </w:r>
            </w:hyperlink>
            <w:r>
              <w:rPr>
                <w:sz w:val="20"/>
              </w:rPr>
              <w:t xml:space="preserve"> </w:t>
            </w:r>
            <w:hyperlink r:id="rId17">
              <w:r>
                <w:rPr>
                  <w:color w:val="1F4E79"/>
                  <w:u w:val="single"/>
                </w:rPr>
                <w:t>[11]</w:t>
              </w:r>
            </w:hyperlink>
            <w:r>
              <w:rPr>
                <w:sz w:val="20"/>
              </w:rPr>
              <w:t xml:space="preserve"> </w:t>
            </w:r>
            <w:hyperlink r:id="rId21">
              <w:r>
                <w:rPr>
                  <w:color w:val="1F4E79"/>
                  <w:u w:val="single"/>
                </w:rPr>
                <w:t>[12]</w:t>
              </w:r>
            </w:hyperlink>
          </w:p>
        </w:tc>
        <w:tc>
          <w:tcPr>
            <w:tcW w:type="dxa" w:w="3874"/>
            <w:vAlign w:val="center"/>
          </w:tcPr>
          <w:p>
            <w:pPr>
              <w:spacing w:after="0" w:before="0" w:line="257" w:lineRule="auto"/>
            </w:pPr>
            <w:r>
              <w:rPr>
                <w:sz w:val="20"/>
              </w:rPr>
              <w:t>Qualify one adapter against immutable orders, durable claims and recovery first.</w:t>
            </w:r>
          </w:p>
        </w:tc>
      </w:tr>
      <w:tr>
        <w:trPr>
          <w:cantSplit/>
        </w:trPr>
        <w:tc>
          <w:tcPr>
            <w:tcW w:type="dxa" w:w="1613"/>
            <w:vAlign w:val="center"/>
          </w:tcPr>
          <w:p>
            <w:pPr>
              <w:spacing w:after="0" w:before="0" w:line="257" w:lineRule="auto"/>
            </w:pPr>
            <w:r>
              <w:rPr>
                <w:sz w:val="20"/>
              </w:rPr>
              <w:t>Core and SDK</w:t>
            </w:r>
          </w:p>
        </w:tc>
        <w:tc>
          <w:tcPr>
            <w:tcW w:type="dxa" w:w="4680"/>
            <w:vAlign w:val="center"/>
          </w:tcPr>
          <w:p>
            <w:pPr>
              <w:spacing w:after="0" w:before="0" w:line="257" w:lineRule="auto"/>
            </w:pPr>
            <w:r>
              <w:rPr>
                <w:sz w:val="20"/>
              </w:rPr>
              <w:t xml:space="preserve">v0.0.9 is released; active chain profile and SDK pairing still need capture. Dynamic Plasma identifiers are placeholders in the reviewed dev source. </w:t>
            </w:r>
            <w:hyperlink r:id="rId29">
              <w:r>
                <w:rPr>
                  <w:color w:val="1F4E79"/>
                  <w:u w:val="single"/>
                </w:rPr>
                <w:t>[18]</w:t>
              </w:r>
            </w:hyperlink>
            <w:r>
              <w:rPr>
                <w:sz w:val="20"/>
              </w:rPr>
              <w:t xml:space="preserve"> </w:t>
            </w:r>
            <w:hyperlink r:id="rId30">
              <w:r>
                <w:rPr>
                  <w:color w:val="1F4E79"/>
                  <w:u w:val="single"/>
                </w:rPr>
                <w:t>[19]</w:t>
              </w:r>
            </w:hyperlink>
            <w:r>
              <w:rPr>
                <w:sz w:val="20"/>
              </w:rPr>
              <w:t xml:space="preserve"> </w:t>
            </w:r>
            <w:hyperlink r:id="rId31">
              <w:r>
                <w:rPr>
                  <w:color w:val="1F4E79"/>
                  <w:u w:val="single"/>
                </w:rPr>
                <w:t>[37]</w:t>
              </w:r>
            </w:hyperlink>
          </w:p>
        </w:tc>
        <w:tc>
          <w:tcPr>
            <w:tcW w:type="dxa" w:w="3874"/>
            <w:vAlign w:val="center"/>
          </w:tcPr>
          <w:p>
            <w:pPr>
              <w:spacing w:after="0" w:before="0" w:line="257" w:lineRule="auto"/>
            </w:pPr>
            <w:r>
              <w:rPr>
                <w:sz w:val="20"/>
              </w:rPr>
              <w:t>Use qualified existing rules. Do not make the first product depend on a future activation.</w:t>
            </w:r>
          </w:p>
        </w:tc>
      </w:tr>
      <w:tr>
        <w:trPr>
          <w:cantSplit/>
        </w:trPr>
        <w:tc>
          <w:tcPr>
            <w:tcW w:type="dxa" w:w="1613"/>
            <w:vAlign w:val="center"/>
          </w:tcPr>
          <w:p>
            <w:pPr>
              <w:spacing w:after="0" w:before="0" w:line="257" w:lineRule="auto"/>
            </w:pPr>
            <w:r>
              <w:rPr>
                <w:sz w:val="20"/>
              </w:rPr>
              <w:t>Native x402 PoC</w:t>
            </w:r>
          </w:p>
        </w:tc>
        <w:tc>
          <w:tcPr>
            <w:tcW w:type="dxa" w:w="4680"/>
            <w:vAlign w:val="center"/>
          </w:tcPr>
          <w:p>
            <w:pPr>
              <w:spacing w:after="0" w:before="0" w:line="257" w:lineRule="auto"/>
            </w:pPr>
            <w:r>
              <w:rPr>
                <w:sz w:val="20"/>
              </w:rPr>
              <w:t xml:space="preserve">Public recovery patterns are useful, but a pinned pending native trial failed an expectation and its correction was not executed. </w:t>
            </w:r>
            <w:hyperlink r:id="rId32">
              <w:r>
                <w:rPr>
                  <w:color w:val="1F4E79"/>
                  <w:u w:val="single"/>
                </w:rPr>
                <w:t>[33]</w:t>
              </w:r>
            </w:hyperlink>
            <w:r>
              <w:rPr>
                <w:sz w:val="20"/>
              </w:rPr>
              <w:t xml:space="preserve"> </w:t>
            </w:r>
            <w:hyperlink r:id="rId33">
              <w:r>
                <w:rPr>
                  <w:color w:val="1F4E79"/>
                  <w:u w:val="single"/>
                </w:rPr>
                <w:t>[34]</w:t>
              </w:r>
            </w:hyperlink>
          </w:p>
        </w:tc>
        <w:tc>
          <w:tcPr>
            <w:tcW w:type="dxa" w:w="3874"/>
            <w:vAlign w:val="center"/>
          </w:tcPr>
          <w:p>
            <w:pPr>
              <w:spacing w:after="0" w:before="0" w:line="257" w:lineRule="auto"/>
            </w:pPr>
            <w:r>
              <w:rPr>
                <w:sz w:val="20"/>
              </w:rPr>
              <w:t>Review patterns as research. Its native settlement path is not a prerequisite for Lightning paid fusion.</w:t>
            </w:r>
          </w:p>
        </w:tc>
      </w:tr>
      <w:tr>
        <w:trPr>
          <w:cantSplit/>
        </w:trPr>
        <w:tc>
          <w:tcPr>
            <w:tcW w:type="dxa" w:w="1613"/>
            <w:vAlign w:val="center"/>
          </w:tcPr>
          <w:p>
            <w:pPr>
              <w:spacing w:after="0" w:before="0" w:line="257" w:lineRule="auto"/>
            </w:pPr>
            <w:r>
              <w:rPr>
                <w:sz w:val="20"/>
              </w:rPr>
              <w:t>Proof and contracts</w:t>
            </w:r>
          </w:p>
        </w:tc>
        <w:tc>
          <w:tcPr>
            <w:tcW w:type="dxa" w:w="4680"/>
            <w:vAlign w:val="center"/>
          </w:tcPr>
          <w:p>
            <w:pPr>
              <w:spacing w:after="0" w:before="0" w:line="257" w:lineRule="auto"/>
            </w:pPr>
            <w:r>
              <w:rPr>
                <w:sz w:val="20"/>
              </w:rPr>
              <w:t xml:space="preserve">StateRoot candidates, PTLC and ZVM address other problems and have separate acceptance boundaries. </w:t>
            </w:r>
            <w:hyperlink r:id="rId34">
              <w:r>
                <w:rPr>
                  <w:color w:val="1F4E79"/>
                  <w:u w:val="single"/>
                </w:rPr>
                <w:t>[31]</w:t>
              </w:r>
            </w:hyperlink>
            <w:r>
              <w:rPr>
                <w:sz w:val="20"/>
              </w:rPr>
              <w:t xml:space="preserve"> </w:t>
            </w:r>
            <w:hyperlink r:id="rId35">
              <w:r>
                <w:rPr>
                  <w:color w:val="1F4E79"/>
                  <w:u w:val="single"/>
                </w:rPr>
                <w:t>[24]</w:t>
              </w:r>
            </w:hyperlink>
            <w:r>
              <w:rPr>
                <w:sz w:val="20"/>
              </w:rPr>
              <w:t xml:space="preserve"> </w:t>
            </w:r>
            <w:hyperlink r:id="rId36">
              <w:r>
                <w:rPr>
                  <w:color w:val="1F4E79"/>
                  <w:u w:val="single"/>
                </w:rPr>
                <w:t>[39]</w:t>
              </w:r>
            </w:hyperlink>
          </w:p>
        </w:tc>
        <w:tc>
          <w:tcPr>
            <w:tcW w:type="dxa" w:w="3874"/>
            <w:vAlign w:val="center"/>
          </w:tcPr>
          <w:p>
            <w:pPr>
              <w:spacing w:after="0" w:before="0" w:line="257" w:lineRule="auto"/>
            </w:pPr>
            <w:r>
              <w:rPr>
                <w:sz w:val="20"/>
              </w:rPr>
              <w:t>Keep them off the initial critical path; do not advertise guarantees they have not established.</w:t>
            </w:r>
          </w:p>
        </w:tc>
      </w:tr>
    </w:tbl>
    <w:p>
      <w:pPr>
        <w:spacing w:after="0"/>
      </w:pPr>
    </w:p>
    <w:p>
      <w:pPr>
        <w:keepLines w:val="0"/>
        <w:widowControl/>
      </w:pPr>
      <w:r>
        <w:t>Before implementation, identify the target maintainer or operator, inspect current issues and open changes, pin the source and dependencies, and agree the permitted adapter boundary. Before any real value test, an independent reviewer and operator must accept the actual software, inventory exposure, recovery and compensation policy. This proposal neither requests nor assumes that approval now.</w:t>
      </w:r>
    </w:p>
    <w:p>
      <w:pPr>
        <w:pStyle w:val="Heading1"/>
      </w:pPr>
      <w:r>
        <w:t>4 Experiments that can disprove the proposal</w:t>
      </w:r>
    </w:p>
    <w:p>
      <w:pPr>
        <w:pStyle w:val="Heading2"/>
      </w:pPr>
      <w:r>
        <w:t>First establish a reason to pay</w:t>
      </w:r>
    </w:p>
    <w:p>
      <w:pPr>
        <w:keepLines w:val="0"/>
        <w:widowControl/>
      </w:pPr>
      <w:r>
        <w:t>Proposed discovery cap: ten prospective customer interviews and up to three provider interviews over two weeks. Ask for an already desired task, the best available free or native path, its observed friction, and a response to a concrete provider price and service condition. Interview interest is not a payment. Proceed to a prototype only if at least three prospective customers identify the need at that offered price and two independent providers can state deliverable inventory and terms. These are proposed investment filters, not observed demand or statistical evidence.</w:t>
      </w:r>
    </w:p>
    <w:p>
      <w:pPr>
        <w:keepLines w:val="0"/>
        <w:widowControl/>
      </w:pPr>
      <w:r>
        <w:t>If free sponsorship or proof of work meets the requirement with acceptable delay and reliability, stop the commercial hypothesis. Do not disable an adequate free option to create apparent demand. If discovery reveals a different useful service, rewrite the delivery contract and comparator before coding.</w:t>
      </w:r>
    </w:p>
    <w:p>
      <w:pPr>
        <w:pStyle w:val="Heading2"/>
      </w:pPr>
      <w:r>
        <w:t>Separate the causes of any improvement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656"/>
        <w:gridCol w:w="4608"/>
        <w:gridCol w:w="3902"/>
      </w:tblGrid>
      <w:tr>
        <w:trPr>
          <w:tblHeader/>
          <w:cantSplit/>
        </w:trPr>
        <w:tc>
          <w:tcPr>
            <w:tcW w:type="dxa" w:w="1656"/>
            <w:vAlign w:val="center"/>
            <w:shd w:fill="E8EDF2"/>
          </w:tcPr>
          <w:p>
            <w:pPr>
              <w:spacing w:after="0" w:before="0" w:line="257" w:lineRule="auto"/>
            </w:pPr>
            <w:r>
              <w:rPr>
                <w:b/>
                <w:sz w:val="20"/>
              </w:rPr>
              <w:t>Experiment</w:t>
            </w:r>
          </w:p>
        </w:tc>
        <w:tc>
          <w:tcPr>
            <w:tcW w:type="dxa" w:w="4608"/>
            <w:vAlign w:val="center"/>
            <w:shd w:fill="E8EDF2"/>
          </w:tcPr>
          <w:p>
            <w:pPr>
              <w:spacing w:after="0" w:before="0" w:line="257" w:lineRule="auto"/>
            </w:pPr>
            <w:r>
              <w:rPr>
                <w:b/>
                <w:sz w:val="20"/>
              </w:rPr>
              <w:t>What stays comparable</w:t>
            </w:r>
          </w:p>
        </w:tc>
        <w:tc>
          <w:tcPr>
            <w:tcW w:type="dxa" w:w="3902"/>
            <w:vAlign w:val="center"/>
            <w:shd w:fill="E8EDF2"/>
          </w:tcPr>
          <w:p>
            <w:pPr>
              <w:spacing w:after="0" w:before="0" w:line="257" w:lineRule="auto"/>
            </w:pPr>
            <w:r>
              <w:rPr>
                <w:b/>
                <w:sz w:val="20"/>
              </w:rPr>
              <w:t>What its result can establish</w:t>
            </w:r>
          </w:p>
        </w:tc>
      </w:tr>
      <w:tr>
        <w:trPr>
          <w:cantSplit/>
        </w:trPr>
        <w:tc>
          <w:tcPr>
            <w:tcW w:type="dxa" w:w="1656"/>
            <w:vAlign w:val="center"/>
          </w:tcPr>
          <w:p>
            <w:pPr>
              <w:spacing w:after="0" w:before="0" w:line="257" w:lineRule="auto"/>
            </w:pPr>
            <w:r>
              <w:rPr>
                <w:sz w:val="20"/>
              </w:rPr>
              <w:t>Payment option</w:t>
            </w:r>
          </w:p>
        </w:tc>
        <w:tc>
          <w:tcPr>
            <w:tcW w:type="dxa" w:w="4608"/>
            <w:vAlign w:val="center"/>
          </w:tcPr>
          <w:p>
            <w:pPr>
              <w:spacing w:after="0" w:before="0" w:line="257" w:lineRule="auto"/>
            </w:pPr>
            <w:r>
              <w:rPr>
                <w:sz w:val="20"/>
              </w:rPr>
              <w:t>Give all eligible participants the same underlying service and access to existing alternatives. Randomize whether the BTC option is offered, with crossover recorded.</w:t>
            </w:r>
          </w:p>
        </w:tc>
        <w:tc>
          <w:tcPr>
            <w:tcW w:type="dxa" w:w="3902"/>
            <w:vAlign w:val="center"/>
          </w:tcPr>
          <w:p>
            <w:pPr>
              <w:spacing w:after="0" w:before="0" w:line="257" w:lineRule="auto"/>
            </w:pPr>
            <w:r>
              <w:rPr>
                <w:sz w:val="20"/>
              </w:rPr>
              <w:t>Compare completion of the already intended task by a fixed deadline. BTC uptake is a separate commercial observation, not proof of additional activity.</w:t>
            </w:r>
          </w:p>
        </w:tc>
      </w:tr>
      <w:tr>
        <w:trPr>
          <w:cantSplit/>
        </w:trPr>
        <w:tc>
          <w:tcPr>
            <w:tcW w:type="dxa" w:w="1656"/>
            <w:vAlign w:val="center"/>
          </w:tcPr>
          <w:p>
            <w:pPr>
              <w:spacing w:after="0" w:before="0" w:line="257" w:lineRule="auto"/>
            </w:pPr>
            <w:r>
              <w:rPr>
                <w:sz w:val="20"/>
              </w:rPr>
              <w:t>Automation ablation</w:t>
            </w:r>
          </w:p>
        </w:tc>
        <w:tc>
          <w:tcPr>
            <w:tcW w:type="dxa" w:w="4608"/>
            <w:vAlign w:val="center"/>
          </w:tcPr>
          <w:p>
            <w:pPr>
              <w:spacing w:after="0" w:before="0" w:line="257" w:lineRule="auto"/>
            </w:pPr>
            <w:r>
              <w:rPr>
                <w:sz w:val="20"/>
              </w:rPr>
              <w:t>Hold the Lightning payment, quote terms and inventory policy fixed. Compare assisted manual native fulfillment with the proposed job worker, in a separate test.</w:t>
            </w:r>
          </w:p>
        </w:tc>
        <w:tc>
          <w:tcPr>
            <w:tcW w:type="dxa" w:w="3902"/>
            <w:vAlign w:val="center"/>
          </w:tcPr>
          <w:p>
            <w:pPr>
              <w:spacing w:after="0" w:before="0" w:line="257" w:lineRule="auto"/>
            </w:pPr>
            <w:r>
              <w:rPr>
                <w:sz w:val="20"/>
              </w:rPr>
              <w:t>Effect of automation and recovery. Attribute improvements to the adapter, not to a consensus property.</w:t>
            </w:r>
          </w:p>
        </w:tc>
      </w:tr>
      <w:tr>
        <w:trPr>
          <w:cantSplit/>
        </w:trPr>
        <w:tc>
          <w:tcPr>
            <w:tcW w:type="dxa" w:w="1656"/>
            <w:vAlign w:val="center"/>
          </w:tcPr>
          <w:p>
            <w:pPr>
              <w:spacing w:after="0" w:before="0" w:line="257" w:lineRule="auto"/>
            </w:pPr>
            <w:r>
              <w:rPr>
                <w:sz w:val="20"/>
              </w:rPr>
              <w:t>Generic paid API control</w:t>
            </w:r>
          </w:p>
        </w:tc>
        <w:tc>
          <w:tcPr>
            <w:tcW w:type="dxa" w:w="4608"/>
            <w:vAlign w:val="center"/>
          </w:tcPr>
          <w:p>
            <w:pPr>
              <w:spacing w:after="0" w:before="0" w:line="257" w:lineRule="auto"/>
            </w:pPr>
            <w:r>
              <w:rPr>
                <w:sz w:val="20"/>
              </w:rPr>
              <w:t>Use the same payment and journal against an ordinary stored result service that needs no native resource action.</w:t>
            </w:r>
          </w:p>
        </w:tc>
        <w:tc>
          <w:tcPr>
            <w:tcW w:type="dxa" w:w="3902"/>
            <w:vAlign w:val="center"/>
          </w:tcPr>
          <w:p>
            <w:pPr>
              <w:spacing w:after="0" w:before="0" w:line="257" w:lineRule="auto"/>
            </w:pPr>
            <w:r>
              <w:rPr>
                <w:sz w:val="20"/>
              </w:rPr>
              <w:t>Which tooling is reusable without Zenon. Any claimed generic payment improvement must survive this control.</w:t>
            </w:r>
          </w:p>
        </w:tc>
      </w:tr>
    </w:tbl>
    <w:p>
      <w:pPr>
        <w:spacing w:after="0"/>
      </w:pPr>
    </w:p>
    <w:p>
      <w:pPr>
        <w:keepLines w:val="0"/>
        <w:widowControl/>
      </w:pPr>
      <w:r>
        <w:t>Do not force participants to pay or withhold a needed free service. A randomized offer estimates availability of the checkout, including choices not to use it. Report intention to treat, crossover, prior BTC and native asset holdings, support and free capacity availability. Native asset conversion and voluntary route selection must not be pooled into a claim of causal payment improvement.</w:t>
      </w:r>
    </w:p>
    <w:p>
      <w:pPr>
        <w:keepLines w:val="0"/>
        <w:widowControl/>
      </w:pPr>
      <w:r>
        <w:t>The primary comparative outcome is completion of the already intended task by a prespecified deadline over everyone assigned to each arm. Define that task and its acceptable evidence before enrollment; resource delivery and task completion remain separate. Report total task activity and payment method share. A shift from native payment to BTC can show customer preference without creating additional economic activity. A crypto native sample cannot establish mainstream merchant adoption.</w:t>
      </w:r>
    </w:p>
    <w:p>
      <w:pPr>
        <w:pStyle w:val="Heading2"/>
      </w:pPr>
      <w:r>
        <w:t>A bounded feasibility pilot</w:t>
      </w:r>
    </w:p>
    <w:p>
      <w:pPr>
        <w:keepLines w:val="0"/>
        <w:widowControl/>
      </w:pPr>
      <w:r>
        <w:t>After engineering and operator acceptance, propose a 30 day window with two independent providers and up to 60 eligible participants who already have a relevant task. These planning values are not a powered study. Freeze enrollment rules, assignment, denominators, price, workload, observation window and analysis before outcomes. An operator must separately set monetary, inventory and compensation caps before any live step; this draft authorizes no live funds.</w:t>
      </w:r>
    </w:p>
    <w:p>
      <w:pPr>
        <w:keepLines w:val="0"/>
        <w:widowControl/>
      </w:pPr>
      <w:r>
        <w:t>Primary commercial observation: distinct customers who make an unsubsidized BTC payment and receive the declared resource service, plus net BTC revenue after refunds and all in cost per completed order. Report purchase conversion over every eligible enrolled participant, not only those who reach checkout. Count one order per intent; retries retain its identity. Separate trials, incentives, operator accounts, swaps, credits and QSR movements from customer BTC payments.</w:t>
      </w:r>
    </w:p>
    <w:p>
      <w:pPr>
        <w:keepLines w:val="0"/>
        <w:widowControl/>
      </w:pPr>
      <w:r>
        <w:t>Retention is secondary and must fit the resource term. Report repeat purchases only among customers whose delivered service could genuinely need renewal within the window. An unexpired allocation is not failed retention. Record the eligible renewal denominator; fewer than ten eligible customers leaves renewal inconclusive. Any optional evidence that a provider spends its BTC earnings elsewhere is a separate descriptive outcome, not proof of a closed economic loop.</w:t>
      </w:r>
    </w:p>
    <w:p>
      <w:pPr>
        <w:keepLines w:val="0"/>
        <w:widowControl/>
      </w:pPr>
      <w:r>
        <w:t>Proposed commercial continuation filter: at least ten distinct unsubsidized customers across both providers, with positive contribution margin after routing, compensation, inventory capital, infrastructure and measured support costs under disclosed assumptions. Report each provider separately; do not hide a loss behind the other provider. This filter only justifies further study. If adequate free options dominate or costs exceed willingness to pay, stop the paid branch and retain the reusable Lightning findings.</w:t>
      </w:r>
    </w:p>
    <w:p>
      <w:pPr>
        <w:keepLines w:val="0"/>
        <w:widowControl/>
      </w:pPr>
      <w:r>
        <w:t>Report raw counts and participant level intervals where appropriate; with two providers, provider effects are descriptive. A small pilot cannot establish production reliability, statistical superiority or broad adoption. Design a larger replication from the pilot baseline and a prespecified worthwhile effect before making those claims.</w:t>
      </w:r>
    </w:p>
    <w:p>
      <w:pPr>
        <w:pStyle w:val="Heading1"/>
      </w:pPr>
      <w:r>
        <w:t>5 Metrics and bounded failure qualification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800"/>
        <w:gridCol w:w="8366"/>
      </w:tblGrid>
      <w:tr>
        <w:trPr>
          <w:tblHeader/>
          <w:cantSplit/>
        </w:trPr>
        <w:tc>
          <w:tcPr>
            <w:tcW w:type="dxa" w:w="1800"/>
            <w:vAlign w:val="center"/>
            <w:shd w:fill="E8EDF2"/>
          </w:tcPr>
          <w:p>
            <w:pPr>
              <w:spacing w:after="0" w:before="0" w:line="257" w:lineRule="auto"/>
            </w:pPr>
            <w:r>
              <w:rPr>
                <w:b/>
                <w:sz w:val="20"/>
              </w:rPr>
              <w:t>Measure</w:t>
            </w:r>
          </w:p>
        </w:tc>
        <w:tc>
          <w:tcPr>
            <w:tcW w:type="dxa" w:w="8366"/>
            <w:vAlign w:val="center"/>
            <w:shd w:fill="E8EDF2"/>
          </w:tcPr>
          <w:p>
            <w:pPr>
              <w:spacing w:after="0" w:before="0" w:line="257" w:lineRule="auto"/>
            </w:pPr>
            <w:r>
              <w:rPr>
                <w:b/>
                <w:sz w:val="20"/>
              </w:rPr>
              <w:t>Definition and decision use</w:t>
            </w:r>
          </w:p>
        </w:tc>
      </w:tr>
      <w:tr>
        <w:trPr>
          <w:cantSplit/>
        </w:trPr>
        <w:tc>
          <w:tcPr>
            <w:tcW w:type="dxa" w:w="1800"/>
            <w:vAlign w:val="center"/>
          </w:tcPr>
          <w:p>
            <w:pPr>
              <w:spacing w:after="0" w:before="0" w:line="257" w:lineRule="auto"/>
            </w:pPr>
            <w:r>
              <w:rPr>
                <w:sz w:val="20"/>
              </w:rPr>
              <w:t>Demand and access</w:t>
            </w:r>
          </w:p>
        </w:tc>
        <w:tc>
          <w:tcPr>
            <w:tcW w:type="dxa" w:w="8366"/>
            <w:vAlign w:val="center"/>
          </w:tcPr>
          <w:p>
            <w:pPr>
              <w:spacing w:after="0" w:before="0" w:line="257" w:lineRule="auto"/>
            </w:pPr>
            <w:r>
              <w:rPr>
                <w:sz w:val="20"/>
              </w:rPr>
              <w:t>Eligible participants, offers shown, existing free options, BTC purchasers and observed deliveries. Report random assignment and crossover; disclose dependence on the existing Zenon community.</w:t>
            </w:r>
          </w:p>
        </w:tc>
      </w:tr>
      <w:tr>
        <w:trPr>
          <w:cantSplit/>
        </w:trPr>
        <w:tc>
          <w:tcPr>
            <w:tcW w:type="dxa" w:w="1800"/>
            <w:vAlign w:val="center"/>
          </w:tcPr>
          <w:p>
            <w:pPr>
              <w:spacing w:after="0" w:before="0" w:line="257" w:lineRule="auto"/>
            </w:pPr>
            <w:r>
              <w:rPr>
                <w:sz w:val="20"/>
              </w:rPr>
              <w:t>Fulfillment</w:t>
            </w:r>
          </w:p>
        </w:tc>
        <w:tc>
          <w:tcPr>
            <w:tcW w:type="dxa" w:w="8366"/>
            <w:vAlign w:val="center"/>
          </w:tcPr>
          <w:p>
            <w:pPr>
              <w:spacing w:after="0" w:before="0" w:line="257" w:lineRule="auto"/>
            </w:pPr>
            <w:r>
              <w:rPr>
                <w:sz w:val="20"/>
              </w:rPr>
              <w:t>Payment to successful contract outcome and declared service condition. Report p50, p95, unresolved age and the separate time to a real customer task. Do not equate invoice settlement, send acceptance and delivery.</w:t>
            </w:r>
          </w:p>
        </w:tc>
      </w:tr>
      <w:tr>
        <w:trPr>
          <w:cantSplit/>
        </w:trPr>
        <w:tc>
          <w:tcPr>
            <w:tcW w:type="dxa" w:w="1800"/>
            <w:vAlign w:val="center"/>
          </w:tcPr>
          <w:p>
            <w:pPr>
              <w:spacing w:after="0" w:before="0" w:line="257" w:lineRule="auto"/>
            </w:pPr>
            <w:r>
              <w:rPr>
                <w:sz w:val="20"/>
              </w:rPr>
              <w:t>Unit economics</w:t>
            </w:r>
          </w:p>
        </w:tc>
        <w:tc>
          <w:tcPr>
            <w:tcW w:type="dxa" w:w="8366"/>
            <w:vAlign w:val="center"/>
          </w:tcPr>
          <w:p>
            <w:pPr>
              <w:spacing w:after="0" w:before="0" w:line="257" w:lineRule="auto"/>
            </w:pPr>
            <w:r>
              <w:rPr>
                <w:sz w:val="20"/>
              </w:rPr>
              <w:t>Net sats minus routing, compensation, support, infrastructure and allocated capital cost. Record QSR quantity, valuation, utilization and actual lock duration. Returning principal does not erase capital or asset price exposure.</w:t>
            </w:r>
          </w:p>
        </w:tc>
      </w:tr>
      <w:tr>
        <w:trPr>
          <w:cantSplit/>
        </w:trPr>
        <w:tc>
          <w:tcPr>
            <w:tcW w:type="dxa" w:w="1800"/>
            <w:vAlign w:val="center"/>
          </w:tcPr>
          <w:p>
            <w:pPr>
              <w:spacing w:after="0" w:before="0" w:line="257" w:lineRule="auto"/>
            </w:pPr>
            <w:r>
              <w:rPr>
                <w:sz w:val="20"/>
              </w:rPr>
              <w:t>Renewal</w:t>
            </w:r>
          </w:p>
        </w:tc>
        <w:tc>
          <w:tcPr>
            <w:tcW w:type="dxa" w:w="8366"/>
            <w:vAlign w:val="center"/>
          </w:tcPr>
          <w:p>
            <w:pPr>
              <w:spacing w:after="0" w:before="0" w:line="257" w:lineRule="auto"/>
            </w:pPr>
            <w:r>
              <w:rPr>
                <w:sz w:val="20"/>
              </w:rPr>
              <w:t>Repeat orders divided by customers whose service condition creates a genuine renewal opportunity in the observation window. Report censoring and missing follow up.</w:t>
            </w:r>
          </w:p>
        </w:tc>
      </w:tr>
      <w:tr>
        <w:trPr>
          <w:cantSplit/>
        </w:trPr>
        <w:tc>
          <w:tcPr>
            <w:tcW w:type="dxa" w:w="1800"/>
            <w:vAlign w:val="center"/>
          </w:tcPr>
          <w:p>
            <w:pPr>
              <w:spacing w:after="0" w:before="0" w:line="257" w:lineRule="auto"/>
            </w:pPr>
            <w:r>
              <w:rPr>
                <w:sz w:val="20"/>
              </w:rPr>
              <w:t>Safety and liabilities</w:t>
            </w:r>
          </w:p>
        </w:tc>
        <w:tc>
          <w:tcPr>
            <w:tcW w:type="dxa" w:w="8366"/>
            <w:vAlign w:val="center"/>
          </w:tcPr>
          <w:p>
            <w:pPr>
              <w:spacing w:after="0" w:before="0" w:line="257" w:lineRule="auto"/>
            </w:pPr>
            <w:r>
              <w:rPr>
                <w:sz w:val="20"/>
              </w:rPr>
              <w:t>Unique accepted payment claim, one authorized native job, reserved inventory and separately tracked compensation. No duplicate debit, native execution authorization, early recycling or budget breach is permitted in the stated corpus.</w:t>
            </w:r>
          </w:p>
        </w:tc>
      </w:tr>
    </w:tbl>
    <w:p>
      <w:pPr>
        <w:spacing w:after="0"/>
      </w:pPr>
    </w:p>
    <w:p>
      <w:pPr>
        <w:keepLines w:val="0"/>
        <w:widowControl/>
      </w:pPr>
      <w:r>
        <w:t>First run local and integrated test environments using an exact manifest of node and wallet builds, genesis, active rules, SDK, gateway, database schema, workload and actual command outcomes. The proposed deterministic corpus repeats each applicable failure at least 20 times, including one worker and three gateway replicas. Also run a 60 minute workload at twice the intended pilot peak. These are bounded qualification targets, not tests already run or proof of production capacity.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880"/>
        <w:gridCol w:w="7286"/>
      </w:tblGrid>
      <w:tr>
        <w:trPr>
          <w:tblHeader/>
          <w:cantSplit/>
        </w:trPr>
        <w:tc>
          <w:tcPr>
            <w:tcW w:type="dxa" w:w="2880"/>
            <w:vAlign w:val="center"/>
            <w:shd w:fill="E8EDF2"/>
          </w:tcPr>
          <w:p>
            <w:pPr>
              <w:spacing w:after="0" w:before="0" w:line="257" w:lineRule="auto"/>
            </w:pPr>
            <w:r>
              <w:rPr>
                <w:b/>
                <w:sz w:val="20"/>
              </w:rPr>
              <w:t>Injected failure</w:t>
            </w:r>
          </w:p>
        </w:tc>
        <w:tc>
          <w:tcPr>
            <w:tcW w:type="dxa" w:w="7286"/>
            <w:vAlign w:val="center"/>
            <w:shd w:fill="E8EDF2"/>
          </w:tcPr>
          <w:p>
            <w:pPr>
              <w:spacing w:after="0" w:before="0" w:line="257" w:lineRule="auto"/>
            </w:pPr>
            <w:r>
              <w:rPr>
                <w:b/>
                <w:sz w:val="20"/>
              </w:rPr>
              <w:t>Required outcome</w:t>
            </w:r>
          </w:p>
        </w:tc>
      </w:tr>
      <w:tr>
        <w:trPr>
          <w:cantSplit/>
        </w:trPr>
        <w:tc>
          <w:tcPr>
            <w:tcW w:type="dxa" w:w="2880"/>
            <w:vAlign w:val="center"/>
          </w:tcPr>
          <w:p>
            <w:pPr>
              <w:spacing w:after="0" w:before="0" w:line="257" w:lineRule="auto"/>
            </w:pPr>
            <w:r>
              <w:rPr>
                <w:sz w:val="20"/>
              </w:rPr>
              <w:t>Paid response loss and replay</w:t>
            </w:r>
          </w:p>
        </w:tc>
        <w:tc>
          <w:tcPr>
            <w:tcW w:type="dxa" w:w="7286"/>
            <w:vAlign w:val="center"/>
          </w:tcPr>
          <w:p>
            <w:pPr>
              <w:spacing w:after="0" w:before="0" w:line="257" w:lineRule="auto"/>
            </w:pPr>
            <w:r>
              <w:rPr>
                <w:sz w:val="20"/>
              </w:rPr>
              <w:t>Recover the same order and result. Replicas and restarts cannot create another accepted claim or job. Respect the selected protocol's legitimate credential reuse.</w:t>
            </w:r>
          </w:p>
        </w:tc>
      </w:tr>
      <w:tr>
        <w:trPr>
          <w:cantSplit/>
        </w:trPr>
        <w:tc>
          <w:tcPr>
            <w:tcW w:type="dxa" w:w="2880"/>
            <w:vAlign w:val="center"/>
          </w:tcPr>
          <w:p>
            <w:pPr>
              <w:spacing w:after="0" w:before="0" w:line="257" w:lineRule="auto"/>
            </w:pPr>
            <w:r>
              <w:rPr>
                <w:sz w:val="20"/>
              </w:rPr>
              <w:t>Wrong or changed order</w:t>
            </w:r>
          </w:p>
        </w:tc>
        <w:tc>
          <w:tcPr>
            <w:tcW w:type="dxa" w:w="7286"/>
            <w:vAlign w:val="center"/>
          </w:tcPr>
          <w:p>
            <w:pPr>
              <w:spacing w:after="0" w:before="0" w:line="257" w:lineRule="auto"/>
            </w:pPr>
            <w:r>
              <w:rPr>
                <w:sz w:val="20"/>
              </w:rPr>
              <w:t>Wrong beneficiary, owner, amount, chain, genesis, expired quote or mutated terms cannot obtain delivery authority. Never identify delivery solely from an aggregate balance.</w:t>
            </w:r>
          </w:p>
        </w:tc>
      </w:tr>
      <w:tr>
        <w:trPr>
          <w:cantSplit/>
        </w:trPr>
        <w:tc>
          <w:tcPr>
            <w:tcW w:type="dxa" w:w="2880"/>
            <w:vAlign w:val="center"/>
          </w:tcPr>
          <w:p>
            <w:pPr>
              <w:spacing w:after="0" w:before="0" w:line="257" w:lineRule="auto"/>
            </w:pPr>
            <w:r>
              <w:rPr>
                <w:sz w:val="20"/>
              </w:rPr>
              <w:t>Late payment after expiry</w:t>
            </w:r>
          </w:p>
        </w:tc>
        <w:tc>
          <w:tcPr>
            <w:tcW w:type="dxa" w:w="7286"/>
            <w:vAlign w:val="center"/>
          </w:tcPr>
          <w:p>
            <w:pPr>
              <w:spacing w:after="0" w:before="0" w:line="257" w:lineRule="auto"/>
            </w:pPr>
            <w:r>
              <w:rPr>
                <w:sz w:val="20"/>
              </w:rPr>
              <w:t>Record any verified payment as a liability even if the quote or inventory reservation expired. Reconcile the original order; do not discard the payment, silently reprice it or authorize another charge.</w:t>
            </w:r>
          </w:p>
        </w:tc>
      </w:tr>
      <w:tr>
        <w:trPr>
          <w:cantSplit/>
        </w:trPr>
        <w:tc>
          <w:tcPr>
            <w:tcW w:type="dxa" w:w="2880"/>
            <w:vAlign w:val="center"/>
          </w:tcPr>
          <w:p>
            <w:pPr>
              <w:spacing w:after="0" w:before="0" w:line="257" w:lineRule="auto"/>
            </w:pPr>
            <w:r>
              <w:rPr>
                <w:sz w:val="20"/>
              </w:rPr>
              <w:t>Database or native publication uncertainty</w:t>
            </w:r>
          </w:p>
        </w:tc>
        <w:tc>
          <w:tcPr>
            <w:tcW w:type="dxa" w:w="7286"/>
            <w:vAlign w:val="center"/>
          </w:tcPr>
          <w:p>
            <w:pPr>
              <w:spacing w:after="0" w:before="0" w:line="257" w:lineRule="auto"/>
            </w:pPr>
            <w:r>
              <w:rPr>
                <w:sz w:val="20"/>
              </w:rPr>
              <w:t>At each commit boundary preserve original signed bytes, hash and owner. Reconcile before any new action; an unknown outcome is not permission to sign again.</w:t>
            </w:r>
          </w:p>
        </w:tc>
      </w:tr>
      <w:tr>
        <w:trPr>
          <w:cantSplit/>
        </w:trPr>
        <w:tc>
          <w:tcPr>
            <w:tcW w:type="dxa" w:w="2880"/>
            <w:vAlign w:val="center"/>
          </w:tcPr>
          <w:p>
            <w:pPr>
              <w:spacing w:after="0" w:before="0" w:line="257" w:lineRule="auto"/>
            </w:pPr>
            <w:r>
              <w:rPr>
                <w:sz w:val="20"/>
              </w:rPr>
              <w:t>Send accepted but contract fails</w:t>
            </w:r>
          </w:p>
        </w:tc>
        <w:tc>
          <w:tcPr>
            <w:tcW w:type="dxa" w:w="7286"/>
            <w:vAlign w:val="center"/>
          </w:tcPr>
          <w:p>
            <w:pPr>
              <w:spacing w:after="0" w:before="0" w:line="257" w:lineRule="auto"/>
            </w:pPr>
            <w:r>
              <w:rPr>
                <w:sz w:val="20"/>
              </w:rPr>
              <w:t>A rejected or absent contract result remains undelivered or unresolved under the stated policy. Do not issue a successful service receipt from the send alone.</w:t>
            </w:r>
          </w:p>
        </w:tc>
      </w:tr>
      <w:tr>
        <w:trPr>
          <w:cantSplit/>
        </w:trPr>
        <w:tc>
          <w:tcPr>
            <w:tcW w:type="dxa" w:w="2880"/>
            <w:vAlign w:val="center"/>
          </w:tcPr>
          <w:p>
            <w:pPr>
              <w:spacing w:after="0" w:before="0" w:line="257" w:lineRule="auto"/>
            </w:pPr>
            <w:r>
              <w:rPr>
                <w:sz w:val="20"/>
              </w:rPr>
              <w:t>Inventory exhaustion or recycling</w:t>
            </w:r>
          </w:p>
        </w:tc>
        <w:tc>
          <w:tcPr>
            <w:tcW w:type="dxa" w:w="7286"/>
            <w:vAlign w:val="center"/>
          </w:tcPr>
          <w:p>
            <w:pPr>
              <w:spacing w:after="0" w:before="0" w:line="257" w:lineRule="auto"/>
            </w:pPr>
            <w:r>
              <w:rPr>
                <w:sz w:val="20"/>
              </w:rPr>
              <w:t>Reservations fail before payment acceptance where possible. Protected paid allocations cannot be selected for early recycling. A cancel request is not immediately spendable inventory.</w:t>
            </w:r>
          </w:p>
        </w:tc>
      </w:tr>
      <w:tr>
        <w:trPr>
          <w:cantSplit/>
        </w:trPr>
        <w:tc>
          <w:tcPr>
            <w:tcW w:type="dxa" w:w="2880"/>
            <w:vAlign w:val="center"/>
          </w:tcPr>
          <w:p>
            <w:pPr>
              <w:spacing w:after="0" w:before="0" w:line="257" w:lineRule="auto"/>
            </w:pPr>
            <w:r>
              <w:rPr>
                <w:sz w:val="20"/>
              </w:rPr>
              <w:t>Signer or account chain conflict</w:t>
            </w:r>
          </w:p>
        </w:tc>
        <w:tc>
          <w:tcPr>
            <w:tcW w:type="dxa" w:w="7286"/>
            <w:vAlign w:val="center"/>
          </w:tcPr>
          <w:p>
            <w:pPr>
              <w:spacing w:after="0" w:before="0" w:line="257" w:lineRule="auto"/>
            </w:pPr>
            <w:r>
              <w:rPr>
                <w:sz w:val="20"/>
              </w:rPr>
              <w:t>Only the quoted Fuse operation is allowed. Per owner serialization and bounded signing authority hold under concurrent orders and restarts.</w:t>
            </w:r>
          </w:p>
        </w:tc>
      </w:tr>
      <w:tr>
        <w:trPr>
          <w:cantSplit/>
        </w:trPr>
        <w:tc>
          <w:tcPr>
            <w:tcW w:type="dxa" w:w="2880"/>
            <w:vAlign w:val="center"/>
          </w:tcPr>
          <w:p>
            <w:pPr>
              <w:spacing w:after="0" w:before="0" w:line="257" w:lineRule="auto"/>
            </w:pPr>
            <w:r>
              <w:rPr>
                <w:sz w:val="20"/>
              </w:rPr>
              <w:t>Compensation failure</w:t>
            </w:r>
          </w:p>
        </w:tc>
        <w:tc>
          <w:tcPr>
            <w:tcW w:type="dxa" w:w="7286"/>
            <w:vAlign w:val="center"/>
          </w:tcPr>
          <w:p>
            <w:pPr>
              <w:spacing w:after="0" w:before="0" w:line="257" w:lineRule="auto"/>
            </w:pPr>
            <w:r>
              <w:rPr>
                <w:sz w:val="20"/>
              </w:rPr>
              <w:t>Authenticate the original customer's remedy and record its payment identity. A lost refund response cannot authorize another payout or a false completed refund.</w:t>
            </w:r>
          </w:p>
        </w:tc>
      </w:tr>
      <w:tr>
        <w:trPr>
          <w:cantSplit/>
        </w:trPr>
        <w:tc>
          <w:tcPr>
            <w:tcW w:type="dxa" w:w="2880"/>
            <w:vAlign w:val="center"/>
          </w:tcPr>
          <w:p>
            <w:pPr>
              <w:spacing w:after="0" w:before="0" w:line="257" w:lineRule="auto"/>
            </w:pPr>
            <w:r>
              <w:rPr>
                <w:sz w:val="20"/>
              </w:rPr>
              <w:t>Observation disagreement or outage</w:t>
            </w:r>
          </w:p>
        </w:tc>
        <w:tc>
          <w:tcPr>
            <w:tcW w:type="dxa" w:w="7286"/>
            <w:vAlign w:val="center"/>
          </w:tcPr>
          <w:p>
            <w:pPr>
              <w:spacing w:after="0" w:before="0" w:line="257" w:lineRule="auto"/>
            </w:pPr>
            <w:r>
              <w:rPr>
                <w:sz w:val="20"/>
              </w:rPr>
              <w:t>Retain a visible unresolved state and the original evidence. Independent observations do not silently become a consensus or state proof.</w:t>
            </w:r>
          </w:p>
        </w:tc>
      </w:tr>
    </w:tbl>
    <w:p>
      <w:pPr>
        <w:spacing w:after="0"/>
      </w:pPr>
    </w:p>
    <w:p>
      <w:pPr>
        <w:keepLines w:val="0"/>
        <w:widowControl/>
      </w:pPr>
      <w:r>
        <w:t>Stop the affected test on an unexplained debit, wrong beneficiary, unjournaled signature, duplicate authorization, violated sold condition or unresolved real value incident. Preserve failure evidence privately and publish sanitized outcomes only after review. A later pass does not erase a failure. Expansion needs an independent review of the cause and new bounded acceptance.</w:t>
      </w:r>
    </w:p>
    <w:p>
      <w:pPr>
        <w:pStyle w:val="Heading1"/>
      </w:pPr>
      <w:r>
        <w:t>6 Deliverables and a proportionate request to Spiral</w:t>
      </w:r>
    </w:p>
    <w:p>
      <w:pPr>
        <w:keepLines w:val="0"/>
        <w:widowControl/>
      </w:pPr>
      <w:r>
        <w:t>The first deliverable is the discovery record and a go or stop decision. If demand survives, the next deliverable is one adapter with an order schema, protected inventory policy, durable recovery, conformance tests, fault fixtures and a sanitized measurement schema. Reuse existing projects and libraries. A source and security review should size the implementation before hours or funding are committed.</w:t>
      </w:r>
    </w:p>
    <w:p>
      <w:pPr>
        <w:keepLines w:val="0"/>
        <w:widowControl/>
      </w:pPr>
      <w:r>
        <w:t xml:space="preserve">I would ask Spiral for critique of the payments hypothesis and outcome definitions, and, if the use case is useful, introductions to a Lightning integration reviewer or measurement collaborator. No token endorsement, partnership, grant, operator role or maintainer commitment is implied. The first discussion should be a focused experiment proposal; it has not earned a claim to be a solution to bitcoin adoption. </w:t>
      </w:r>
      <w:hyperlink r:id="rId37">
        <w:r>
          <w:rPr>
            <w:color w:val="1F4E79"/>
            <w:u w:val="single"/>
          </w:rPr>
          <w:t>[2]</w:t>
        </w:r>
      </w:hyperlink>
      <w:r>
        <w:t xml:space="preserve"> </w:t>
      </w:r>
      <w:hyperlink r:id="rId38">
        <w:r>
          <w:rPr>
            <w:color w:val="1F4E79"/>
            <w:u w:val="single"/>
          </w:rPr>
          <w:t>[3]</w:t>
        </w:r>
      </w:hyperlink>
    </w:p>
    <w:p>
      <w:pPr>
        <w:keepLines w:val="0"/>
        <w:widowControl/>
      </w:pPr>
      <w:r>
        <w:t>Regardless of the commercial result, the useful public output would be a source pinned account of paid service recovery, delivery failures, costs and customer choices. Publish negative findings as well as successful payments. Keep real identity, raw user records, private paths and account linkage out of the release. This remains an unsubmitted draft by edgepillar.</w:t>
      </w:r>
    </w:p>
    <w:p>
      <w:r>
        <w:br w:type="page"/>
      </w:r>
    </w:p>
    <w:p>
      <w:pPr>
        <w:pStyle w:val="Heading1"/>
      </w:pPr>
      <w:r>
        <w:t>Appendix Recent ecosystem work and its relevance</w:t>
      </w:r>
    </w:p>
    <w:p>
      <w:pPr>
        <w:pStyle w:val="Caption"/>
        <w:keepLines w:val="0"/>
        <w:widowControl/>
      </w:pPr>
      <w:r>
        <w:t>The wider ecosystem was considered in choosing this small dependency set. The entries below preserve the distinction between source, release, reported operation and activation. They are not a new independent audit of every project. Broad development activity is useful context; it is not evidence of customer demand for BTC checkout.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930"/>
        <w:gridCol w:w="8237"/>
      </w:tblGrid>
      <w:tr>
        <w:trPr>
          <w:tblHeader/>
          <w:cantSplit/>
        </w:trPr>
        <w:tc>
          <w:tcPr>
            <w:tcW w:type="dxa" w:w="1930"/>
            <w:vAlign w:val="center"/>
            <w:shd w:fill="E8EDF2"/>
          </w:tcPr>
          <w:p>
            <w:pPr>
              <w:spacing w:after="0" w:before="0" w:line="257" w:lineRule="auto"/>
            </w:pPr>
            <w:r>
              <w:rPr>
                <w:b/>
                <w:sz w:val="20"/>
              </w:rPr>
              <w:t>Work considered</w:t>
            </w:r>
          </w:p>
        </w:tc>
        <w:tc>
          <w:tcPr>
            <w:tcW w:type="dxa" w:w="8237"/>
            <w:vAlign w:val="center"/>
            <w:shd w:fill="E8EDF2"/>
          </w:tcPr>
          <w:p>
            <w:pPr>
              <w:spacing w:after="0" w:before="0" w:line="257" w:lineRule="auto"/>
            </w:pPr>
            <w:r>
              <w:rPr>
                <w:b/>
                <w:sz w:val="20"/>
              </w:rPr>
              <w:t>Implication for this proposal</w:t>
            </w:r>
          </w:p>
        </w:tc>
      </w:tr>
      <w:tr>
        <w:trPr>
          <w:cantSplit/>
        </w:trPr>
        <w:tc>
          <w:tcPr>
            <w:tcW w:type="dxa" w:w="1930"/>
            <w:vAlign w:val="center"/>
          </w:tcPr>
          <w:p>
            <w:pPr>
              <w:spacing w:after="0" w:before="0" w:line="257" w:lineRule="auto"/>
            </w:pPr>
            <w:r>
              <w:rPr>
                <w:sz w:val="20"/>
              </w:rPr>
              <w:t>Core and activation</w:t>
            </w:r>
          </w:p>
        </w:tc>
        <w:tc>
          <w:tcPr>
            <w:tcW w:type="dxa" w:w="8237"/>
            <w:vAlign w:val="center"/>
          </w:tcPr>
          <w:p>
            <w:pPr>
              <w:spacing w:after="0" w:before="0" w:line="257" w:lineRule="auto"/>
            </w:pPr>
            <w:r>
              <w:rPr>
                <w:sz w:val="20"/>
              </w:rPr>
              <w:t xml:space="preserve">Release v0.0.9, Dynamic Plasma, libp2p spork definitions and community renewal are separate release and activation questions. The current product can be designed around qualified existing fusion rules. </w:t>
            </w:r>
            <w:hyperlink r:id="rId29">
              <w:r>
                <w:rPr>
                  <w:color w:val="1F4E79"/>
                  <w:u w:val="single"/>
                </w:rPr>
                <w:t>[18]</w:t>
              </w:r>
            </w:hyperlink>
            <w:r>
              <w:rPr>
                <w:sz w:val="20"/>
              </w:rPr>
              <w:t xml:space="preserve"> </w:t>
            </w:r>
            <w:hyperlink r:id="rId30">
              <w:r>
                <w:rPr>
                  <w:color w:val="1F4E79"/>
                  <w:u w:val="single"/>
                </w:rPr>
                <w:t>[19]</w:t>
              </w:r>
            </w:hyperlink>
            <w:r>
              <w:rPr>
                <w:sz w:val="20"/>
              </w:rPr>
              <w:t xml:space="preserve"> </w:t>
            </w:r>
            <w:hyperlink r:id="rId39">
              <w:r>
                <w:rPr>
                  <w:color w:val="1F4E79"/>
                  <w:u w:val="single"/>
                </w:rPr>
                <w:t>[20]</w:t>
              </w:r>
            </w:hyperlink>
            <w:r>
              <w:rPr>
                <w:sz w:val="20"/>
              </w:rPr>
              <w:t xml:space="preserve"> </w:t>
            </w:r>
            <w:hyperlink r:id="rId40">
              <w:r>
                <w:rPr>
                  <w:color w:val="1F4E79"/>
                  <w:u w:val="single"/>
                </w:rPr>
                <w:t>[21]</w:t>
              </w:r>
            </w:hyperlink>
          </w:p>
        </w:tc>
      </w:tr>
      <w:tr>
        <w:trPr>
          <w:cantSplit/>
        </w:trPr>
        <w:tc>
          <w:tcPr>
            <w:tcW w:type="dxa" w:w="1930"/>
            <w:vAlign w:val="center"/>
          </w:tcPr>
          <w:p>
            <w:pPr>
              <w:spacing w:after="0" w:before="0" w:line="257" w:lineRule="auto"/>
            </w:pPr>
            <w:r>
              <w:rPr>
                <w:sz w:val="20"/>
              </w:rPr>
              <w:t>Recent integrity fixes</w:t>
            </w:r>
          </w:p>
        </w:tc>
        <w:tc>
          <w:tcPr>
            <w:tcW w:type="dxa" w:w="8237"/>
            <w:vAlign w:val="center"/>
          </w:tcPr>
          <w:p>
            <w:pPr>
              <w:spacing w:after="0" w:before="0" w:line="257" w:lineRule="auto"/>
            </w:pPr>
            <w:r>
              <w:rPr>
                <w:sz w:val="20"/>
              </w:rPr>
              <w:t xml:space="preserve">Receive recipient integrity and Pillar Update repricing improve specific paths. Respect non mainnet versus historical scope and do not reuse operator replacement policy for uncertain customer payments. </w:t>
            </w:r>
            <w:hyperlink r:id="rId41">
              <w:r>
                <w:rPr>
                  <w:color w:val="1F4E79"/>
                  <w:u w:val="single"/>
                </w:rPr>
                <w:t>[22]</w:t>
              </w:r>
            </w:hyperlink>
            <w:r>
              <w:rPr>
                <w:sz w:val="20"/>
              </w:rPr>
              <w:t xml:space="preserve"> </w:t>
            </w:r>
            <w:hyperlink r:id="rId42">
              <w:r>
                <w:rPr>
                  <w:color w:val="1F4E79"/>
                  <w:u w:val="single"/>
                </w:rPr>
                <w:t>[23]</w:t>
              </w:r>
            </w:hyperlink>
          </w:p>
        </w:tc>
      </w:tr>
      <w:tr>
        <w:trPr>
          <w:cantSplit/>
        </w:trPr>
        <w:tc>
          <w:tcPr>
            <w:tcW w:type="dxa" w:w="1930"/>
            <w:vAlign w:val="center"/>
          </w:tcPr>
          <w:p>
            <w:pPr>
              <w:spacing w:after="0" w:before="0" w:line="257" w:lineRule="auto"/>
            </w:pPr>
            <w:r>
              <w:rPr>
                <w:sz w:val="20"/>
              </w:rPr>
              <w:t>HTLC and PTLC</w:t>
            </w:r>
          </w:p>
        </w:tc>
        <w:tc>
          <w:tcPr>
            <w:tcW w:type="dxa" w:w="8237"/>
            <w:vAlign w:val="center"/>
          </w:tcPr>
          <w:p>
            <w:pPr>
              <w:spacing w:after="0" w:before="0" w:line="257" w:lineRule="auto"/>
            </w:pPr>
            <w:r>
              <w:rPr>
                <w:sz w:val="20"/>
              </w:rPr>
              <w:t xml:space="preserve">PTLC merged into dev; Ferry has an HTLC client and a developer reported swap. Tooling and recovery research exist. These address later asset exchange, not guaranteed service delivery or this initial BTC checkout. </w:t>
            </w:r>
            <w:hyperlink r:id="rId35">
              <w:r>
                <w:rPr>
                  <w:color w:val="1F4E79"/>
                  <w:u w:val="single"/>
                </w:rPr>
                <w:t>[24]</w:t>
              </w:r>
            </w:hyperlink>
            <w:r>
              <w:rPr>
                <w:sz w:val="20"/>
              </w:rPr>
              <w:t xml:space="preserve"> </w:t>
            </w:r>
            <w:hyperlink r:id="rId43">
              <w:r>
                <w:rPr>
                  <w:color w:val="1F4E79"/>
                  <w:u w:val="single"/>
                </w:rPr>
                <w:t>[25]</w:t>
              </w:r>
            </w:hyperlink>
            <w:r>
              <w:rPr>
                <w:sz w:val="20"/>
              </w:rPr>
              <w:t xml:space="preserve"> </w:t>
            </w:r>
            <w:hyperlink r:id="rId44">
              <w:r>
                <w:rPr>
                  <w:color w:val="1F4E79"/>
                  <w:u w:val="single"/>
                </w:rPr>
                <w:t>[26]</w:t>
              </w:r>
            </w:hyperlink>
            <w:r>
              <w:rPr>
                <w:sz w:val="20"/>
              </w:rPr>
              <w:t xml:space="preserve"> </w:t>
            </w:r>
            <w:hyperlink r:id="rId45">
              <w:r>
                <w:rPr>
                  <w:color w:val="1F4E79"/>
                  <w:u w:val="single"/>
                </w:rPr>
                <w:t>[27]</w:t>
              </w:r>
            </w:hyperlink>
            <w:r>
              <w:rPr>
                <w:sz w:val="20"/>
              </w:rPr>
              <w:t xml:space="preserve"> </w:t>
            </w:r>
            <w:hyperlink r:id="rId46">
              <w:r>
                <w:rPr>
                  <w:color w:val="1F4E79"/>
                  <w:u w:val="single"/>
                </w:rPr>
                <w:t>[28]</w:t>
              </w:r>
            </w:hyperlink>
          </w:p>
        </w:tc>
      </w:tr>
      <w:tr>
        <w:trPr>
          <w:cantSplit/>
        </w:trPr>
        <w:tc>
          <w:tcPr>
            <w:tcW w:type="dxa" w:w="1930"/>
            <w:vAlign w:val="center"/>
          </w:tcPr>
          <w:p>
            <w:pPr>
              <w:spacing w:after="0" w:before="0" w:line="257" w:lineRule="auto"/>
            </w:pPr>
            <w:r>
              <w:rPr>
                <w:sz w:val="20"/>
              </w:rPr>
              <w:t>Light verification</w:t>
            </w:r>
          </w:p>
        </w:tc>
        <w:tc>
          <w:tcPr>
            <w:tcW w:type="dxa" w:w="8237"/>
            <w:vAlign w:val="center"/>
          </w:tcPr>
          <w:p>
            <w:pPr>
              <w:spacing w:after="0" w:before="0" w:line="257" w:lineRule="auto"/>
            </w:pPr>
            <w:r>
              <w:rPr>
                <w:sz w:val="20"/>
              </w:rPr>
              <w:t xml:space="preserve">SPV has bounded guarantees; ChangesHash is not a state root. Candidate v3 StateRoot and preparation work require their own acceptance. Keep explicit operator trust for the first delivery observations. </w:t>
            </w:r>
            <w:hyperlink r:id="rId25">
              <w:r>
                <w:rPr>
                  <w:color w:val="1F4E79"/>
                  <w:u w:val="single"/>
                </w:rPr>
                <w:t>[29]</w:t>
              </w:r>
            </w:hyperlink>
            <w:r>
              <w:rPr>
                <w:sz w:val="20"/>
              </w:rPr>
              <w:t xml:space="preserve"> </w:t>
            </w:r>
            <w:hyperlink r:id="rId47">
              <w:r>
                <w:rPr>
                  <w:color w:val="1F4E79"/>
                  <w:u w:val="single"/>
                </w:rPr>
                <w:t>[30]</w:t>
              </w:r>
            </w:hyperlink>
            <w:r>
              <w:rPr>
                <w:sz w:val="20"/>
              </w:rPr>
              <w:t xml:space="preserve"> </w:t>
            </w:r>
            <w:hyperlink r:id="rId34">
              <w:r>
                <w:rPr>
                  <w:color w:val="1F4E79"/>
                  <w:u w:val="single"/>
                </w:rPr>
                <w:t>[31]</w:t>
              </w:r>
            </w:hyperlink>
            <w:r>
              <w:rPr>
                <w:sz w:val="20"/>
              </w:rPr>
              <w:t xml:space="preserve"> </w:t>
            </w:r>
            <w:hyperlink r:id="rId48">
              <w:r>
                <w:rPr>
                  <w:color w:val="1F4E79"/>
                  <w:u w:val="single"/>
                </w:rPr>
                <w:t>[32]</w:t>
              </w:r>
            </w:hyperlink>
          </w:p>
        </w:tc>
      </w:tr>
      <w:tr>
        <w:trPr>
          <w:cantSplit/>
        </w:trPr>
        <w:tc>
          <w:tcPr>
            <w:tcW w:type="dxa" w:w="1930"/>
            <w:vAlign w:val="center"/>
          </w:tcPr>
          <w:p>
            <w:pPr>
              <w:spacing w:after="0" w:before="0" w:line="257" w:lineRule="auto"/>
            </w:pPr>
            <w:r>
              <w:rPr>
                <w:sz w:val="20"/>
              </w:rPr>
              <w:t>Wallets and specifications</w:t>
            </w:r>
          </w:p>
        </w:tc>
        <w:tc>
          <w:tcPr>
            <w:tcW w:type="dxa" w:w="8237"/>
            <w:vAlign w:val="center"/>
          </w:tcPr>
          <w:p>
            <w:pPr>
              <w:spacing w:after="0" w:before="0" w:line="257" w:lineRule="auto"/>
            </w:pPr>
            <w:r>
              <w:rPr>
                <w:sz w:val="20"/>
              </w:rPr>
              <w:t xml:space="preserve">Syrius Extension v0.3.7, its integration contract, SDK and language neutral vectors help client integration. Native x402 remains a separate research path with an unclosed pending qualification. </w:t>
            </w:r>
            <w:hyperlink r:id="rId49">
              <w:r>
                <w:rPr>
                  <w:color w:val="1F4E79"/>
                  <w:u w:val="single"/>
                </w:rPr>
                <w:t>[35]</w:t>
              </w:r>
            </w:hyperlink>
            <w:r>
              <w:rPr>
                <w:sz w:val="20"/>
              </w:rPr>
              <w:t xml:space="preserve"> </w:t>
            </w:r>
            <w:hyperlink r:id="rId26">
              <w:r>
                <w:rPr>
                  <w:color w:val="1F4E79"/>
                  <w:u w:val="single"/>
                </w:rPr>
                <w:t>[36]</w:t>
              </w:r>
            </w:hyperlink>
            <w:r>
              <w:rPr>
                <w:sz w:val="20"/>
              </w:rPr>
              <w:t xml:space="preserve"> </w:t>
            </w:r>
            <w:hyperlink r:id="rId31">
              <w:r>
                <w:rPr>
                  <w:color w:val="1F4E79"/>
                  <w:u w:val="single"/>
                </w:rPr>
                <w:t>[37]</w:t>
              </w:r>
            </w:hyperlink>
            <w:r>
              <w:rPr>
                <w:sz w:val="20"/>
              </w:rPr>
              <w:t xml:space="preserve"> </w:t>
            </w:r>
            <w:hyperlink r:id="rId50">
              <w:r>
                <w:rPr>
                  <w:color w:val="1F4E79"/>
                  <w:u w:val="single"/>
                </w:rPr>
                <w:t>[38]</w:t>
              </w:r>
            </w:hyperlink>
            <w:r>
              <w:rPr>
                <w:sz w:val="20"/>
              </w:rPr>
              <w:t xml:space="preserve"> </w:t>
            </w:r>
            <w:hyperlink r:id="rId33">
              <w:r>
                <w:rPr>
                  <w:color w:val="1F4E79"/>
                  <w:u w:val="single"/>
                </w:rPr>
                <w:t>[34]</w:t>
              </w:r>
            </w:hyperlink>
          </w:p>
        </w:tc>
      </w:tr>
      <w:tr>
        <w:trPr>
          <w:cantSplit/>
        </w:trPr>
        <w:tc>
          <w:tcPr>
            <w:tcW w:type="dxa" w:w="1930"/>
            <w:vAlign w:val="center"/>
          </w:tcPr>
          <w:p>
            <w:pPr>
              <w:spacing w:after="0" w:before="0" w:line="257" w:lineRule="auto"/>
            </w:pPr>
            <w:r>
              <w:rPr>
                <w:sz w:val="20"/>
              </w:rPr>
              <w:t>ZVM and applications</w:t>
            </w:r>
          </w:p>
        </w:tc>
        <w:tc>
          <w:tcPr>
            <w:tcW w:type="dxa" w:w="8237"/>
            <w:vAlign w:val="center"/>
          </w:tcPr>
          <w:p>
            <w:pPr>
              <w:spacing w:after="0" w:before="0" w:line="257" w:lineRule="auto"/>
            </w:pPr>
            <w:r>
              <w:rPr>
                <w:sz w:val="20"/>
              </w:rPr>
              <w:t xml:space="preserve">The multi repository NoM derived EVM, app family and fleet provide later application and measurement options. Committee custody and future peg out work are material limits. A fusion checkout needs no new ZVM escrow or BTC representation. </w:t>
            </w:r>
            <w:hyperlink r:id="rId36">
              <w:r>
                <w:rPr>
                  <w:color w:val="1F4E79"/>
                  <w:u w:val="single"/>
                </w:rPr>
                <w:t>[39]</w:t>
              </w:r>
            </w:hyperlink>
            <w:r>
              <w:rPr>
                <w:sz w:val="20"/>
              </w:rPr>
              <w:t xml:space="preserve"> </w:t>
            </w:r>
            <w:hyperlink r:id="rId51">
              <w:r>
                <w:rPr>
                  <w:color w:val="1F4E79"/>
                  <w:u w:val="single"/>
                </w:rPr>
                <w:t>[40]</w:t>
              </w:r>
            </w:hyperlink>
            <w:r>
              <w:rPr>
                <w:sz w:val="20"/>
              </w:rPr>
              <w:t xml:space="preserve"> </w:t>
            </w:r>
            <w:hyperlink r:id="rId52">
              <w:r>
                <w:rPr>
                  <w:color w:val="1F4E79"/>
                  <w:u w:val="single"/>
                </w:rPr>
                <w:t>[41]</w:t>
              </w:r>
            </w:hyperlink>
            <w:r>
              <w:rPr>
                <w:sz w:val="20"/>
              </w:rPr>
              <w:t xml:space="preserve"> </w:t>
            </w:r>
            <w:hyperlink r:id="rId53">
              <w:r>
                <w:rPr>
                  <w:color w:val="1F4E79"/>
                  <w:u w:val="single"/>
                </w:rPr>
                <w:t>[42]</w:t>
              </w:r>
            </w:hyperlink>
          </w:p>
        </w:tc>
      </w:tr>
      <w:tr>
        <w:trPr>
          <w:cantSplit/>
        </w:trPr>
        <w:tc>
          <w:tcPr>
            <w:tcW w:type="dxa" w:w="1930"/>
            <w:vAlign w:val="center"/>
          </w:tcPr>
          <w:p>
            <w:pPr>
              <w:spacing w:after="0" w:before="0" w:line="257" w:lineRule="auto"/>
            </w:pPr>
            <w:r>
              <w:rPr>
                <w:sz w:val="20"/>
              </w:rPr>
              <w:t>Governance and research</w:t>
            </w:r>
          </w:p>
        </w:tc>
        <w:tc>
          <w:tcPr>
            <w:tcW w:type="dxa" w:w="8237"/>
            <w:vAlign w:val="center"/>
          </w:tcPr>
          <w:p>
            <w:pPr>
              <w:spacing w:after="0" w:before="0" w:line="257" w:lineRule="auto"/>
            </w:pPr>
            <w:r>
              <w:rPr>
                <w:sz w:val="20"/>
              </w:rPr>
              <w:t xml:space="preserve">Mutable multisig, the governance ZIP and Portal design are distinct drafts or research. They add no assumed approval or implemented guarantee to this experiment. </w:t>
            </w:r>
            <w:hyperlink r:id="rId54">
              <w:r>
                <w:rPr>
                  <w:color w:val="1F4E79"/>
                  <w:u w:val="single"/>
                </w:rPr>
                <w:t>[43]</w:t>
              </w:r>
            </w:hyperlink>
            <w:r>
              <w:rPr>
                <w:sz w:val="20"/>
              </w:rPr>
              <w:t xml:space="preserve"> </w:t>
            </w:r>
            <w:hyperlink r:id="rId55">
              <w:r>
                <w:rPr>
                  <w:color w:val="1F4E79"/>
                  <w:u w:val="single"/>
                </w:rPr>
                <w:t>[44]</w:t>
              </w:r>
            </w:hyperlink>
            <w:r>
              <w:rPr>
                <w:sz w:val="20"/>
              </w:rPr>
              <w:t xml:space="preserve"> </w:t>
            </w:r>
            <w:hyperlink r:id="rId56">
              <w:r>
                <w:rPr>
                  <w:color w:val="1F4E79"/>
                  <w:u w:val="single"/>
                </w:rPr>
                <w:t>[49]</w:t>
              </w:r>
            </w:hyperlink>
          </w:p>
        </w:tc>
      </w:tr>
      <w:tr>
        <w:trPr>
          <w:cantSplit/>
        </w:trPr>
        <w:tc>
          <w:tcPr>
            <w:tcW w:type="dxa" w:w="1930"/>
            <w:vAlign w:val="center"/>
          </w:tcPr>
          <w:p>
            <w:pPr>
              <w:spacing w:after="0" w:before="0" w:line="257" w:lineRule="auto"/>
            </w:pPr>
            <w:r>
              <w:rPr>
                <w:sz w:val="20"/>
              </w:rPr>
              <w:t>Operations and bridges</w:t>
            </w:r>
          </w:p>
        </w:tc>
        <w:tc>
          <w:tcPr>
            <w:tcW w:type="dxa" w:w="8237"/>
            <w:vAlign w:val="center"/>
          </w:tcPr>
          <w:p>
            <w:pPr>
              <w:spacing w:after="0" w:before="0" w:line="257" w:lineRule="auto"/>
            </w:pPr>
            <w:r>
              <w:rPr>
                <w:sz w:val="20"/>
              </w:rPr>
              <w:t xml:space="preserve">nomctl, the bridge frontend, orchestrator and Loupe can inform operations and wallet work. Repository activity alone does not establish current bridge health or an operator commitment. </w:t>
            </w:r>
            <w:hyperlink r:id="rId57">
              <w:r>
                <w:rPr>
                  <w:color w:val="1F4E79"/>
                  <w:u w:val="single"/>
                </w:rPr>
                <w:t>[45]</w:t>
              </w:r>
            </w:hyperlink>
            <w:r>
              <w:rPr>
                <w:sz w:val="20"/>
              </w:rPr>
              <w:t xml:space="preserve"> </w:t>
            </w:r>
            <w:hyperlink r:id="rId58">
              <w:r>
                <w:rPr>
                  <w:color w:val="1F4E79"/>
                  <w:u w:val="single"/>
                </w:rPr>
                <w:t>[46]</w:t>
              </w:r>
            </w:hyperlink>
            <w:r>
              <w:rPr>
                <w:sz w:val="20"/>
              </w:rPr>
              <w:t xml:space="preserve"> </w:t>
            </w:r>
            <w:hyperlink r:id="rId59">
              <w:r>
                <w:rPr>
                  <w:color w:val="1F4E79"/>
                  <w:u w:val="single"/>
                </w:rPr>
                <w:t>[47]</w:t>
              </w:r>
            </w:hyperlink>
            <w:r>
              <w:rPr>
                <w:sz w:val="20"/>
              </w:rPr>
              <w:t xml:space="preserve"> </w:t>
            </w:r>
            <w:hyperlink r:id="rId60">
              <w:r>
                <w:rPr>
                  <w:color w:val="1F4E79"/>
                  <w:u w:val="single"/>
                </w:rPr>
                <w:t>[48]</w:t>
              </w:r>
            </w:hyperlink>
          </w:p>
        </w:tc>
      </w:tr>
      <w:tr>
        <w:trPr>
          <w:cantSplit/>
        </w:trPr>
        <w:tc>
          <w:tcPr>
            <w:tcW w:type="dxa" w:w="1930"/>
            <w:vAlign w:val="center"/>
          </w:tcPr>
          <w:p>
            <w:pPr>
              <w:spacing w:after="0" w:before="0" w:line="257" w:lineRule="auto"/>
            </w:pPr>
            <w:r>
              <w:rPr>
                <w:sz w:val="20"/>
              </w:rPr>
              <w:t>Other wallet lineages</w:t>
            </w:r>
          </w:p>
        </w:tc>
        <w:tc>
          <w:tcPr>
            <w:tcW w:type="dxa" w:w="8237"/>
            <w:vAlign w:val="center"/>
          </w:tcPr>
          <w:p>
            <w:pPr>
              <w:spacing w:after="0" w:before="0" w:line="257" w:lineRule="auto"/>
            </w:pPr>
            <w:r>
              <w:rPr>
                <w:sz w:val="20"/>
              </w:rPr>
              <w:t xml:space="preserve">nom webwallet, official Syrius, community forks and redesign work remain separate integration and release targets. Core specification baselines also need matching to the actual selected node. </w:t>
            </w:r>
            <w:hyperlink r:id="rId61">
              <w:r>
                <w:rPr>
                  <w:color w:val="1F4E79"/>
                  <w:u w:val="single"/>
                </w:rPr>
                <w:t>[51]</w:t>
              </w:r>
            </w:hyperlink>
            <w:r>
              <w:rPr>
                <w:sz w:val="20"/>
              </w:rPr>
              <w:t xml:space="preserve"> </w:t>
            </w:r>
            <w:hyperlink r:id="rId62">
              <w:r>
                <w:rPr>
                  <w:color w:val="1F4E79"/>
                  <w:u w:val="single"/>
                </w:rPr>
                <w:t>[52]</w:t>
              </w:r>
            </w:hyperlink>
            <w:r>
              <w:rPr>
                <w:sz w:val="20"/>
              </w:rPr>
              <w:t xml:space="preserve"> </w:t>
            </w:r>
            <w:hyperlink r:id="rId63">
              <w:r>
                <w:rPr>
                  <w:color w:val="1F4E79"/>
                  <w:u w:val="single"/>
                </w:rPr>
                <w:t>[53]</w:t>
              </w:r>
            </w:hyperlink>
            <w:r>
              <w:rPr>
                <w:sz w:val="20"/>
              </w:rPr>
              <w:t xml:space="preserve"> </w:t>
            </w:r>
            <w:hyperlink r:id="rId64">
              <w:r>
                <w:rPr>
                  <w:color w:val="1F4E79"/>
                  <w:u w:val="single"/>
                </w:rPr>
                <w:t>[54]</w:t>
              </w:r>
            </w:hyperlink>
            <w:r>
              <w:rPr>
                <w:sz w:val="20"/>
              </w:rPr>
              <w:t xml:space="preserve"> </w:t>
            </w:r>
            <w:hyperlink r:id="rId65">
              <w:r>
                <w:rPr>
                  <w:color w:val="1F4E79"/>
                  <w:u w:val="single"/>
                </w:rPr>
                <w:t>[50]</w:t>
              </w:r>
            </w:hyperlink>
          </w:p>
        </w:tc>
      </w:tr>
      <w:tr>
        <w:trPr>
          <w:cantSplit/>
        </w:trPr>
        <w:tc>
          <w:tcPr>
            <w:tcW w:type="dxa" w:w="1930"/>
            <w:vAlign w:val="center"/>
          </w:tcPr>
          <w:p>
            <w:pPr>
              <w:spacing w:after="0" w:before="0" w:line="257" w:lineRule="auto"/>
            </w:pPr>
            <w:r>
              <w:rPr>
                <w:sz w:val="20"/>
              </w:rPr>
              <w:t>Onboarding and incentives</w:t>
            </w:r>
          </w:p>
        </w:tc>
        <w:tc>
          <w:tcPr>
            <w:tcW w:type="dxa" w:w="8237"/>
            <w:vAlign w:val="center"/>
          </w:tcPr>
          <w:p>
            <w:pPr>
              <w:spacing w:after="0" w:before="0" w:line="257" w:lineRule="auto"/>
            </w:pPr>
            <w:r>
              <w:rPr>
                <w:sz w:val="20"/>
              </w:rPr>
              <w:t xml:space="preserve">Faucet and airdrop tooling belong in the alternative and incentive inventory. Their activity cannot count as unsubsidized bitcoin demand. Existing Plasma Bot free access is the direct commercial counterfactual. </w:t>
            </w:r>
            <w:hyperlink r:id="rId66">
              <w:r>
                <w:rPr>
                  <w:color w:val="1F4E79"/>
                  <w:u w:val="single"/>
                </w:rPr>
                <w:t>[55]</w:t>
              </w:r>
            </w:hyperlink>
            <w:r>
              <w:rPr>
                <w:sz w:val="20"/>
              </w:rPr>
              <w:t xml:space="preserve"> </w:t>
            </w:r>
            <w:hyperlink r:id="rId67">
              <w:r>
                <w:rPr>
                  <w:color w:val="1F4E79"/>
                  <w:u w:val="single"/>
                </w:rPr>
                <w:t>[56]</w:t>
              </w:r>
            </w:hyperlink>
            <w:r>
              <w:rPr>
                <w:sz w:val="20"/>
              </w:rPr>
              <w:t xml:space="preserve"> </w:t>
            </w:r>
            <w:hyperlink r:id="rId13">
              <w:r>
                <w:rPr>
                  <w:color w:val="1F4E79"/>
                  <w:u w:val="single"/>
                </w:rPr>
                <w:t>[5]</w:t>
              </w:r>
            </w:hyperlink>
          </w:p>
        </w:tc>
      </w:tr>
    </w:tbl>
    <w:p>
      <w:pPr>
        <w:spacing w:after="0"/>
      </w:pPr>
    </w:p>
    <w:p>
      <w:pPr>
        <w:pStyle w:val="Heading1"/>
      </w:pPr>
      <w:r>
        <w:t>Source register</w:t>
      </w:r>
    </w:p>
    <w:p>
      <w:pPr>
        <w:pStyle w:val="Caption"/>
        <w:keepLines w:val="0"/>
        <w:widowControl/>
      </w:pPr>
      <w:r>
        <w:t>Public primary sources reviewed through 28 October 2026. The report and qualification outcome have pinned revisions; release links identify released artifacts. Mutable repository references remain dated observations and must be replaced with exact commit, dependency and binary pins before implementation or qualification. Architecture and numeric filters above are proposals, not reported outcomes.</w:t>
      </w:r>
    </w:p>
    <w:p>
      <w:pPr>
        <w:keepNext/>
        <w:spacing w:before="80" w:after="40"/>
      </w:pPr>
      <w:r>
        <w:rPr>
          <w:b/>
          <w:sz w:val="20"/>
        </w:rPr>
        <w:t xml:space="preserve">[1] </w:t>
      </w:r>
      <w:hyperlink r:id="rId11">
        <w:r>
          <w:rPr>
            <w:color w:val="1F4E79"/>
            <w:u w:val="single"/>
            <w:sz w:val="20"/>
          </w:rPr>
          <w:t>Spiral report on bitcoin payments</w:t>
        </w:r>
      </w:hyperlink>
    </w:p>
    <w:p>
      <w:pPr>
        <w:spacing w:after="80" w:line="250" w:lineRule="auto"/>
      </w:pPr>
      <w:r>
        <w:rPr>
          <w:sz w:val="18"/>
        </w:rPr>
        <w:t>Pinned report; motivation and scope, not evidence that this experiment will succeed.</w:t>
      </w:r>
    </w:p>
    <w:p>
      <w:pPr>
        <w:keepNext/>
        <w:spacing w:before="80" w:after="40"/>
      </w:pPr>
      <w:r>
        <w:rPr>
          <w:b/>
          <w:sz w:val="20"/>
        </w:rPr>
        <w:t xml:space="preserve">[2] </w:t>
      </w:r>
      <w:hyperlink r:id="rId37">
        <w:r>
          <w:rPr>
            <w:color w:val="1F4E79"/>
            <w:u w:val="single"/>
            <w:sz w:val="20"/>
          </w:rPr>
          <w:t>Spiral contribution guidance and moonshot template</w:t>
        </w:r>
      </w:hyperlink>
    </w:p>
    <w:p>
      <w:pPr>
        <w:spacing w:after="80" w:line="250" w:lineRule="auto"/>
      </w:pPr>
      <w:r>
        <w:rPr>
          <w:sz w:val="18"/>
        </w:rPr>
        <w:t>Pinned contribution guidance. The companion short draft follows the moonshot fields.</w:t>
      </w:r>
    </w:p>
    <w:p>
      <w:pPr>
        <w:keepNext/>
        <w:spacing w:before="80" w:after="40"/>
      </w:pPr>
      <w:r>
        <w:rPr>
          <w:b/>
          <w:sz w:val="20"/>
        </w:rPr>
        <w:t xml:space="preserve">[3] </w:t>
      </w:r>
      <w:hyperlink r:id="rId38">
        <w:r>
          <w:rPr>
            <w:color w:val="1F4E79"/>
            <w:u w:val="single"/>
            <w:sz w:val="20"/>
          </w:rPr>
          <w:t>Spiral moonshot issue fields</w:t>
        </w:r>
      </w:hyperlink>
    </w:p>
    <w:p>
      <w:pPr>
        <w:spacing w:after="80" w:line="250" w:lineRule="auto"/>
      </w:pPr>
      <w:r>
        <w:rPr>
          <w:sz w:val="18"/>
        </w:rPr>
        <w:t>Pinned template used to structure the companion submission draft.</w:t>
      </w:r>
    </w:p>
    <w:p>
      <w:pPr>
        <w:keepNext/>
        <w:spacing w:before="80" w:after="40"/>
      </w:pPr>
      <w:r>
        <w:rPr>
          <w:b/>
          <w:sz w:val="20"/>
        </w:rPr>
        <w:t xml:space="preserve">[4] </w:t>
      </w:r>
      <w:hyperlink r:id="rId12">
        <w:r>
          <w:rPr>
            <w:color w:val="1F4E79"/>
            <w:u w:val="single"/>
            <w:sz w:val="20"/>
          </w:rPr>
          <w:t>Plasma Bot implementation overview</w:t>
        </w:r>
      </w:hyperlink>
    </w:p>
    <w:p>
      <w:pPr>
        <w:spacing w:after="80" w:line="250" w:lineRule="auto"/>
      </w:pPr>
      <w:r>
        <w:rPr>
          <w:sz w:val="18"/>
        </w:rPr>
        <w:t>Existing provisioner and agent API; source documentation, not a deployment or commercial demand audit.</w:t>
      </w:r>
    </w:p>
    <w:p>
      <w:pPr>
        <w:keepNext/>
        <w:spacing w:before="80" w:after="40"/>
      </w:pPr>
      <w:r>
        <w:rPr>
          <w:b/>
          <w:sz w:val="20"/>
        </w:rPr>
        <w:t xml:space="preserve">[5] </w:t>
      </w:r>
      <w:hyperlink r:id="rId13">
        <w:r>
          <w:rPr>
            <w:color w:val="1F4E79"/>
            <w:u w:val="single"/>
            <w:sz w:val="20"/>
          </w:rPr>
          <w:t>Plasma Bot roadmap</w:t>
        </w:r>
      </w:hyperlink>
    </w:p>
    <w:p>
      <w:pPr>
        <w:spacing w:after="80" w:line="250" w:lineRule="auto"/>
      </w:pPr>
      <w:r>
        <w:rPr>
          <w:sz w:val="18"/>
        </w:rPr>
        <w:t>Current agent API; planned QSR or ZNN payments and MCP integration. BTC support is proposed here, not established.</w:t>
      </w:r>
    </w:p>
    <w:p>
      <w:pPr>
        <w:keepNext/>
        <w:spacing w:before="80" w:after="40"/>
      </w:pPr>
      <w:r>
        <w:rPr>
          <w:b/>
          <w:sz w:val="20"/>
        </w:rPr>
        <w:t xml:space="preserve">[6] </w:t>
      </w:r>
      <w:hyperlink r:id="rId14">
        <w:r>
          <w:rPr>
            <w:color w:val="1F4E79"/>
            <w:u w:val="single"/>
            <w:sz w:val="20"/>
          </w:rPr>
          <w:t>Fusion and cancellation implementation</w:t>
        </w:r>
      </w:hyperlink>
    </w:p>
    <w:p>
      <w:pPr>
        <w:spacing w:after="80" w:line="250" w:lineRule="auto"/>
      </w:pPr>
      <w:r>
        <w:rPr>
          <w:sz w:val="18"/>
        </w:rPr>
        <w:t>Release tag source. Owner, beneficiary and cancellation behavior; exact deployed rules remain an acceptance gate.</w:t>
      </w:r>
    </w:p>
    <w:p>
      <w:pPr>
        <w:keepNext/>
        <w:spacing w:before="80" w:after="40"/>
      </w:pPr>
      <w:r>
        <w:rPr>
          <w:b/>
          <w:sz w:val="20"/>
        </w:rPr>
        <w:t xml:space="preserve">[7] </w:t>
      </w:r>
      <w:hyperlink r:id="rId15">
        <w:r>
          <w:rPr>
            <w:color w:val="1F4E79"/>
            <w:u w:val="single"/>
            <w:sz w:val="20"/>
          </w:rPr>
          <w:t>Fusion entry definition</w:t>
        </w:r>
      </w:hyperlink>
    </w:p>
    <w:p>
      <w:pPr>
        <w:spacing w:after="80" w:line="250" w:lineRule="auto"/>
      </w:pPr>
      <w:r>
        <w:rPr>
          <w:sz w:val="18"/>
        </w:rPr>
        <w:t>Dated dev source for entry identity and beneficiary fields; not a deployed chain profile.</w:t>
      </w:r>
    </w:p>
    <w:p>
      <w:pPr>
        <w:keepNext/>
        <w:spacing w:before="80" w:after="40"/>
      </w:pPr>
      <w:r>
        <w:rPr>
          <w:b/>
          <w:sz w:val="20"/>
        </w:rPr>
        <w:t xml:space="preserve">[8] </w:t>
      </w:r>
      <w:hyperlink r:id="rId24">
        <w:r>
          <w:rPr>
            <w:color w:val="1F4E79"/>
            <w:u w:val="single"/>
            <w:sz w:val="20"/>
          </w:rPr>
          <w:t>Fusion and plasma RPC at the release tag</w:t>
        </w:r>
      </w:hyperlink>
    </w:p>
    <w:p>
      <w:pPr>
        <w:spacing w:after="80" w:line="250" w:lineRule="auto"/>
      </w:pPr>
      <w:r>
        <w:rPr>
          <w:sz w:val="18"/>
        </w:rPr>
        <w:t>Entries are listed by owner. Beneficiary plasma is an aggregate, not an order receipt.</w:t>
      </w:r>
    </w:p>
    <w:p>
      <w:pPr>
        <w:keepNext/>
        <w:spacing w:before="80" w:after="40"/>
      </w:pPr>
      <w:r>
        <w:rPr>
          <w:b/>
          <w:sz w:val="20"/>
        </w:rPr>
        <w:t xml:space="preserve">[9] </w:t>
      </w:r>
      <w:hyperlink r:id="rId23">
        <w:r>
          <w:rPr>
            <w:color w:val="1F4E79"/>
            <w:u w:val="single"/>
            <w:sz w:val="20"/>
          </w:rPr>
          <w:t>Fusion constants at the release tag</w:t>
        </w:r>
      </w:hyperlink>
    </w:p>
    <w:p>
      <w:pPr>
        <w:spacing w:after="80" w:line="250" w:lineRule="auto"/>
      </w:pPr>
      <w:r>
        <w:rPr>
          <w:sz w:val="18"/>
        </w:rPr>
        <w:t>Contains environment dependent values; do not infer a universal lease duration from this file alone.</w:t>
      </w:r>
    </w:p>
    <w:p>
      <w:pPr>
        <w:keepNext/>
        <w:spacing w:before="80" w:after="40"/>
      </w:pPr>
      <w:r>
        <w:rPr>
          <w:b/>
          <w:sz w:val="20"/>
        </w:rPr>
        <w:t xml:space="preserve">[10] </w:t>
      </w:r>
      <w:hyperlink r:id="rId16">
        <w:r>
          <w:rPr>
            <w:color w:val="1F4E79"/>
            <w:u w:val="single"/>
            <w:sz w:val="20"/>
          </w:rPr>
          <w:t>L402 protocol specification</w:t>
        </w:r>
      </w:hyperlink>
    </w:p>
    <w:p>
      <w:pPr>
        <w:spacing w:after="80" w:line="250" w:lineRule="auto"/>
      </w:pPr>
      <w:r>
        <w:rPr>
          <w:sz w:val="18"/>
        </w:rPr>
        <w:t>Existing protocol; a separate adapter and compatibility target.</w:t>
      </w:r>
    </w:p>
    <w:p>
      <w:pPr>
        <w:keepNext/>
        <w:spacing w:before="80" w:after="40"/>
      </w:pPr>
      <w:r>
        <w:rPr>
          <w:b/>
          <w:sz w:val="20"/>
        </w:rPr>
        <w:t xml:space="preserve">[11] </w:t>
      </w:r>
      <w:hyperlink r:id="rId17">
        <w:r>
          <w:rPr>
            <w:color w:val="1F4E79"/>
            <w:u w:val="single"/>
            <w:sz w:val="20"/>
          </w:rPr>
          <w:t>Aperture paid API proxy</w:t>
        </w:r>
      </w:hyperlink>
    </w:p>
    <w:p>
      <w:pPr>
        <w:spacing w:after="80" w:line="250" w:lineRule="auto"/>
      </w:pPr>
      <w:r>
        <w:rPr>
          <w:sz w:val="18"/>
        </w:rPr>
        <w:t>Existing service gateway and session or metered payment work; prior art for the baseline.</w:t>
      </w:r>
    </w:p>
    <w:p>
      <w:pPr>
        <w:keepNext/>
        <w:spacing w:before="80" w:after="40"/>
      </w:pPr>
      <w:r>
        <w:rPr>
          <w:b/>
          <w:sz w:val="20"/>
        </w:rPr>
        <w:t xml:space="preserve">[12] </w:t>
      </w:r>
      <w:hyperlink r:id="rId21">
        <w:r>
          <w:rPr>
            <w:color w:val="1F4E79"/>
            <w:u w:val="single"/>
            <w:sz w:val="20"/>
          </w:rPr>
          <w:t>x402 exact lnbtc specification</w:t>
        </w:r>
      </w:hyperlink>
    </w:p>
    <w:p>
      <w:pPr>
        <w:spacing w:after="80" w:line="250" w:lineRule="auto"/>
      </w:pPr>
      <w:r>
        <w:rPr>
          <w:sz w:val="18"/>
        </w:rPr>
        <w:t>Specification in main as reviewed on 28 October 2026; implementation coverage must be tested.</w:t>
      </w:r>
    </w:p>
    <w:p>
      <w:pPr>
        <w:keepNext/>
        <w:spacing w:before="80" w:after="40"/>
      </w:pPr>
      <w:r>
        <w:rPr>
          <w:b/>
          <w:sz w:val="20"/>
        </w:rPr>
        <w:t xml:space="preserve">[13] </w:t>
      </w:r>
      <w:hyperlink r:id="rId27">
        <w:r>
          <w:rPr>
            <w:color w:val="1F4E79"/>
            <w:u w:val="single"/>
            <w:sz w:val="20"/>
          </w:rPr>
          <w:t>LDK Node</w:t>
        </w:r>
      </w:hyperlink>
    </w:p>
    <w:p>
      <w:pPr>
        <w:spacing w:after="80" w:line="250" w:lineRule="auto"/>
      </w:pPr>
      <w:r>
        <w:rPr>
          <w:sz w:val="18"/>
        </w:rPr>
        <w:t>Existing Lightning integration building block; deployment suitability remains an operator decision.</w:t>
      </w:r>
    </w:p>
    <w:p>
      <w:pPr>
        <w:keepNext/>
        <w:spacing w:before="80" w:after="40"/>
      </w:pPr>
      <w:r>
        <w:rPr>
          <w:b/>
          <w:sz w:val="20"/>
        </w:rPr>
        <w:t xml:space="preserve">[14] </w:t>
      </w:r>
      <w:hyperlink r:id="rId28">
        <w:r>
          <w:rPr>
            <w:color w:val="1F4E79"/>
            <w:u w:val="single"/>
            <w:sz w:val="20"/>
          </w:rPr>
          <w:t>Bitcoin Development Kit</w:t>
        </w:r>
      </w:hyperlink>
    </w:p>
    <w:p>
      <w:pPr>
        <w:spacing w:after="80" w:line="250" w:lineRule="auto"/>
      </w:pPr>
      <w:r>
        <w:rPr>
          <w:sz w:val="18"/>
        </w:rPr>
        <w:t>Existing bitcoin wallet building block; no new wallet cryptography is proposed.</w:t>
      </w:r>
    </w:p>
    <w:p>
      <w:pPr>
        <w:keepNext/>
        <w:spacing w:before="80" w:after="40"/>
      </w:pPr>
      <w:r>
        <w:rPr>
          <w:b/>
          <w:sz w:val="20"/>
        </w:rPr>
        <w:t xml:space="preserve">[15] </w:t>
      </w:r>
      <w:hyperlink r:id="rId18">
        <w:r>
          <w:rPr>
            <w:color w:val="1F4E79"/>
            <w:u w:val="single"/>
            <w:sz w:val="20"/>
          </w:rPr>
          <w:t>LND AddHoldInvoice</w:t>
        </w:r>
      </w:hyperlink>
    </w:p>
    <w:p>
      <w:pPr>
        <w:spacing w:after="80" w:line="250" w:lineRule="auto"/>
      </w:pPr>
      <w:r>
        <w:rPr>
          <w:sz w:val="18"/>
        </w:rPr>
        <w:t>Existing conditional payment primitive; not a quality oracle or proof of cross chain atomicity.</w:t>
      </w:r>
    </w:p>
    <w:p>
      <w:pPr>
        <w:keepNext/>
        <w:spacing w:before="80" w:after="40"/>
      </w:pPr>
      <w:r>
        <w:rPr>
          <w:b/>
          <w:sz w:val="20"/>
        </w:rPr>
        <w:t xml:space="preserve">[16] </w:t>
      </w:r>
      <w:hyperlink r:id="rId19">
        <w:r>
          <w:rPr>
            <w:color w:val="1F4E79"/>
            <w:u w:val="single"/>
            <w:sz w:val="20"/>
          </w:rPr>
          <w:t>LND SettleInvoice</w:t>
        </w:r>
      </w:hyperlink>
    </w:p>
    <w:p>
      <w:pPr>
        <w:spacing w:after="80" w:line="250" w:lineRule="auto"/>
      </w:pPr>
      <w:r>
        <w:rPr>
          <w:sz w:val="18"/>
        </w:rPr>
        <w:t>Settles an accepted invoice. Its semantics differ from x402 proof consumption.</w:t>
      </w:r>
    </w:p>
    <w:p>
      <w:pPr>
        <w:keepNext/>
        <w:spacing w:before="80" w:after="40"/>
      </w:pPr>
      <w:r>
        <w:rPr>
          <w:b/>
          <w:sz w:val="20"/>
        </w:rPr>
        <w:t xml:space="preserve">[17] </w:t>
      </w:r>
      <w:hyperlink r:id="rId20">
        <w:r>
          <w:rPr>
            <w:color w:val="1F4E79"/>
            <w:u w:val="single"/>
            <w:sz w:val="20"/>
          </w:rPr>
          <w:t>LND CancelInvoice</w:t>
        </w:r>
      </w:hyperlink>
    </w:p>
    <w:p>
      <w:pPr>
        <w:spacing w:after="80" w:line="250" w:lineRule="auto"/>
      </w:pPr>
      <w:r>
        <w:rPr>
          <w:sz w:val="18"/>
        </w:rPr>
        <w:t>Canceling a settled invoice fails; cancellation is not a refund of a completed payment.</w:t>
      </w:r>
    </w:p>
    <w:p>
      <w:pPr>
        <w:keepNext/>
        <w:spacing w:before="80" w:after="40"/>
      </w:pPr>
      <w:r>
        <w:rPr>
          <w:b/>
          <w:sz w:val="20"/>
        </w:rPr>
        <w:t xml:space="preserve">[18] </w:t>
      </w:r>
      <w:hyperlink r:id="rId29">
        <w:r>
          <w:rPr>
            <w:color w:val="1F4E79"/>
            <w:u w:val="single"/>
            <w:sz w:val="20"/>
          </w:rPr>
          <w:t>go zenon v0.0.9 alphanet release</w:t>
        </w:r>
      </w:hyperlink>
    </w:p>
    <w:p>
      <w:pPr>
        <w:spacing w:after="80" w:line="250" w:lineRule="auto"/>
      </w:pPr>
      <w:r>
        <w:rPr>
          <w:sz w:val="18"/>
        </w:rPr>
        <w:t>Release dated 10 October 2026 at bb39e31; release existence does not prove activation.</w:t>
      </w:r>
    </w:p>
    <w:p>
      <w:pPr>
        <w:keepNext/>
        <w:spacing w:before="80" w:after="40"/>
      </w:pPr>
      <w:r>
        <w:rPr>
          <w:b/>
          <w:sz w:val="20"/>
        </w:rPr>
        <w:t xml:space="preserve">[19] </w:t>
      </w:r>
      <w:hyperlink r:id="rId30">
        <w:r>
          <w:rPr>
            <w:color w:val="1F4E79"/>
            <w:u w:val="single"/>
            <w:sz w:val="20"/>
          </w:rPr>
          <w:t>Current dev spork definitions</w:t>
        </w:r>
      </w:hyperlink>
    </w:p>
    <w:p>
      <w:pPr>
        <w:spacing w:after="80" w:line="250" w:lineRule="auto"/>
      </w:pPr>
      <w:r>
        <w:rPr>
          <w:sz w:val="18"/>
        </w:rPr>
        <w:t>Reviewed on 28 October 2026. Dynamic Plasma and libp2p identifiers are placeholders in this source.</w:t>
      </w:r>
    </w:p>
    <w:p>
      <w:pPr>
        <w:keepNext/>
        <w:spacing w:before="80" w:after="40"/>
      </w:pPr>
      <w:r>
        <w:rPr>
          <w:b/>
          <w:sz w:val="20"/>
        </w:rPr>
        <w:t xml:space="preserve">[20] </w:t>
      </w:r>
      <w:hyperlink r:id="rId39">
        <w:r>
          <w:rPr>
            <w:color w:val="1F4E79"/>
            <w:u w:val="single"/>
            <w:sz w:val="20"/>
          </w:rPr>
          <w:t>Dynamic Plasma PR 63</w:t>
        </w:r>
      </w:hyperlink>
    </w:p>
    <w:p>
      <w:pPr>
        <w:spacing w:after="80" w:line="250" w:lineRule="auto"/>
      </w:pPr>
      <w:r>
        <w:rPr>
          <w:sz w:val="18"/>
        </w:rPr>
        <w:t>Merged to dev; candidate resource pricing work, not an observed mainnet activation.</w:t>
      </w:r>
    </w:p>
    <w:p>
      <w:pPr>
        <w:keepNext/>
        <w:spacing w:before="80" w:after="40"/>
      </w:pPr>
      <w:r>
        <w:rPr>
          <w:b/>
          <w:sz w:val="20"/>
        </w:rPr>
        <w:t xml:space="preserve">[21] </w:t>
      </w:r>
      <w:hyperlink r:id="rId40">
        <w:r>
          <w:rPr>
            <w:color w:val="1F4E79"/>
            <w:u w:val="single"/>
            <w:sz w:val="20"/>
          </w:rPr>
          <w:t>Community spork renewal PR 101</w:t>
        </w:r>
      </w:hyperlink>
    </w:p>
    <w:p>
      <w:pPr>
        <w:spacing w:after="80" w:line="250" w:lineRule="auto"/>
      </w:pPr>
      <w:r>
        <w:rPr>
          <w:sz w:val="18"/>
        </w:rPr>
        <w:t>Merged protocol change; operators and actual chain enforcement remain separate checks.</w:t>
      </w:r>
    </w:p>
    <w:p>
      <w:pPr>
        <w:keepNext/>
        <w:spacing w:before="80" w:after="40"/>
      </w:pPr>
      <w:r>
        <w:rPr>
          <w:b/>
          <w:sz w:val="20"/>
        </w:rPr>
        <w:t xml:space="preserve">[22] </w:t>
      </w:r>
      <w:hyperlink r:id="rId41">
        <w:r>
          <w:rPr>
            <w:color w:val="1F4E79"/>
            <w:u w:val="single"/>
            <w:sz w:val="20"/>
          </w:rPr>
          <w:t>Receive recipient integrity PR 182</w:t>
        </w:r>
      </w:hyperlink>
    </w:p>
    <w:p>
      <w:pPr>
        <w:spacing w:after="80" w:line="250" w:lineRule="auto"/>
      </w:pPr>
      <w:r>
        <w:rPr>
          <w:sz w:val="18"/>
        </w:rPr>
        <w:t>Merged 22 October 2026; scope differs between non mainnet rules and historical mainnet behavior.</w:t>
      </w:r>
    </w:p>
    <w:p>
      <w:pPr>
        <w:keepNext/>
        <w:spacing w:before="80" w:after="40"/>
      </w:pPr>
      <w:r>
        <w:rPr>
          <w:b/>
          <w:sz w:val="20"/>
        </w:rPr>
        <w:t xml:space="preserve">[23] </w:t>
      </w:r>
      <w:hyperlink r:id="rId42">
        <w:r>
          <w:rPr>
            <w:color w:val="1F4E79"/>
            <w:u w:val="single"/>
            <w:sz w:val="20"/>
          </w:rPr>
          <w:t>Pillar Update repricing PR 183</w:t>
        </w:r>
      </w:hyperlink>
    </w:p>
    <w:p>
      <w:pPr>
        <w:spacing w:after="80" w:line="250" w:lineRule="auto"/>
      </w:pPr>
      <w:r>
        <w:rPr>
          <w:sz w:val="18"/>
        </w:rPr>
        <w:t>Merged 20 October 2026; its replacement policy must not be copied into customer payment recovery.</w:t>
      </w:r>
    </w:p>
    <w:p>
      <w:pPr>
        <w:keepNext/>
        <w:spacing w:before="80" w:after="40"/>
      </w:pPr>
      <w:r>
        <w:rPr>
          <w:b/>
          <w:sz w:val="20"/>
        </w:rPr>
        <w:t xml:space="preserve">[24] </w:t>
      </w:r>
      <w:hyperlink r:id="rId35">
        <w:r>
          <w:rPr>
            <w:color w:val="1F4E79"/>
            <w:u w:val="single"/>
            <w:sz w:val="20"/>
          </w:rPr>
          <w:t>PTLC contract PR 138</w:t>
        </w:r>
      </w:hyperlink>
    </w:p>
    <w:p>
      <w:pPr>
        <w:spacing w:after="80" w:line="250" w:lineRule="auto"/>
      </w:pPr>
      <w:r>
        <w:rPr>
          <w:sz w:val="18"/>
        </w:rPr>
        <w:t>Merged 15 October 2026 into dev. Contract activation and client swap safety are separate.</w:t>
      </w:r>
    </w:p>
    <w:p>
      <w:pPr>
        <w:keepNext/>
        <w:spacing w:before="80" w:after="40"/>
      </w:pPr>
      <w:r>
        <w:rPr>
          <w:b/>
          <w:sz w:val="20"/>
        </w:rPr>
        <w:t xml:space="preserve">[25] </w:t>
      </w:r>
      <w:hyperlink r:id="rId43">
        <w:r>
          <w:rPr>
            <w:color w:val="1F4E79"/>
            <w:u w:val="single"/>
            <w:sz w:val="20"/>
          </w:rPr>
          <w:t>Ferry implementation and security model</w:t>
        </w:r>
      </w:hyperlink>
    </w:p>
    <w:p>
      <w:pPr>
        <w:spacing w:after="80" w:line="250" w:lineRule="auto"/>
      </w:pPr>
      <w:r>
        <w:rPr>
          <w:sz w:val="18"/>
        </w:rPr>
        <w:t>Existing HTLC client and explicit browser, deployment and recovery limitations.</w:t>
      </w:r>
    </w:p>
    <w:p>
      <w:pPr>
        <w:keepNext/>
        <w:spacing w:before="80" w:after="40"/>
      </w:pPr>
      <w:r>
        <w:rPr>
          <w:b/>
          <w:sz w:val="20"/>
        </w:rPr>
        <w:t xml:space="preserve">[26] </w:t>
      </w:r>
      <w:hyperlink r:id="rId44">
        <w:r>
          <w:rPr>
            <w:color w:val="1F4E79"/>
            <w:u w:val="single"/>
            <w:sz w:val="20"/>
          </w:rPr>
          <w:t>Ferry developer report</w:t>
        </w:r>
      </w:hyperlink>
    </w:p>
    <w:p>
      <w:pPr>
        <w:spacing w:after="80" w:line="250" w:lineRule="auto"/>
      </w:pPr>
      <w:r>
        <w:rPr>
          <w:sz w:val="18"/>
        </w:rPr>
        <w:t>Developer reports a mainnet BTC and ZNN swap. This proposal did not independently reproduce it.</w:t>
      </w:r>
    </w:p>
    <w:p>
      <w:pPr>
        <w:keepNext/>
        <w:spacing w:before="80" w:after="40"/>
      </w:pPr>
      <w:r>
        <w:rPr>
          <w:b/>
          <w:sz w:val="20"/>
        </w:rPr>
        <w:t xml:space="preserve">[27] </w:t>
      </w:r>
      <w:hyperlink r:id="rId45">
        <w:r>
          <w:rPr>
            <w:color w:val="1F4E79"/>
            <w:u w:val="single"/>
            <w:sz w:val="20"/>
          </w:rPr>
          <w:t>PTLC console</w:t>
        </w:r>
      </w:hyperlink>
    </w:p>
    <w:p>
      <w:pPr>
        <w:spacing w:after="80" w:line="250" w:lineRule="auto"/>
      </w:pPr>
      <w:r>
        <w:rPr>
          <w:sz w:val="18"/>
        </w:rPr>
        <w:t>Demonstration tooling; simulated bitcoin transactions in the console are distinct from regtest blocks.</w:t>
      </w:r>
    </w:p>
    <w:p>
      <w:pPr>
        <w:keepNext/>
        <w:spacing w:before="80" w:after="40"/>
      </w:pPr>
      <w:r>
        <w:rPr>
          <w:b/>
          <w:sz w:val="20"/>
        </w:rPr>
        <w:t xml:space="preserve">[28] </w:t>
      </w:r>
      <w:hyperlink r:id="rId46">
        <w:r>
          <w:rPr>
            <w:color w:val="1F4E79"/>
            <w:u w:val="single"/>
            <w:sz w:val="20"/>
          </w:rPr>
          <w:t>PTLC research</w:t>
        </w:r>
      </w:hyperlink>
    </w:p>
    <w:p>
      <w:pPr>
        <w:spacing w:after="80" w:line="250" w:lineRule="auto"/>
      </w:pPr>
      <w:r>
        <w:rPr>
          <w:sz w:val="18"/>
        </w:rPr>
        <w:t>Public research and recovery work; independent acceptance remains a separate gate.</w:t>
      </w:r>
    </w:p>
    <w:p>
      <w:pPr>
        <w:keepNext/>
        <w:spacing w:before="80" w:after="40"/>
      </w:pPr>
      <w:r>
        <w:rPr>
          <w:b/>
          <w:sz w:val="20"/>
        </w:rPr>
        <w:t xml:space="preserve">[29] </w:t>
      </w:r>
      <w:hyperlink r:id="rId25">
        <w:r>
          <w:rPr>
            <w:color w:val="1F4E79"/>
            <w:u w:val="single"/>
            <w:sz w:val="20"/>
          </w:rPr>
          <w:t>Zenon SPV verification contract</w:t>
        </w:r>
      </w:hyperlink>
    </w:p>
    <w:p>
      <w:pPr>
        <w:spacing w:after="80" w:line="250" w:lineRule="auto"/>
      </w:pPr>
      <w:r>
        <w:rPr>
          <w:sz w:val="18"/>
        </w:rPr>
        <w:t>Bounded v1 and v2 verification and explicit trust assumptions; state values remain unsupported.</w:t>
      </w:r>
    </w:p>
    <w:p>
      <w:pPr>
        <w:keepNext/>
        <w:spacing w:before="80" w:after="40"/>
      </w:pPr>
      <w:r>
        <w:rPr>
          <w:b/>
          <w:sz w:val="20"/>
        </w:rPr>
        <w:t xml:space="preserve">[30] </w:t>
      </w:r>
      <w:hyperlink r:id="rId47">
        <w:r>
          <w:rPr>
            <w:color w:val="1F4E79"/>
            <w:u w:val="single"/>
            <w:sz w:val="20"/>
          </w:rPr>
          <w:t>State commitment audit</w:t>
        </w:r>
      </w:hyperlink>
    </w:p>
    <w:p>
      <w:pPr>
        <w:spacing w:after="80" w:line="250" w:lineRule="auto"/>
      </w:pPr>
      <w:r>
        <w:rPr>
          <w:sz w:val="18"/>
        </w:rPr>
        <w:t>Audit baseline and commitment distinctions; it is not a statement about every later fork.</w:t>
      </w:r>
    </w:p>
    <w:p>
      <w:pPr>
        <w:keepNext/>
        <w:spacing w:before="80" w:after="40"/>
      </w:pPr>
      <w:r>
        <w:rPr>
          <w:b/>
          <w:sz w:val="20"/>
        </w:rPr>
        <w:t xml:space="preserve">[31] </w:t>
      </w:r>
      <w:hyperlink r:id="rId34">
        <w:r>
          <w:rPr>
            <w:color w:val="1F4E79"/>
            <w:u w:val="single"/>
            <w:sz w:val="20"/>
          </w:rPr>
          <w:t>Candidate state root header</w:t>
        </w:r>
      </w:hyperlink>
    </w:p>
    <w:p>
      <w:pPr>
        <w:spacing w:after="80" w:line="250" w:lineRule="auto"/>
      </w:pPr>
      <w:r>
        <w:rPr>
          <w:sz w:val="18"/>
        </w:rPr>
        <w:t>Candidate branch containing a v3 header commitment; no acceptance or activation claim.</w:t>
      </w:r>
    </w:p>
    <w:p>
      <w:pPr>
        <w:keepNext/>
        <w:spacing w:before="80" w:after="40"/>
      </w:pPr>
      <w:r>
        <w:rPr>
          <w:b/>
          <w:sz w:val="20"/>
        </w:rPr>
        <w:t xml:space="preserve">[32] </w:t>
      </w:r>
      <w:hyperlink r:id="rId48">
        <w:r>
          <w:rPr>
            <w:color w:val="1F4E79"/>
            <w:u w:val="single"/>
            <w:sz w:val="20"/>
          </w:rPr>
          <w:t>Candidate state tree preparation</w:t>
        </w:r>
      </w:hyperlink>
    </w:p>
    <w:p>
      <w:pPr>
        <w:spacing w:after="80" w:line="250" w:lineRule="auto"/>
      </w:pPr>
      <w:r>
        <w:rPr>
          <w:sz w:val="18"/>
        </w:rPr>
        <w:t>Operator preparation for the candidate; provenance and verifier compatibility still need qualification.</w:t>
      </w:r>
    </w:p>
    <w:p>
      <w:pPr>
        <w:keepNext/>
        <w:spacing w:before="80" w:after="40"/>
      </w:pPr>
      <w:r>
        <w:rPr>
          <w:b/>
          <w:sz w:val="20"/>
        </w:rPr>
        <w:t xml:space="preserve">[33] </w:t>
      </w:r>
      <w:hyperlink r:id="rId32">
        <w:r>
          <w:rPr>
            <w:color w:val="1F4E79"/>
            <w:u w:val="single"/>
            <w:sz w:val="20"/>
          </w:rPr>
          <w:t>Zenon x402 proof of concept</w:t>
        </w:r>
      </w:hyperlink>
    </w:p>
    <w:p>
      <w:pPr>
        <w:spacing w:after="80" w:line="250" w:lineRule="auto"/>
      </w:pPr>
      <w:r>
        <w:rPr>
          <w:sz w:val="18"/>
        </w:rPr>
        <w:t>Research adapter and recovery work; not an official x402 network or production deployment.</w:t>
      </w:r>
    </w:p>
    <w:p>
      <w:pPr>
        <w:keepNext/>
        <w:spacing w:before="80" w:after="40"/>
      </w:pPr>
      <w:r>
        <w:rPr>
          <w:b/>
          <w:sz w:val="20"/>
        </w:rPr>
        <w:t xml:space="preserve">[34] </w:t>
      </w:r>
      <w:hyperlink r:id="rId33">
        <w:r>
          <w:rPr>
            <w:color w:val="1F4E79"/>
            <w:u w:val="single"/>
            <w:sz w:val="20"/>
          </w:rPr>
          <w:t>Pinned x402 native pending qualification outcome</w:t>
        </w:r>
      </w:hyperlink>
    </w:p>
    <w:p>
      <w:pPr>
        <w:spacing w:after="80" w:line="250" w:lineRule="auto"/>
      </w:pPr>
      <w:r>
        <w:rPr>
          <w:sz w:val="18"/>
        </w:rPr>
        <w:t>Immutable source revision: V4 pending trial failed an expectation; V5 correction was not executed.</w:t>
      </w:r>
    </w:p>
    <w:p>
      <w:pPr>
        <w:keepNext/>
        <w:spacing w:before="80" w:after="40"/>
      </w:pPr>
      <w:r>
        <w:rPr>
          <w:b/>
          <w:sz w:val="20"/>
        </w:rPr>
        <w:t xml:space="preserve">[35] </w:t>
      </w:r>
      <w:hyperlink r:id="rId49">
        <w:r>
          <w:rPr>
            <w:color w:val="1F4E79"/>
            <w:u w:val="single"/>
            <w:sz w:val="20"/>
          </w:rPr>
          <w:t>Syrius Extension v0.3.7</w:t>
        </w:r>
      </w:hyperlink>
    </w:p>
    <w:p>
      <w:pPr>
        <w:spacing w:after="80" w:line="250" w:lineRule="auto"/>
      </w:pPr>
      <w:r>
        <w:rPr>
          <w:sz w:val="18"/>
        </w:rPr>
        <w:t>Release dated 22 October 2026 at bec8791; later branch work is a different artifact.</w:t>
      </w:r>
    </w:p>
    <w:p>
      <w:pPr>
        <w:keepNext/>
        <w:spacing w:before="80" w:after="40"/>
      </w:pPr>
      <w:r>
        <w:rPr>
          <w:b/>
          <w:sz w:val="20"/>
        </w:rPr>
        <w:t xml:space="preserve">[36] </w:t>
      </w:r>
      <w:hyperlink r:id="rId26">
        <w:r>
          <w:rPr>
            <w:color w:val="1F4E79"/>
            <w:u w:val="single"/>
            <w:sz w:val="20"/>
          </w:rPr>
          <w:t>Syrius Extension integration contract</w:t>
        </w:r>
      </w:hyperlink>
    </w:p>
    <w:p>
      <w:pPr>
        <w:spacing w:after="80" w:line="250" w:lineRule="auto"/>
      </w:pPr>
      <w:r>
        <w:rPr>
          <w:sz w:val="18"/>
        </w:rPr>
        <w:t>Origin permission and signing boundary; browser and mobile paths require distinct tests.</w:t>
      </w:r>
    </w:p>
    <w:p>
      <w:pPr>
        <w:keepNext/>
        <w:spacing w:before="80" w:after="40"/>
      </w:pPr>
      <w:r>
        <w:rPr>
          <w:b/>
          <w:sz w:val="20"/>
        </w:rPr>
        <w:t xml:space="preserve">[37] </w:t>
      </w:r>
      <w:hyperlink r:id="rId31">
        <w:r>
          <w:rPr>
            <w:color w:val="1F4E79"/>
            <w:u w:val="single"/>
            <w:sz w:val="20"/>
          </w:rPr>
          <w:t>Zenon TypeScript SDK</w:t>
        </w:r>
      </w:hyperlink>
    </w:p>
    <w:p>
      <w:pPr>
        <w:spacing w:after="80" w:line="250" w:lineRule="auto"/>
      </w:pPr>
      <w:r>
        <w:rPr>
          <w:sz w:val="18"/>
        </w:rPr>
        <w:t>Client implementation; versions and active node semantics must be matched.</w:t>
      </w:r>
    </w:p>
    <w:p>
      <w:pPr>
        <w:keepNext/>
        <w:spacing w:before="80" w:after="40"/>
      </w:pPr>
      <w:r>
        <w:rPr>
          <w:b/>
          <w:sz w:val="20"/>
        </w:rPr>
        <w:t xml:space="preserve">[38] </w:t>
      </w:r>
      <w:hyperlink r:id="rId50">
        <w:r>
          <w:rPr>
            <w:color w:val="1F4E79"/>
            <w:u w:val="single"/>
            <w:sz w:val="20"/>
          </w:rPr>
          <w:t>Zenon SDK specification</w:t>
        </w:r>
      </w:hyperlink>
    </w:p>
    <w:p>
      <w:pPr>
        <w:spacing w:after="80" w:line="250" w:lineRule="auto"/>
      </w:pPr>
      <w:r>
        <w:rPr>
          <w:sz w:val="18"/>
        </w:rPr>
        <w:t>Language neutral specification and vectors; not proof that a new network profile is deployed.</w:t>
      </w:r>
    </w:p>
    <w:p>
      <w:pPr>
        <w:keepNext/>
        <w:spacing w:before="80" w:after="40"/>
      </w:pPr>
      <w:r>
        <w:rPr>
          <w:b/>
          <w:sz w:val="20"/>
        </w:rPr>
        <w:t xml:space="preserve">[39] </w:t>
      </w:r>
      <w:hyperlink r:id="rId36">
        <w:r>
          <w:rPr>
            <w:color w:val="1F4E79"/>
            <w:u w:val="single"/>
            <w:sz w:val="20"/>
          </w:rPr>
          <w:t>ZVM architecture</w:t>
        </w:r>
      </w:hyperlink>
    </w:p>
    <w:p>
      <w:pPr>
        <w:spacing w:after="80" w:line="250" w:lineRule="auto"/>
      </w:pPr>
      <w:r>
        <w:rPr>
          <w:sz w:val="18"/>
        </w:rPr>
        <w:t>Eighteen repository devnet architecture based on NoM ordering and EVM derivation.</w:t>
      </w:r>
    </w:p>
    <w:p>
      <w:pPr>
        <w:keepNext/>
        <w:spacing w:before="80" w:after="40"/>
      </w:pPr>
      <w:r>
        <w:rPr>
          <w:b/>
          <w:sz w:val="20"/>
        </w:rPr>
        <w:t xml:space="preserve">[40] </w:t>
      </w:r>
      <w:hyperlink r:id="rId51">
        <w:r>
          <w:rPr>
            <w:color w:val="1F4E79"/>
            <w:u w:val="single"/>
            <w:sz w:val="20"/>
          </w:rPr>
          <w:t>ZVM committee operations</w:t>
        </w:r>
      </w:hyperlink>
    </w:p>
    <w:p>
      <w:pPr>
        <w:spacing w:after="80" w:line="250" w:lineRule="auto"/>
      </w:pPr>
      <w:r>
        <w:rPr>
          <w:sz w:val="18"/>
        </w:rPr>
        <w:t>Threshold vault operations; collusion and availability remain material trust assumptions.</w:t>
      </w:r>
    </w:p>
    <w:p>
      <w:pPr>
        <w:keepNext/>
        <w:spacing w:before="80" w:after="40"/>
      </w:pPr>
      <w:r>
        <w:rPr>
          <w:b/>
          <w:sz w:val="20"/>
        </w:rPr>
        <w:t xml:space="preserve">[41] </w:t>
      </w:r>
      <w:hyperlink r:id="rId52">
        <w:r>
          <w:rPr>
            <w:color w:val="1F4E79"/>
            <w:u w:val="single"/>
            <w:sz w:val="20"/>
          </w:rPr>
          <w:t>ZVM future development</w:t>
        </w:r>
      </w:hyperlink>
    </w:p>
    <w:p>
      <w:pPr>
        <w:spacing w:after="80" w:line="250" w:lineRule="auto"/>
      </w:pPr>
      <w:r>
        <w:rPr>
          <w:sz w:val="18"/>
        </w:rPr>
        <w:t>Separates proposed additions such as trustless peg out from implemented behavior.</w:t>
      </w:r>
    </w:p>
    <w:p>
      <w:pPr>
        <w:keepNext/>
        <w:spacing w:before="80" w:after="40"/>
      </w:pPr>
      <w:r>
        <w:rPr>
          <w:b/>
          <w:sz w:val="20"/>
        </w:rPr>
        <w:t xml:space="preserve">[42] </w:t>
      </w:r>
      <w:hyperlink r:id="rId53">
        <w:r>
          <w:rPr>
            <w:color w:val="1F4E79"/>
            <w:u w:val="single"/>
            <w:sz w:val="20"/>
          </w:rPr>
          <w:t>ZVM fleet benchmark results</w:t>
        </w:r>
      </w:hyperlink>
    </w:p>
    <w:p>
      <w:pPr>
        <w:spacing w:after="80" w:line="250" w:lineRule="auto"/>
      </w:pPr>
      <w:r>
        <w:rPr>
          <w:sz w:val="18"/>
        </w:rPr>
        <w:t>Developer reported devnet measurements; not mainnet capacity or an independent benchmark.</w:t>
      </w:r>
    </w:p>
    <w:p>
      <w:pPr>
        <w:keepNext/>
        <w:spacing w:before="80" w:after="40"/>
      </w:pPr>
      <w:r>
        <w:rPr>
          <w:b/>
          <w:sz w:val="20"/>
        </w:rPr>
        <w:t xml:space="preserve">[43] </w:t>
      </w:r>
      <w:hyperlink r:id="rId54">
        <w:r>
          <w:rPr>
            <w:color w:val="1F4E79"/>
            <w:u w:val="single"/>
            <w:sz w:val="20"/>
          </w:rPr>
          <w:t>Mutable multisig PR 72</w:t>
        </w:r>
      </w:hyperlink>
    </w:p>
    <w:p>
      <w:pPr>
        <w:spacing w:after="80" w:line="250" w:lineRule="auto"/>
      </w:pPr>
      <w:r>
        <w:rPr>
          <w:sz w:val="18"/>
        </w:rPr>
        <w:t>Draft protocol work as reviewed; not an active wallet capability.</w:t>
      </w:r>
    </w:p>
    <w:p>
      <w:pPr>
        <w:keepNext/>
        <w:spacing w:before="80" w:after="40"/>
      </w:pPr>
      <w:r>
        <w:rPr>
          <w:b/>
          <w:sz w:val="20"/>
        </w:rPr>
        <w:t xml:space="preserve">[44] </w:t>
      </w:r>
      <w:hyperlink r:id="rId55">
        <w:r>
          <w:rPr>
            <w:color w:val="1F4E79"/>
            <w:u w:val="single"/>
            <w:sz w:val="20"/>
          </w:rPr>
          <w:t>Governance ZIP working draft</w:t>
        </w:r>
      </w:hyperlink>
    </w:p>
    <w:p>
      <w:pPr>
        <w:spacing w:after="80" w:line="250" w:lineRule="auto"/>
      </w:pPr>
      <w:r>
        <w:rPr>
          <w:sz w:val="18"/>
        </w:rPr>
        <w:t>Draft governance work; distinct from the merged community spork renewal.</w:t>
      </w:r>
    </w:p>
    <w:p>
      <w:pPr>
        <w:keepNext/>
        <w:spacing w:before="80" w:after="40"/>
      </w:pPr>
      <w:r>
        <w:rPr>
          <w:b/>
          <w:sz w:val="20"/>
        </w:rPr>
        <w:t xml:space="preserve">[45] </w:t>
      </w:r>
      <w:hyperlink r:id="rId57">
        <w:r>
          <w:rPr>
            <w:color w:val="1F4E79"/>
            <w:u w:val="single"/>
            <w:sz w:val="20"/>
          </w:rPr>
          <w:t>nomctl operator tooling</w:t>
        </w:r>
      </w:hyperlink>
    </w:p>
    <w:p>
      <w:pPr>
        <w:spacing w:after="80" w:line="250" w:lineRule="auto"/>
      </w:pPr>
      <w:r>
        <w:rPr>
          <w:sz w:val="18"/>
        </w:rPr>
        <w:t>Operational tooling; node or bridge health must still be measured in the chosen environment.</w:t>
      </w:r>
    </w:p>
    <w:p>
      <w:pPr>
        <w:keepNext/>
        <w:spacing w:before="80" w:after="40"/>
      </w:pPr>
      <w:r>
        <w:rPr>
          <w:b/>
          <w:sz w:val="20"/>
        </w:rPr>
        <w:t xml:space="preserve">[46] </w:t>
      </w:r>
      <w:hyperlink r:id="rId58">
        <w:r>
          <w:rPr>
            <w:color w:val="1F4E79"/>
            <w:u w:val="single"/>
            <w:sz w:val="20"/>
          </w:rPr>
          <w:t>Existing bridge frontend</w:t>
        </w:r>
      </w:hyperlink>
    </w:p>
    <w:p>
      <w:pPr>
        <w:spacing w:after="80" w:line="250" w:lineRule="auto"/>
      </w:pPr>
      <w:r>
        <w:rPr>
          <w:sz w:val="18"/>
        </w:rPr>
        <w:t>Existing bridge application; repository changes do not establish live bridge availability.</w:t>
      </w:r>
    </w:p>
    <w:p>
      <w:pPr>
        <w:keepNext/>
        <w:spacing w:before="80" w:after="40"/>
      </w:pPr>
      <w:r>
        <w:rPr>
          <w:b/>
          <w:sz w:val="20"/>
        </w:rPr>
        <w:t xml:space="preserve">[47] </w:t>
      </w:r>
      <w:hyperlink r:id="rId59">
        <w:r>
          <w:rPr>
            <w:color w:val="1F4E79"/>
            <w:u w:val="single"/>
            <w:sz w:val="20"/>
          </w:rPr>
          <w:t>Bridge orchestrator development</w:t>
        </w:r>
      </w:hyperlink>
    </w:p>
    <w:p>
      <w:pPr>
        <w:spacing w:after="80" w:line="250" w:lineRule="auto"/>
      </w:pPr>
      <w:r>
        <w:rPr>
          <w:sz w:val="18"/>
        </w:rPr>
        <w:t>Bridge service development; no production health or custody guarantee is inferred.</w:t>
      </w:r>
    </w:p>
    <w:p>
      <w:pPr>
        <w:keepNext/>
        <w:spacing w:before="80" w:after="40"/>
      </w:pPr>
      <w:r>
        <w:rPr>
          <w:b/>
          <w:sz w:val="20"/>
        </w:rPr>
        <w:t xml:space="preserve">[48] </w:t>
      </w:r>
      <w:hyperlink r:id="rId60">
        <w:r>
          <w:rPr>
            <w:color w:val="1F4E79"/>
            <w:u w:val="single"/>
            <w:sz w:val="20"/>
          </w:rPr>
          <w:t>Loupe</w:t>
        </w:r>
      </w:hyperlink>
    </w:p>
    <w:p>
      <w:pPr>
        <w:spacing w:after="80" w:line="250" w:lineRule="auto"/>
      </w:pPr>
      <w:r>
        <w:rPr>
          <w:sz w:val="18"/>
        </w:rPr>
        <w:t>Wallet and payments coordination work; no partnership, deployment or user demand is assumed.</w:t>
      </w:r>
    </w:p>
    <w:p>
      <w:pPr>
        <w:keepNext/>
        <w:spacing w:before="80" w:after="40"/>
      </w:pPr>
      <w:r>
        <w:rPr>
          <w:b/>
          <w:sz w:val="20"/>
        </w:rPr>
        <w:t xml:space="preserve">[49] </w:t>
      </w:r>
      <w:hyperlink r:id="rId56">
        <w:r>
          <w:rPr>
            <w:color w:val="1F4E79"/>
            <w:u w:val="single"/>
            <w:sz w:val="20"/>
          </w:rPr>
          <w:t>Zenon Portal research</w:t>
        </w:r>
      </w:hyperlink>
    </w:p>
    <w:p>
      <w:pPr>
        <w:spacing w:after="80" w:line="250" w:lineRule="auto"/>
      </w:pPr>
      <w:r>
        <w:rPr>
          <w:sz w:val="18"/>
        </w:rPr>
        <w:t>Research design; the document name does not establish an implementation or independent audit.</w:t>
      </w:r>
    </w:p>
    <w:p>
      <w:pPr>
        <w:keepNext/>
        <w:spacing w:before="80" w:after="40"/>
      </w:pPr>
      <w:r>
        <w:rPr>
          <w:b/>
          <w:sz w:val="20"/>
        </w:rPr>
        <w:t xml:space="preserve">[50] </w:t>
      </w:r>
      <w:hyperlink r:id="rId65">
        <w:r>
          <w:rPr>
            <w:color w:val="1F4E79"/>
            <w:u w:val="single"/>
            <w:sz w:val="20"/>
          </w:rPr>
          <w:t>Zenon core specification</w:t>
        </w:r>
      </w:hyperlink>
    </w:p>
    <w:p>
      <w:pPr>
        <w:spacing w:after="80" w:line="250" w:lineRule="auto"/>
      </w:pPr>
      <w:r>
        <w:rPr>
          <w:sz w:val="18"/>
        </w:rPr>
        <w:t>Reference work with an older pinned baseline; not current core conformance certification.</w:t>
      </w:r>
    </w:p>
    <w:p>
      <w:pPr>
        <w:keepNext/>
        <w:spacing w:before="80" w:after="40"/>
      </w:pPr>
      <w:r>
        <w:rPr>
          <w:b/>
          <w:sz w:val="20"/>
        </w:rPr>
        <w:t xml:space="preserve">[51] </w:t>
      </w:r>
      <w:hyperlink r:id="rId61">
        <w:r>
          <w:rPr>
            <w:color w:val="1F4E79"/>
            <w:u w:val="single"/>
            <w:sz w:val="20"/>
          </w:rPr>
          <w:t>nom webwallet</w:t>
        </w:r>
      </w:hyperlink>
    </w:p>
    <w:p>
      <w:pPr>
        <w:spacing w:after="80" w:line="250" w:lineRule="auto"/>
      </w:pPr>
      <w:r>
        <w:rPr>
          <w:sz w:val="18"/>
        </w:rPr>
        <w:t>Additional wallet surface; release, custody and integration evidence must be checked separately.</w:t>
      </w:r>
    </w:p>
    <w:p>
      <w:pPr>
        <w:keepNext/>
        <w:spacing w:before="80" w:after="40"/>
      </w:pPr>
      <w:r>
        <w:rPr>
          <w:b/>
          <w:sz w:val="20"/>
        </w:rPr>
        <w:t xml:space="preserve">[52] </w:t>
      </w:r>
      <w:hyperlink r:id="rId62">
        <w:r>
          <w:rPr>
            <w:color w:val="1F4E79"/>
            <w:u w:val="single"/>
            <w:sz w:val="20"/>
          </w:rPr>
          <w:t>Official Syrius wallet</w:t>
        </w:r>
      </w:hyperlink>
    </w:p>
    <w:p>
      <w:pPr>
        <w:spacing w:after="80" w:line="250" w:lineRule="auto"/>
      </w:pPr>
      <w:r>
        <w:rPr>
          <w:sz w:val="18"/>
        </w:rPr>
        <w:t>Separate wallet implementation and release lineage; do not combine fork evidence.</w:t>
      </w:r>
    </w:p>
    <w:p>
      <w:pPr>
        <w:keepNext/>
        <w:spacing w:before="80" w:after="40"/>
      </w:pPr>
      <w:r>
        <w:rPr>
          <w:b/>
          <w:sz w:val="20"/>
        </w:rPr>
        <w:t xml:space="preserve">[53] </w:t>
      </w:r>
      <w:hyperlink r:id="rId63">
        <w:r>
          <w:rPr>
            <w:color w:val="1F4E79"/>
            <w:u w:val="single"/>
            <w:sz w:val="20"/>
          </w:rPr>
          <w:t>Syrius community fork</w:t>
        </w:r>
      </w:hyperlink>
    </w:p>
    <w:p>
      <w:pPr>
        <w:spacing w:after="80" w:line="250" w:lineRule="auto"/>
      </w:pPr>
      <w:r>
        <w:rPr>
          <w:sz w:val="18"/>
        </w:rPr>
        <w:t>Community wallet work; branch and release evidence remain specific to this repository.</w:t>
      </w:r>
    </w:p>
    <w:p>
      <w:pPr>
        <w:keepNext/>
        <w:spacing w:before="80" w:after="40"/>
      </w:pPr>
      <w:r>
        <w:rPr>
          <w:b/>
          <w:sz w:val="20"/>
        </w:rPr>
        <w:t xml:space="preserve">[54] </w:t>
      </w:r>
      <w:hyperlink r:id="rId64">
        <w:r>
          <w:rPr>
            <w:color w:val="1F4E79"/>
            <w:u w:val="single"/>
            <w:sz w:val="20"/>
          </w:rPr>
          <w:t>Syrius redesign work</w:t>
        </w:r>
      </w:hyperlink>
    </w:p>
    <w:p>
      <w:pPr>
        <w:spacing w:after="80" w:line="250" w:lineRule="auto"/>
      </w:pPr>
      <w:r>
        <w:rPr>
          <w:sz w:val="18"/>
        </w:rPr>
        <w:t>Separate redesign work; a specification or branch is not a shipped release.</w:t>
      </w:r>
    </w:p>
    <w:p>
      <w:pPr>
        <w:keepNext/>
        <w:spacing w:before="80" w:after="40"/>
      </w:pPr>
      <w:r>
        <w:rPr>
          <w:b/>
          <w:sz w:val="20"/>
        </w:rPr>
        <w:t xml:space="preserve">[55] </w:t>
      </w:r>
      <w:hyperlink r:id="rId66">
        <w:r>
          <w:rPr>
            <w:color w:val="1F4E79"/>
            <w:u w:val="single"/>
            <w:sz w:val="20"/>
          </w:rPr>
          <w:t>Zenon faucet</w:t>
        </w:r>
      </w:hyperlink>
    </w:p>
    <w:p>
      <w:pPr>
        <w:spacing w:after="80" w:line="250" w:lineRule="auto"/>
      </w:pPr>
      <w:r>
        <w:rPr>
          <w:sz w:val="18"/>
        </w:rPr>
        <w:t>Test onboarding application; not a treasury custody model.</w:t>
      </w:r>
    </w:p>
    <w:p>
      <w:pPr>
        <w:keepNext/>
        <w:spacing w:before="80" w:after="40"/>
      </w:pPr>
      <w:r>
        <w:rPr>
          <w:b/>
          <w:sz w:val="20"/>
        </w:rPr>
        <w:t xml:space="preserve">[56] </w:t>
      </w:r>
      <w:hyperlink r:id="rId67">
        <w:r>
          <w:rPr>
            <w:color w:val="1F4E79"/>
            <w:u w:val="single"/>
            <w:sz w:val="20"/>
          </w:rPr>
          <w:t>ZTS airdrop tooling</w:t>
        </w:r>
      </w:hyperlink>
    </w:p>
    <w:p>
      <w:pPr>
        <w:spacing w:after="80" w:line="250" w:lineRule="auto"/>
      </w:pPr>
      <w:r>
        <w:rPr>
          <w:sz w:val="18"/>
        </w:rPr>
        <w:t>Distribution tooling; airdrop activity does not establish paid bitcoin demand.</w:t>
      </w:r>
    </w:p>
    <w:sectPr>
      <w:headerReference w:type="default" r:id="rId9"/>
      <w:footerReference w:type="default" r:id="rId10"/>
      <w:pgSz w:w="12240" w:h="15840"/>
      <w:pgMar w:top="950" w:right="1037" w:bottom="922"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edgepillar  |  Draft 0.2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DRAFT  |  PROPOSAL FOR SPIRAL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69" w:lineRule="auto" w:after="140"/>
    </w:pPr>
    <w:rPr>
      <w:rFonts w:ascii="Arial" w:hAnsi="Arial" w:eastAsia="Arial"/>
      <w:color w:val="000000"/>
      <w:sz w:val="22"/>
      <w:lang w:val="en-US"/>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300" w:after="140"/>
      <w:outlineLvl w:val="0"/>
    </w:pPr>
    <w:rPr>
      <w:rFonts w:asciiTheme="majorHAnsi" w:eastAsiaTheme="majorEastAsia" w:hAnsiTheme="majorHAnsi" w:cstheme="majorBidi" w:ascii="Arial" w:hAnsi="Arial" w:eastAsia="Arial"/>
      <w:b/>
      <w:bCs/>
      <w:color w:val="000000"/>
      <w:sz w:val="32"/>
      <w:szCs w:val="28"/>
      <w:lang w:val="en-US"/>
    </w:rPr>
  </w:style>
  <w:style w:type="paragraph" w:styleId="Heading2">
    <w:name w:val="heading 2"/>
    <w:basedOn w:val="Normal"/>
    <w:next w:val="Normal"/>
    <w:link w:val="Heading2Char"/>
    <w:uiPriority w:val="9"/>
    <w:unhideWhenUsed/>
    <w:qFormat/>
    <w:pPr>
      <w:keepNext/>
      <w:keepLines/>
      <w:spacing w:before="200" w:after="100"/>
      <w:outlineLvl w:val="1"/>
    </w:pPr>
    <w:rPr>
      <w:rFonts w:asciiTheme="majorHAnsi" w:eastAsiaTheme="majorEastAsia" w:hAnsiTheme="majorHAnsi" w:cstheme="majorBidi" w:ascii="Arial" w:hAnsi="Arial" w:eastAsia="Arial"/>
      <w:b/>
      <w:bCs/>
      <w:color w:val="000000"/>
      <w:sz w:val="24"/>
      <w:szCs w:val="26"/>
      <w:lang w:val="en-US"/>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ascii="Arial" w:hAnsi="Arial" w:eastAsia="Arial"/>
      <w:b/>
      <w:bCs/>
      <w:color w:val="000000"/>
      <w:lang w:val="en-US"/>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keepNext/>
      <w:spacing w:after="180" w:line="240" w:lineRule="auto"/>
      <w:contextualSpacing/>
    </w:pPr>
    <w:rPr>
      <w:rFonts w:asciiTheme="majorHAnsi" w:eastAsiaTheme="majorEastAsia" w:hAnsiTheme="majorHAnsi" w:cstheme="majorBidi" w:ascii="Arial" w:hAnsi="Arial" w:eastAsia="Arial"/>
      <w:b/>
      <w:color w:val="000000"/>
      <w:spacing w:val="5"/>
      <w:kern w:val="28"/>
      <w:sz w:val="50"/>
      <w:szCs w:val="52"/>
      <w:lang w:val="en-US"/>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spacing w:after="180"/>
    </w:pPr>
    <w:rPr>
      <w:rFonts w:asciiTheme="majorHAnsi" w:eastAsiaTheme="majorEastAsia" w:hAnsiTheme="majorHAnsi" w:cstheme="majorBidi" w:ascii="Arial" w:hAnsi="Arial" w:eastAsia="Arial"/>
      <w:i/>
      <w:iCs/>
      <w:color w:val="000000"/>
      <w:spacing w:val="15"/>
      <w:sz w:val="26"/>
      <w:szCs w:val="24"/>
      <w:lang w:val="en-US"/>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after="160"/>
    </w:pPr>
    <w:rPr>
      <w:rFonts w:ascii="Arial" w:hAnsi="Arial" w:eastAsia="Arial"/>
      <w:b/>
      <w:bCs/>
      <w:color w:val="000000"/>
      <w:sz w:val="18"/>
      <w:szCs w:val="18"/>
      <w:lang w:val="en-US"/>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piralxyz/bitcoin-payments/blob/5320295278e7ce3b5e1cb2d196def7a0fde3d729/README.md" TargetMode="External"/><Relationship Id="rId12" Type="http://schemas.openxmlformats.org/officeDocument/2006/relationships/hyperlink" Target="https://github.com/0x3639/plasma.bot" TargetMode="External"/><Relationship Id="rId13" Type="http://schemas.openxmlformats.org/officeDocument/2006/relationships/hyperlink" Target="https://github.com/0x3639/plasma.bot/blob/main/ROADMAP.md" TargetMode="External"/><Relationship Id="rId14" Type="http://schemas.openxmlformats.org/officeDocument/2006/relationships/hyperlink" Target="https://github.com/zenon-network/go-zenon/blob/v0.0.9-alphanet/vm/embedded/implementation/plasma.go" TargetMode="External"/><Relationship Id="rId15" Type="http://schemas.openxmlformats.org/officeDocument/2006/relationships/hyperlink" Target="https://github.com/zenon-network/go-zenon/blob/dev/vm/embedded/definition/plasma.go" TargetMode="External"/><Relationship Id="rId16" Type="http://schemas.openxmlformats.org/officeDocument/2006/relationships/hyperlink" Target="https://github.com/lightninglabs/L402/blob/master/protocol-specification.md" TargetMode="External"/><Relationship Id="rId17" Type="http://schemas.openxmlformats.org/officeDocument/2006/relationships/hyperlink" Target="https://github.com/lightninglabs/aperture" TargetMode="External"/><Relationship Id="rId18" Type="http://schemas.openxmlformats.org/officeDocument/2006/relationships/hyperlink" Target="https://lightning.engineering/api-docs/api/lnd/invoices/add-hold-invoice/" TargetMode="External"/><Relationship Id="rId19" Type="http://schemas.openxmlformats.org/officeDocument/2006/relationships/hyperlink" Target="https://lightning.engineering/api-docs/api/lnd/invoices/settle-invoice/" TargetMode="External"/><Relationship Id="rId20" Type="http://schemas.openxmlformats.org/officeDocument/2006/relationships/hyperlink" Target="https://lightning.engineering/api-docs/api/lnd/invoices/cancel-invoice/" TargetMode="External"/><Relationship Id="rId21" Type="http://schemas.openxmlformats.org/officeDocument/2006/relationships/hyperlink" Target="https://github.com/x402-foundation/x402/blob/main/specs/schemes/exact/scheme_exact_lnbtc.md" TargetMode="External"/><Relationship Id="rId22" Type="http://schemas.openxmlformats.org/officeDocument/2006/relationships/image" Target="media/image1.png"/><Relationship Id="rId23" Type="http://schemas.openxmlformats.org/officeDocument/2006/relationships/hyperlink" Target="https://github.com/zenon-network/go-zenon/blob/v0.0.9-alphanet/vm/constants/embedded.go" TargetMode="External"/><Relationship Id="rId24" Type="http://schemas.openxmlformats.org/officeDocument/2006/relationships/hyperlink" Target="https://github.com/zenon-network/go-zenon/blob/v0.0.9-alphanet/rpc/api/embedded/plasma.go" TargetMode="External"/><Relationship Id="rId25" Type="http://schemas.openxmlformats.org/officeDocument/2006/relationships/hyperlink" Target="https://github.com/edgepillar/zenon-spv/blob/main/docs/verification-contract.md" TargetMode="External"/><Relationship Id="rId26" Type="http://schemas.openxmlformats.org/officeDocument/2006/relationships/hyperlink" Target="https://github.com/sol-znn/syrius-extension/blob/master/docs/INTEGRATION.md" TargetMode="External"/><Relationship Id="rId27" Type="http://schemas.openxmlformats.org/officeDocument/2006/relationships/hyperlink" Target="https://github.com/lightningdevkit/ldk-node" TargetMode="External"/><Relationship Id="rId28" Type="http://schemas.openxmlformats.org/officeDocument/2006/relationships/hyperlink" Target="https://github.com/bitcoindevkit/bdk" TargetMode="External"/><Relationship Id="rId29" Type="http://schemas.openxmlformats.org/officeDocument/2006/relationships/hyperlink" Target="https://github.com/zenon-network/go-zenon/releases/tag/v0.0.9-alphanet" TargetMode="External"/><Relationship Id="rId30" Type="http://schemas.openxmlformats.org/officeDocument/2006/relationships/hyperlink" Target="https://github.com/zenon-network/go-zenon/blob/dev/common/types/spork.go" TargetMode="External"/><Relationship Id="rId31" Type="http://schemas.openxmlformats.org/officeDocument/2006/relationships/hyperlink" Target="https://github.com/digitalSloth/znn-typescript-sdk" TargetMode="External"/><Relationship Id="rId32" Type="http://schemas.openxmlformats.org/officeDocument/2006/relationships/hyperlink" Target="https://github.com/edgepillar/zenon-x402-poc" TargetMode="External"/><Relationship Id="rId33" Type="http://schemas.openxmlformats.org/officeDocument/2006/relationships/hyperlink" Target="https://github.com/edgepillar/zenon-x402-poc/blob/6a0af7d6c96fe770b7c141c44894536f2a543b68/docs/P1_NATIVE_V4_PENDING_LOCAL_QUALIFICATION.md" TargetMode="External"/><Relationship Id="rId34" Type="http://schemas.openxmlformats.org/officeDocument/2006/relationships/hyperlink" Target="https://github.com/digitalSloth/go-zenon/blob/feature/merkle-state-root/chain/nom/momentum.go" TargetMode="External"/><Relationship Id="rId35" Type="http://schemas.openxmlformats.org/officeDocument/2006/relationships/hyperlink" Target="https://github.com/zenon-network/go-zenon/pull/138" TargetMode="External"/><Relationship Id="rId36" Type="http://schemas.openxmlformats.org/officeDocument/2006/relationships/hyperlink" Target="https://github.com/Zenoglyphs-VM/zvm-docs/blob/main/ARCHITECTURE.md" TargetMode="External"/><Relationship Id="rId37" Type="http://schemas.openxmlformats.org/officeDocument/2006/relationships/hyperlink" Target="https://github.com/spiralxyz/bitcoin-payments/blob/5320295278e7ce3b5e1cb2d196def7a0fde3d729/CONTRIBUTING.md" TargetMode="External"/><Relationship Id="rId38" Type="http://schemas.openxmlformats.org/officeDocument/2006/relationships/hyperlink" Target="https://github.com/spiralxyz/bitcoin-payments/blob/5320295278e7ce3b5e1cb2d196def7a0fde3d729/.github/ISSUE_TEMPLATE/moonshot-idea.yml" TargetMode="External"/><Relationship Id="rId39" Type="http://schemas.openxmlformats.org/officeDocument/2006/relationships/hyperlink" Target="https://github.com/zenon-network/go-zenon/pull/63" TargetMode="External"/><Relationship Id="rId40" Type="http://schemas.openxmlformats.org/officeDocument/2006/relationships/hyperlink" Target="https://github.com/zenon-network/go-zenon/pull/101" TargetMode="External"/><Relationship Id="rId41" Type="http://schemas.openxmlformats.org/officeDocument/2006/relationships/hyperlink" Target="https://github.com/zenon-network/go-zenon/pull/182" TargetMode="External"/><Relationship Id="rId42" Type="http://schemas.openxmlformats.org/officeDocument/2006/relationships/hyperlink" Target="https://github.com/zenon-network/go-zenon/pull/183" TargetMode="External"/><Relationship Id="rId43" Type="http://schemas.openxmlformats.org/officeDocument/2006/relationships/hyperlink" Target="https://github.com/sol-znn/ferry-web/blob/master/docs/SECURITY.md" TargetMode="External"/><Relationship Id="rId44" Type="http://schemas.openxmlformats.org/officeDocument/2006/relationships/hyperlink" Target="https://forum.zenon.org/t/ferry-multi-chain-htlc-web-service/2366" TargetMode="External"/><Relationship Id="rId45" Type="http://schemas.openxmlformats.org/officeDocument/2006/relationships/hyperlink" Target="https://github.com/sol-znn/ptlc-console" TargetMode="External"/><Relationship Id="rId46" Type="http://schemas.openxmlformats.org/officeDocument/2006/relationships/hyperlink" Target="https://github.com/edgepillar/ptlc-research" TargetMode="External"/><Relationship Id="rId47" Type="http://schemas.openxmlformats.org/officeDocument/2006/relationships/hyperlink" Target="https://github.com/edgepillar/zenon-spv/blob/main/docs/state-commitment-audit.md" TargetMode="External"/><Relationship Id="rId48" Type="http://schemas.openxmlformats.org/officeDocument/2006/relationships/hyperlink" Target="https://github.com/digitalSloth/go-zenon/blob/feature/merkle-state-root/docs/STATE_TREE_PREBUILD.md" TargetMode="External"/><Relationship Id="rId49" Type="http://schemas.openxmlformats.org/officeDocument/2006/relationships/hyperlink" Target="https://github.com/sol-znn/syrius-extension/releases/tag/v0.3.7" TargetMode="External"/><Relationship Id="rId50" Type="http://schemas.openxmlformats.org/officeDocument/2006/relationships/hyperlink" Target="https://github.com/0x3639/zenon-sdk-spec" TargetMode="External"/><Relationship Id="rId51" Type="http://schemas.openxmlformats.org/officeDocument/2006/relationships/hyperlink" Target="https://github.com/Zenoglyphs-VM/zvm-docs/blob/main/operations/COMMITTEE.md" TargetMode="External"/><Relationship Id="rId52" Type="http://schemas.openxmlformats.org/officeDocument/2006/relationships/hyperlink" Target="https://github.com/Zenoglyphs-VM/zvm-docs/blob/main/planning/FUTURE.md" TargetMode="External"/><Relationship Id="rId53" Type="http://schemas.openxmlformats.org/officeDocument/2006/relationships/hyperlink" Target="https://github.com/Zenoglyphs-VM/zvm-docs/blob/main/benchmarks/results/FLEET-v2.md" TargetMode="External"/><Relationship Id="rId54" Type="http://schemas.openxmlformats.org/officeDocument/2006/relationships/hyperlink" Target="https://github.com/zenon-network/go-zenon/pull/72" TargetMode="External"/><Relationship Id="rId55" Type="http://schemas.openxmlformats.org/officeDocument/2006/relationships/hyperlink" Target="https://forum.hypercore.one/t/draft-governance-zip-working-draft-for-comment/935" TargetMode="External"/><Relationship Id="rId56" Type="http://schemas.openxmlformats.org/officeDocument/2006/relationships/hyperlink" Target="https://github.com/TminusZ/zenon-developer-commons/blob/main/docs/specs/Zenon%20Portal/Portal%20V2/zenon_portal_final.md" TargetMode="External"/><Relationship Id="rId57" Type="http://schemas.openxmlformats.org/officeDocument/2006/relationships/hyperlink" Target="https://github.com/0x3639/nomctl" TargetMode="External"/><Relationship Id="rId58" Type="http://schemas.openxmlformats.org/officeDocument/2006/relationships/hyperlink" Target="https://github.com/sol-znn/bridge.mainnet.zenon.community" TargetMode="External"/><Relationship Id="rId59" Type="http://schemas.openxmlformats.org/officeDocument/2006/relationships/hyperlink" Target="https://github.com/0x3639/orchestrator" TargetMode="External"/><Relationship Id="rId60" Type="http://schemas.openxmlformats.org/officeDocument/2006/relationships/hyperlink" Target="https://github.com/zenon-network/loupe" TargetMode="External"/><Relationship Id="rId61" Type="http://schemas.openxmlformats.org/officeDocument/2006/relationships/hyperlink" Target="https://github.com/digitalSloth/nom-webwallet" TargetMode="External"/><Relationship Id="rId62" Type="http://schemas.openxmlformats.org/officeDocument/2006/relationships/hyperlink" Target="https://github.com/zenon-network/syrius" TargetMode="External"/><Relationship Id="rId63" Type="http://schemas.openxmlformats.org/officeDocument/2006/relationships/hyperlink" Target="https://github.com/maznnwell/syrius" TargetMode="External"/><Relationship Id="rId64" Type="http://schemas.openxmlformats.org/officeDocument/2006/relationships/hyperlink" Target="https://github.com/sol-znn/syrius" TargetMode="External"/><Relationship Id="rId65" Type="http://schemas.openxmlformats.org/officeDocument/2006/relationships/hyperlink" Target="https://github.com/0x3639/go-zenon-spec" TargetMode="External"/><Relationship Id="rId66" Type="http://schemas.openxmlformats.org/officeDocument/2006/relationships/hyperlink" Target="https://github.com/sol-znn/zenon-faucet" TargetMode="External"/><Relationship Id="rId67" Type="http://schemas.openxmlformats.org/officeDocument/2006/relationships/hyperlink" Target="https://github.com/sol-znn/zts-airdr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Bitcoin checkout for Zenon resource services</dc:title>
  <dc:subject>Revised draft technical proposal for Spiral</dc:subject>
  <dc:creator>edgepillar</dc:creator>
  <cp:keywords>Draft, bitcoin, Lightning, Zenon, service delivery, resource provisioning</cp:keywords>
  <dc:description/>
  <cp:lastModifiedBy>edgepillar</cp:lastModifiedBy>
  <cp:revision>1</cp:revision>
  <dcterms:created xsi:type="dcterms:W3CDTF">2026-10-28T00:00:00Z</dcterms:created>
  <dcterms:modified xsi:type="dcterms:W3CDTF">2026-10-28T00:00:00Z</dcterms:modified>
  <cp:category/>
</cp:coreProperties>
</file>