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Informe FileX</w:t>
      </w:r>
    </w:p>
    <w:p>
      <w:r>
        <w:t xml:space="preserve">Informe de fidelidad de caminos multisalto. FILEXSENTINELA7743 es la marca que debe sobrevivir a la conversion. El texto seleccionable de un documento es una capa estructurada, no una imagen: si un salto intermedio rasteriza la pagina, esta frase deja de poder copiarse, buscarse o leerse con un lector de pantalla, y el fichero resultante ya no sirve para lo que sirve un documento.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>codigo</w:t>
            </w:r>
          </w:p>
        </w:tc>
        <w:tc>
          <w:tcPr>
            <w:tcW w:w="2000" w:type="dxa"/>
          </w:tcPr>
          <w:p>
            <w:r>
              <w:t>cantidad</w:t>
            </w:r>
          </w:p>
        </w:tc>
        <w:tc>
          <w:tcPr>
            <w:tcW w:w="2000" w:type="dxa"/>
          </w:tcPr>
          <w:p>
            <w:r>
              <w:t>unidad</w:t>
            </w:r>
          </w:p>
        </w:tc>
      </w:tr>
      <w:tr>
        <w:tc>
          <w:tcPr>
            <w:tcW w:w="2000" w:type="dxa"/>
          </w:tcPr>
          <w:p>
            <w:r>
              <w:t>AX-1</w:t>
            </w:r>
          </w:p>
        </w:tc>
        <w:tc>
          <w:tcPr>
            <w:tcW w:w="2000" w:type="dxa"/>
          </w:tcPr>
          <w:p>
            <w:r>
              <w:t>128</w:t>
            </w:r>
          </w:p>
        </w:tc>
        <w:tc>
          <w:tcPr>
            <w:tcW w:w="2000" w:type="dxa"/>
          </w:tcPr>
          <w:p>
            <w:r>
              <w:t>kg</w:t>
            </w:r>
          </w:p>
        </w:tc>
      </w:tr>
      <w:tr>
        <w:tc>
          <w:tcPr>
            <w:tcW w:w="2000" w:type="dxa"/>
          </w:tcPr>
          <w:p>
            <w:r>
              <w:t>BX-2</w:t>
            </w:r>
          </w:p>
        </w:tc>
        <w:tc>
          <w:tcPr>
            <w:tcW w:w="2000" w:type="dxa"/>
          </w:tcPr>
          <w:p>
            <w:r>
              <w:t>256</w:t>
            </w:r>
          </w:p>
        </w:tc>
        <w:tc>
          <w:tcPr>
            <w:tcW w:w="2000" w:type="dxa"/>
          </w:tcPr>
          <w:p>
            <w:r>
              <w:t>kg</w:t>
            </w:r>
          </w:p>
        </w:tc>
      </w:tr>
      <w:tr>
        <w:tc>
          <w:tcPr>
            <w:tcW w:w="2000" w:type="dxa"/>
          </w:tcPr>
          <w:p>
            <w:r>
              <w:t>CX-3</w:t>
            </w:r>
          </w:p>
        </w:tc>
        <w:tc>
          <w:tcPr>
            <w:tcW w:w="2000" w:type="dxa"/>
          </w:tcPr>
          <w:p>
            <w:r>
              <w:t>512</w:t>
            </w:r>
          </w:p>
        </w:tc>
        <w:tc>
          <w:tcPr>
            <w:tcW w:w="2000" w:type="dxa"/>
          </w:tcPr>
          <w:p>
            <w:r>
              <w:t>kg</w:t>
            </w:r>
          </w:p>
        </w:tc>
      </w:tr>
    </w:tbl>
    <w:sectPr>
      <w:pgSz w:w="11906" w:h="16838"/>
    </w:sectPr>
  </w:body>
</w:document>
</file>