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titleHead"/>
        <w:bidi w:val="0"/>
        <w:spacing w:lineRule="auto" w:line="252" w:before="0" w:after="80"/>
        <w:ind w:hanging="0" w:start="0"/>
        <w:jc w:val="center"/>
        <w:rPr>
          <w:lang w:val="es-CO"/>
        </w:rPr>
      </w:pPr>
      <w:r>
        <w:rPr>
          <w:rFonts w:ascii="Times New Roman" w:hAnsi="Times New Roman"/>
          <w:b/>
          <w:sz w:val="36"/>
        </w:rPr>
        <w:t>Análisis espacial de la susceptibilidad a los movimientos en masa mediante Proceso de Poisson No Homogéneo: aplicación en Medellín, Colombia</w:t>
        <w:br/>
        <w:t>Spatial Analysis of Landslide Susceptibility Using a Non-Homogeneous Poisson Process: Application in Medellín, Colombia</w:t>
      </w:r>
    </w:p>
    <w:p>
      <w:pPr>
        <w:pStyle w:val="BodyText"/>
        <w:bidi w:val="0"/>
        <w:spacing w:lineRule="auto" w:line="252" w:before="0" w:after="0"/>
        <w:ind w:hanging="0" w:start="0" w:end="0"/>
        <w:jc w:val="center"/>
        <w:rPr/>
      </w:pPr>
      <w:r>
        <w:rPr>
          <w:rFonts w:ascii="Times New Roman" w:hAnsi="Times New Roman"/>
          <w:sz w:val="22"/>
          <w:lang w:val="es-CO"/>
        </w:rPr>
        <w:t>E. Aristizábal</w:t>
      </w:r>
      <w:hyperlink w:anchor="tk-1">
        <w:bookmarkStart w:id="0" w:name="kt-1"/>
        <w:bookmarkEnd w:id="0"/>
        <w:r>
          <w:rPr>
            <w:rStyle w:val="Hyperlink"/>
            <w:lang w:val="es-CO"/>
          </w:rPr>
          <w:t>*</w:t>
        </w:r>
      </w:hyperlink>
    </w:p>
    <w:p>
      <w:pPr>
        <w:pStyle w:val="BodyText"/>
        <w:bidi w:val="0"/>
        <w:spacing w:before="0" w:after="0"/>
        <w:jc w:val="start"/>
        <w:rPr>
          <w:lang w:val="es-CO"/>
        </w:rPr>
      </w:pPr>
      <w:r>
        <w:rPr>
          <w:lang w:val="es-CO"/>
        </w:rPr>
      </w:r>
    </w:p>
    <w:p>
      <w:pPr>
        <w:pStyle w:val="BodyText"/>
        <w:bidi w:val="0"/>
        <w:spacing w:lineRule="auto" w:line="252" w:before="0" w:after="0"/>
        <w:ind w:hanging="0" w:start="0" w:end="0"/>
        <w:jc w:val="both"/>
        <w:rPr>
          <w:lang w:val="es-CO"/>
        </w:rPr>
      </w:pPr>
      <w:r>
        <w:rPr>
          <w:rFonts w:ascii="Times New Roman" w:hAnsi="Times New Roman"/>
          <w:b/>
          <w:i/>
          <w:sz w:val="18"/>
          <w:lang w:val="es-CO"/>
        </w:rPr>
        <w:t>Resumen</w:t>
      </w:r>
      <w:r>
        <w:rPr>
          <w:rFonts w:ascii="Times New Roman" w:hAnsi="Times New Roman"/>
          <w:sz w:val="18"/>
          <w:lang w:val="es-CO"/>
        </w:rPr>
        <w:t>—</w:t>
      </w:r>
      <w:r>
        <w:rPr>
          <w:rFonts w:ascii="Times New Roman" w:hAnsi="Times New Roman"/>
          <w:b/>
          <w:sz w:val="18"/>
          <w:lang w:val="es-CO"/>
        </w:rPr>
        <w:t>Los movimientos en masa representan una de las amenazas naturales más destructivas en regiones montañosas tropicales</w:t>
      </w:r>
      <w:r>
        <w:rPr>
          <w:rFonts w:ascii="Times New Roman" w:hAnsi="Times New Roman"/>
          <w:sz w:val="18"/>
          <w:lang w:val="es-CO"/>
        </w:rPr>
        <w:t xml:space="preserve"> </w:t>
      </w:r>
      <w:r>
        <w:rPr>
          <w:rFonts w:ascii="Times New Roman" w:hAnsi="Times New Roman"/>
          <w:b/>
          <w:sz w:val="18"/>
          <w:lang w:val="es-CO"/>
        </w:rPr>
        <w:t>densamente urbanizadas. La modelación estadística de la susceptibilidad ha recurrido históricamente a enfoques de regresión logística</w:t>
      </w:r>
      <w:r>
        <w:rPr>
          <w:rFonts w:ascii="Times New Roman" w:hAnsi="Times New Roman"/>
          <w:sz w:val="18"/>
          <w:lang w:val="es-CO"/>
        </w:rPr>
        <w:t xml:space="preserve"> </w:t>
      </w:r>
      <w:r>
        <w:rPr>
          <w:rFonts w:ascii="Times New Roman" w:hAnsi="Times New Roman"/>
          <w:b/>
          <w:sz w:val="18"/>
          <w:lang w:val="es-CO"/>
        </w:rPr>
        <w:t>o aprendizaje automático que tratan el inventario como una respuesta binaria de presencia-ausencia en una cuadrícula regular,</w:t>
      </w:r>
      <w:r>
        <w:rPr>
          <w:rFonts w:ascii="Times New Roman" w:hAnsi="Times New Roman"/>
          <w:sz w:val="18"/>
          <w:lang w:val="es-CO"/>
        </w:rPr>
        <w:t xml:space="preserve"> </w:t>
      </w:r>
      <w:r>
        <w:rPr>
          <w:rFonts w:ascii="Times New Roman" w:hAnsi="Times New Roman"/>
          <w:b/>
          <w:sz w:val="18"/>
          <w:lang w:val="es-CO"/>
        </w:rPr>
        <w:t>ignorando la naturaleza de proceso puntual de los datos. Este estudio aplica un Proceso de Poisson No Homogéneo (NHPP) mediante</w:t>
      </w:r>
      <w:r>
        <w:rPr>
          <w:rFonts w:ascii="Times New Roman" w:hAnsi="Times New Roman"/>
          <w:sz w:val="18"/>
          <w:lang w:val="es-CO"/>
        </w:rPr>
        <w:t xml:space="preserve"> </w:t>
      </w:r>
      <w:r>
        <w:rPr>
          <w:rFonts w:ascii="Times New Roman" w:hAnsi="Times New Roman"/>
          <w:b/>
          <w:sz w:val="18"/>
          <w:lang w:val="es-CO"/>
        </w:rPr>
        <w:t xml:space="preserve">la aproximación INLA a un inventario de </w:t>
      </w:r>
      <w:r>
        <w:rPr>
          <w:rFonts w:ascii="Times New Roman" w:hAnsi="Times New Roman"/>
          <w:b/>
          <w:i/>
          <w:sz w:val="18"/>
          <w:lang w:val="es-CO"/>
        </w:rPr>
        <w:t xml:space="preserve">2504 </w:t>
      </w:r>
      <w:r>
        <w:rPr>
          <w:rFonts w:ascii="Times New Roman" w:hAnsi="Times New Roman"/>
          <w:b/>
          <w:sz w:val="18"/>
          <w:lang w:val="es-CO"/>
        </w:rPr>
        <w:t>movimientos en masa en Medellín (Colombia). La log-intensidad se modela como</w:t>
      </w:r>
      <w:r>
        <w:rPr>
          <w:rFonts w:ascii="Times New Roman" w:hAnsi="Times New Roman"/>
          <w:sz w:val="18"/>
          <w:lang w:val="es-CO"/>
        </w:rPr>
        <w:t xml:space="preserve"> </w:t>
      </w:r>
      <w:r>
        <w:rPr>
          <w:rFonts w:ascii="Times New Roman" w:hAnsi="Times New Roman"/>
          <w:b/>
          <w:sz w:val="18"/>
          <w:lang w:val="es-CO"/>
        </w:rPr>
        <w:t xml:space="preserve">función log-lineal de cuatro predictores derivados de un Modelo Digital de Elevación de </w:t>
      </w:r>
      <w:r>
        <w:rPr>
          <w:rFonts w:ascii="Times New Roman" w:hAnsi="Times New Roman"/>
          <w:b/>
          <w:i/>
          <w:sz w:val="18"/>
          <w:lang w:val="es-CO"/>
        </w:rPr>
        <w:t>2 m</w:t>
      </w:r>
      <w:r>
        <w:rPr>
          <w:rFonts w:ascii="Times New Roman" w:hAnsi="Times New Roman"/>
          <w:b/>
          <w:sz w:val="18"/>
          <w:lang w:val="es-CO"/>
        </w:rPr>
        <w:t>: pendiente, aspecto, indicador de suelos</w:t>
      </w:r>
      <w:r>
        <w:rPr>
          <w:rFonts w:ascii="Times New Roman" w:hAnsi="Times New Roman"/>
          <w:sz w:val="18"/>
          <w:lang w:val="es-CO"/>
        </w:rPr>
        <w:t xml:space="preserve"> </w:t>
      </w:r>
      <w:r>
        <w:rPr>
          <w:rFonts w:ascii="Times New Roman" w:hAnsi="Times New Roman"/>
          <w:b/>
          <w:sz w:val="18"/>
          <w:lang w:val="es-CO"/>
        </w:rPr>
        <w:t>finos y cobertura urbana. El modelo produce estimaciones identificables y físicamente interpretables: pendiente (0,901; IC 95 %:</w:t>
      </w:r>
      <w:r>
        <w:rPr>
          <w:rFonts w:ascii="Times New Roman" w:hAnsi="Times New Roman"/>
          <w:sz w:val="18"/>
          <w:lang w:val="es-CO"/>
        </w:rPr>
        <w:t xml:space="preserve"> </w:t>
      </w:r>
      <w:r>
        <w:rPr>
          <w:rFonts w:ascii="Times New Roman" w:hAnsi="Times New Roman"/>
          <w:b/>
          <w:sz w:val="18"/>
          <w:lang w:val="es-CO"/>
        </w:rPr>
        <w:t>[0,856; 0,946]), aspecto (-0,243; [-0,283; -0,204]), cobertura urbana (-0,971; [-1,154; -0,788]) y suelos finos (-0,709; [-0,790; -0,628]),</w:t>
      </w:r>
      <w:r>
        <w:rPr>
          <w:rFonts w:ascii="Times New Roman" w:hAnsi="Times New Roman"/>
          <w:sz w:val="18"/>
          <w:lang w:val="es-CO"/>
        </w:rPr>
        <w:t xml:space="preserve"> </w:t>
      </w:r>
      <w:r>
        <w:rPr>
          <w:rFonts w:ascii="Times New Roman" w:hAnsi="Times New Roman"/>
          <w:b/>
          <w:sz w:val="18"/>
          <w:lang w:val="es-CO"/>
        </w:rPr>
        <w:t>confirmando el control geomorfológico y litológico de la susceptibilidad. La capacidad discriminativa del modelo es AUC</w:t>
      </w:r>
      <w:r>
        <w:rPr>
          <w:rFonts w:ascii="Times New Roman" w:hAnsi="Times New Roman"/>
          <w:sz w:val="18"/>
          <w:lang w:val="es-CO"/>
        </w:rPr>
        <w:t> </w:t>
      </w:r>
      <w:r>
        <w:rPr>
          <w:rFonts w:ascii="Times New Roman" w:hAnsi="Times New Roman"/>
          <w:b/>
          <w:sz w:val="18"/>
          <w:lang w:val="es-CO"/>
        </w:rPr>
        <w:t>=</w:t>
      </w:r>
      <w:r>
        <w:rPr>
          <w:rFonts w:ascii="Times New Roman" w:hAnsi="Times New Roman"/>
          <w:sz w:val="18"/>
          <w:lang w:val="es-CO"/>
        </w:rPr>
        <w:t> </w:t>
      </w:r>
      <w:r>
        <w:rPr>
          <w:rFonts w:ascii="Times New Roman" w:hAnsi="Times New Roman"/>
          <w:b/>
          <w:sz w:val="18"/>
          <w:lang w:val="es-CO"/>
        </w:rPr>
        <w:t>0,762,</w:t>
      </w:r>
      <w:r>
        <w:rPr>
          <w:rFonts w:ascii="Times New Roman" w:hAnsi="Times New Roman"/>
          <w:sz w:val="18"/>
          <w:lang w:val="es-CO"/>
        </w:rPr>
        <w:t xml:space="preserve"> </w:t>
      </w:r>
      <w:r>
        <w:rPr>
          <w:rFonts w:ascii="Times New Roman" w:hAnsi="Times New Roman"/>
          <w:b/>
          <w:sz w:val="18"/>
          <w:lang w:val="es-CO"/>
        </w:rPr>
        <w:t>superior a modelos de proceso puntual topográficos reportados en la literatura para contextos similares. El enfoque ofrece una base</w:t>
      </w:r>
      <w:r>
        <w:rPr>
          <w:rFonts w:ascii="Times New Roman" w:hAnsi="Times New Roman"/>
          <w:sz w:val="18"/>
          <w:lang w:val="es-CO"/>
        </w:rPr>
        <w:t xml:space="preserve"> </w:t>
      </w:r>
      <w:r>
        <w:rPr>
          <w:rFonts w:ascii="Times New Roman" w:hAnsi="Times New Roman"/>
          <w:b/>
          <w:sz w:val="18"/>
          <w:lang w:val="es-CO"/>
        </w:rPr>
        <w:t>probabilística rigurosa para la evaluación cuantitativa de la amenaza por movimientos en masa.</w:t>
      </w:r>
    </w:p>
    <w:p>
      <w:pPr>
        <w:pStyle w:val="BodyText"/>
        <w:bidi w:val="0"/>
        <w:spacing w:lineRule="auto" w:line="252" w:before="0" w:after="0"/>
        <w:ind w:hanging="0" w:start="0" w:end="0"/>
        <w:jc w:val="both"/>
        <w:rPr>
          <w:lang w:val="es-CO"/>
        </w:rPr>
      </w:pPr>
      <w:r>
        <w:rPr>
          <w:rFonts w:ascii="Times New Roman" w:hAnsi="Times New Roman"/>
          <w:b/>
          <w:i/>
          <w:sz w:val="18"/>
          <w:lang w:val="es-CO"/>
        </w:rPr>
        <w:t>Palabras clave</w:t>
      </w:r>
      <w:r>
        <w:rPr>
          <w:rFonts w:ascii="Times New Roman" w:hAnsi="Times New Roman"/>
          <w:sz w:val="18"/>
          <w:lang w:val="es-CO"/>
        </w:rPr>
        <w:t>—</w:t>
      </w:r>
      <w:r>
        <w:rPr>
          <w:rFonts w:ascii="Times New Roman" w:hAnsi="Times New Roman"/>
          <w:b/>
          <w:sz w:val="18"/>
          <w:lang w:val="es-CO"/>
        </w:rPr>
        <w:t>Medellín; movimientos en masa; Proceso de Poisson No Homogéneo; proceso puntual espacial; susceptibilidad.</w:t>
      </w:r>
    </w:p>
    <w:p>
      <w:pPr>
        <w:pStyle w:val="BodyText"/>
        <w:bidi w:val="0"/>
        <w:spacing w:lineRule="auto" w:line="252" w:before="0" w:after="0"/>
        <w:ind w:hanging="0" w:start="0" w:end="0"/>
        <w:jc w:val="both"/>
        <w:rPr>
          <w:lang w:val="es-CO"/>
        </w:rPr>
      </w:pPr>
      <w:r>
        <w:rPr>
          <w:lang w:val="es-CO"/>
        </w:rPr>
      </w:r>
    </w:p>
    <w:p>
      <w:pPr>
        <w:pStyle w:val="BodyText"/>
        <w:bidi w:val="0"/>
        <w:spacing w:lineRule="auto" w:line="252" w:before="0" w:after="0"/>
        <w:ind w:hanging="0" w:start="0" w:end="0"/>
        <w:jc w:val="both"/>
        <w:rPr>
          <w:lang w:val="es-CO"/>
        </w:rPr>
      </w:pPr>
      <w:r>
        <w:rPr>
          <w:rFonts w:ascii="Times New Roman" w:hAnsi="Times New Roman"/>
          <w:b/>
          <w:i/>
          <w:sz w:val="18"/>
          <w:lang w:val="es-CO"/>
        </w:rPr>
        <w:t>Abstract</w:t>
      </w:r>
      <w:r>
        <w:rPr>
          <w:rFonts w:ascii="Times New Roman" w:hAnsi="Times New Roman"/>
          <w:sz w:val="18"/>
          <w:lang w:val="es-CO"/>
        </w:rPr>
        <w:t>—</w:t>
      </w:r>
      <w:r>
        <w:rPr>
          <w:rFonts w:ascii="Times New Roman" w:hAnsi="Times New Roman"/>
          <w:b/>
          <w:sz w:val="18"/>
          <w:lang w:val="es-CO"/>
        </w:rPr>
        <w:t>Landslides represent one of the most destructive natural hazards in densely urbanized tropical mountainous regions.</w:t>
      </w:r>
      <w:r>
        <w:rPr>
          <w:rFonts w:ascii="Times New Roman" w:hAnsi="Times New Roman"/>
          <w:sz w:val="18"/>
          <w:lang w:val="es-CO"/>
        </w:rPr>
        <w:t xml:space="preserve"> </w:t>
      </w:r>
      <w:r>
        <w:rPr>
          <w:rFonts w:ascii="Times New Roman" w:hAnsi="Times New Roman"/>
          <w:b/>
          <w:sz w:val="18"/>
          <w:lang w:val="es-CO"/>
        </w:rPr>
        <w:t>Statistical susceptibility modeling has historically relied on logistic regression or machine learning approaches that treat the inventory</w:t>
      </w:r>
      <w:r>
        <w:rPr>
          <w:rFonts w:ascii="Times New Roman" w:hAnsi="Times New Roman"/>
          <w:sz w:val="18"/>
          <w:lang w:val="es-CO"/>
        </w:rPr>
        <w:t xml:space="preserve"> </w:t>
      </w:r>
      <w:r>
        <w:rPr>
          <w:rFonts w:ascii="Times New Roman" w:hAnsi="Times New Roman"/>
          <w:b/>
          <w:sz w:val="18"/>
          <w:lang w:val="es-CO"/>
        </w:rPr>
        <w:t>as a binary presence-absence response on a regular grid, ignoring the point process nature of the data. This study applies a</w:t>
      </w:r>
      <w:r>
        <w:rPr>
          <w:rFonts w:ascii="Times New Roman" w:hAnsi="Times New Roman"/>
          <w:sz w:val="18"/>
          <w:lang w:val="es-CO"/>
        </w:rPr>
        <w:t xml:space="preserve"> </w:t>
      </w:r>
      <w:r>
        <w:rPr>
          <w:rFonts w:ascii="Times New Roman" w:hAnsi="Times New Roman"/>
          <w:b/>
          <w:sz w:val="18"/>
          <w:lang w:val="es-CO"/>
        </w:rPr>
        <w:t xml:space="preserve">Non-Homogeneous Poisson Process (NHPP) through the INLA approximation to an inventory of </w:t>
      </w:r>
      <w:r>
        <w:rPr>
          <w:rFonts w:ascii="Times New Roman" w:hAnsi="Times New Roman"/>
          <w:b/>
          <w:i/>
          <w:sz w:val="18"/>
          <w:lang w:val="es-CO"/>
        </w:rPr>
        <w:t xml:space="preserve">2504 </w:t>
      </w:r>
      <w:r>
        <w:rPr>
          <w:rFonts w:ascii="Times New Roman" w:hAnsi="Times New Roman"/>
          <w:b/>
          <w:sz w:val="18"/>
          <w:lang w:val="es-CO"/>
        </w:rPr>
        <w:t>landslides in Medellín, Colombia.</w:t>
      </w:r>
      <w:r>
        <w:rPr>
          <w:rFonts w:ascii="Times New Roman" w:hAnsi="Times New Roman"/>
          <w:sz w:val="18"/>
          <w:lang w:val="es-CO"/>
        </w:rPr>
        <w:t xml:space="preserve"> </w:t>
      </w:r>
      <w:r>
        <w:rPr>
          <w:rFonts w:ascii="Times New Roman" w:hAnsi="Times New Roman"/>
          <w:b/>
          <w:sz w:val="18"/>
          <w:lang w:val="es-CO"/>
        </w:rPr>
        <w:t xml:space="preserve">The log-intensity is modeled as a log-linear function of four predictors derived from a </w:t>
      </w:r>
      <w:r>
        <w:rPr>
          <w:rFonts w:ascii="Times New Roman" w:hAnsi="Times New Roman"/>
          <w:b/>
          <w:i/>
          <w:sz w:val="18"/>
          <w:lang w:val="es-CO"/>
        </w:rPr>
        <w:t xml:space="preserve">2 m </w:t>
      </w:r>
      <w:r>
        <w:rPr>
          <w:rFonts w:ascii="Times New Roman" w:hAnsi="Times New Roman"/>
          <w:b/>
          <w:sz w:val="18"/>
          <w:lang w:val="es-CO"/>
        </w:rPr>
        <w:t>resolution Digital Elevation Model: slope,</w:t>
      </w:r>
      <w:r>
        <w:rPr>
          <w:rFonts w:ascii="Times New Roman" w:hAnsi="Times New Roman"/>
          <w:sz w:val="18"/>
          <w:lang w:val="es-CO"/>
        </w:rPr>
        <w:t xml:space="preserve"> </w:t>
      </w:r>
      <w:r>
        <w:rPr>
          <w:rFonts w:ascii="Times New Roman" w:hAnsi="Times New Roman"/>
          <w:b/>
          <w:sz w:val="18"/>
          <w:lang w:val="es-CO"/>
        </w:rPr>
        <w:t>aspect, fine-soil indicator, and urban cover. The model produces identifiable and physically interpretable estimates: slope (0.901; 95 %</w:t>
      </w:r>
      <w:r>
        <w:rPr>
          <w:rFonts w:ascii="Times New Roman" w:hAnsi="Times New Roman"/>
          <w:sz w:val="18"/>
          <w:lang w:val="es-CO"/>
        </w:rPr>
        <w:t xml:space="preserve"> </w:t>
      </w:r>
      <w:r>
        <w:rPr>
          <w:rFonts w:ascii="Times New Roman" w:hAnsi="Times New Roman"/>
          <w:b/>
          <w:sz w:val="18"/>
          <w:lang w:val="es-CO"/>
        </w:rPr>
        <w:t>CI: [0.856; 0.946]), aspect (-0.243; [-0.283; -0.204]), urban cover (-0.971; [-1.154; -0.788]), and fine soils (-0.709; [-0.790; -0.628]),</w:t>
      </w:r>
      <w:r>
        <w:rPr>
          <w:rFonts w:ascii="Times New Roman" w:hAnsi="Times New Roman"/>
          <w:sz w:val="18"/>
          <w:lang w:val="es-CO"/>
        </w:rPr>
        <w:t xml:space="preserve"> </w:t>
      </w:r>
      <w:r>
        <w:rPr>
          <w:rFonts w:ascii="Times New Roman" w:hAnsi="Times New Roman"/>
          <w:b/>
          <w:sz w:val="18"/>
          <w:lang w:val="es-CO"/>
        </w:rPr>
        <w:t>confirming the geomorphological and lithological control of susceptibility. The discriminative capacity of the model is AUC</w:t>
      </w:r>
      <w:r>
        <w:rPr>
          <w:rFonts w:ascii="Times New Roman" w:hAnsi="Times New Roman"/>
          <w:sz w:val="18"/>
          <w:lang w:val="es-CO"/>
        </w:rPr>
        <w:t> </w:t>
      </w:r>
      <w:r>
        <w:rPr>
          <w:rFonts w:ascii="Times New Roman" w:hAnsi="Times New Roman"/>
          <w:b/>
          <w:sz w:val="18"/>
          <w:lang w:val="es-CO"/>
        </w:rPr>
        <w:t>=</w:t>
      </w:r>
      <w:r>
        <w:rPr>
          <w:rFonts w:ascii="Times New Roman" w:hAnsi="Times New Roman"/>
          <w:sz w:val="18"/>
          <w:lang w:val="es-CO"/>
        </w:rPr>
        <w:t> </w:t>
      </w:r>
      <w:r>
        <w:rPr>
          <w:rFonts w:ascii="Times New Roman" w:hAnsi="Times New Roman"/>
          <w:b/>
          <w:sz w:val="18"/>
          <w:lang w:val="es-CO"/>
        </w:rPr>
        <w:t>0.762,</w:t>
      </w:r>
      <w:r>
        <w:rPr>
          <w:rFonts w:ascii="Times New Roman" w:hAnsi="Times New Roman"/>
          <w:sz w:val="18"/>
          <w:lang w:val="es-CO"/>
        </w:rPr>
        <w:t xml:space="preserve"> </w:t>
      </w:r>
      <w:r>
        <w:rPr>
          <w:rFonts w:ascii="Times New Roman" w:hAnsi="Times New Roman"/>
          <w:b/>
          <w:sz w:val="18"/>
          <w:lang w:val="es-CO"/>
        </w:rPr>
        <w:t>superior to topographic point process models reported in the literature for similar contexts. The approach offers a rigorous probabilistic</w:t>
      </w:r>
      <w:r>
        <w:rPr>
          <w:rFonts w:ascii="Times New Roman" w:hAnsi="Times New Roman"/>
          <w:sz w:val="18"/>
          <w:lang w:val="es-CO"/>
        </w:rPr>
        <w:t xml:space="preserve"> </w:t>
      </w:r>
      <w:r>
        <w:rPr>
          <w:rFonts w:ascii="Times New Roman" w:hAnsi="Times New Roman"/>
          <w:b/>
          <w:sz w:val="18"/>
          <w:lang w:val="es-CO"/>
        </w:rPr>
        <w:t>basis for quantitative landslide hazard assessment.</w:t>
      </w:r>
    </w:p>
    <w:p>
      <w:pPr>
        <w:pStyle w:val="BodyText"/>
        <w:bidi w:val="0"/>
        <w:spacing w:lineRule="auto" w:line="252" w:before="0" w:after="0"/>
        <w:ind w:hanging="0" w:start="0" w:end="0"/>
        <w:jc w:val="both"/>
        <w:rPr>
          <w:lang w:val="es-CO"/>
        </w:rPr>
      </w:pPr>
      <w:r>
        <w:rPr>
          <w:rFonts w:ascii="Times New Roman" w:hAnsi="Times New Roman"/>
          <w:b/>
          <w:i/>
          <w:sz w:val="18"/>
          <w:lang w:val="es-CO"/>
        </w:rPr>
        <w:t>Keywords</w:t>
      </w:r>
      <w:r>
        <w:rPr>
          <w:rFonts w:ascii="Times New Roman" w:hAnsi="Times New Roman"/>
          <w:sz w:val="18"/>
          <w:lang w:val="es-CO"/>
        </w:rPr>
        <w:t>—</w:t>
      </w:r>
      <w:r>
        <w:rPr>
          <w:rFonts w:ascii="Times New Roman" w:hAnsi="Times New Roman"/>
          <w:b/>
          <w:sz w:val="18"/>
          <w:lang w:val="es-CO"/>
        </w:rPr>
        <w:t>landslide susceptibility; Medellín; Non-Homogeneous Poisson Process; spatial point process.</w:t>
      </w:r>
    </w:p>
    <w:p>
      <w:pPr>
        <w:pStyle w:val="BodyText"/>
        <w:bidi w:val="0"/>
        <w:spacing w:lineRule="auto" w:line="252" w:before="0" w:after="0"/>
        <w:ind w:hanging="0" w:start="0" w:end="0"/>
        <w:jc w:val="both"/>
        <w:rPr>
          <w:lang w:val="es-CO"/>
        </w:rPr>
      </w:pPr>
      <w:r>
        <w:rPr>
          <w:lang w:val="es-CO"/>
        </w:rPr>
      </w:r>
    </w:p>
    <w:p>
      <w:pPr>
        <w:pStyle w:val="BodyText"/>
        <w:bidi w:val="0"/>
        <w:spacing w:lineRule="auto" w:line="252" w:before="0" w:after="0"/>
        <w:ind w:hanging="0" w:start="0" w:end="0"/>
        <w:jc w:val="both"/>
        <w:rPr>
          <w:lang w:val="es-CO"/>
        </w:rPr>
      </w:pPr>
      <w:r>
        <w:rPr>
          <w:rFonts w:ascii="Times New Roman" w:hAnsi="Times New Roman"/>
          <w:b/>
          <w:i/>
          <w:sz w:val="18"/>
          <w:lang w:val="es-CO"/>
        </w:rPr>
        <w:t>Resumo</w:t>
      </w:r>
      <w:r>
        <w:rPr>
          <w:rFonts w:ascii="Times New Roman" w:hAnsi="Times New Roman"/>
          <w:sz w:val="18"/>
          <w:lang w:val="es-CO"/>
        </w:rPr>
        <w:t>—</w:t>
      </w:r>
      <w:r>
        <w:rPr>
          <w:rFonts w:ascii="Times New Roman" w:hAnsi="Times New Roman"/>
          <w:b/>
          <w:sz w:val="18"/>
          <w:lang w:val="es-CO"/>
        </w:rPr>
        <w:t>Os movimentos de massa representam uma das ameaças naturais mais destrutivas em regiões montanhosas tropicais</w:t>
      </w:r>
      <w:r>
        <w:rPr>
          <w:rFonts w:ascii="Times New Roman" w:hAnsi="Times New Roman"/>
          <w:sz w:val="18"/>
          <w:lang w:val="es-CO"/>
        </w:rPr>
        <w:t xml:space="preserve"> </w:t>
      </w:r>
      <w:r>
        <w:rPr>
          <w:rFonts w:ascii="Times New Roman" w:hAnsi="Times New Roman"/>
          <w:b/>
          <w:sz w:val="18"/>
          <w:lang w:val="es-CO"/>
        </w:rPr>
        <w:t>densamente urbanizadas. A modelagem estatística da suscetibilidade tem recorrido historicamente a abordagens de regressão logística</w:t>
      </w:r>
      <w:r>
        <w:rPr>
          <w:rFonts w:ascii="Times New Roman" w:hAnsi="Times New Roman"/>
          <w:sz w:val="18"/>
          <w:lang w:val="es-CO"/>
        </w:rPr>
        <w:t xml:space="preserve"> </w:t>
      </w:r>
      <w:r>
        <w:rPr>
          <w:rFonts w:ascii="Times New Roman" w:hAnsi="Times New Roman"/>
          <w:b/>
          <w:sz w:val="18"/>
          <w:lang w:val="es-CO"/>
        </w:rPr>
        <w:t>ou aprendizado de máquina que tratam o inventário como uma resposta binária de presença-ausência em uma grade regular, ignorando</w:t>
      </w:r>
      <w:r>
        <w:rPr>
          <w:rFonts w:ascii="Times New Roman" w:hAnsi="Times New Roman"/>
          <w:sz w:val="18"/>
          <w:lang w:val="es-CO"/>
        </w:rPr>
        <w:t xml:space="preserve"> </w:t>
      </w:r>
      <w:r>
        <w:rPr>
          <w:rFonts w:ascii="Times New Roman" w:hAnsi="Times New Roman"/>
          <w:b/>
          <w:sz w:val="18"/>
          <w:lang w:val="es-CO"/>
        </w:rPr>
        <w:t>a natureza de processo pontual dos dados. Este estudo aplica um Processo de Poisson Não Homogêneo (PPNH) mediante a aproximação</w:t>
      </w:r>
      <w:r>
        <w:rPr>
          <w:rFonts w:ascii="Times New Roman" w:hAnsi="Times New Roman"/>
          <w:sz w:val="18"/>
          <w:lang w:val="es-CO"/>
        </w:rPr>
        <w:t xml:space="preserve"> </w:t>
      </w:r>
      <w:r>
        <w:rPr>
          <w:rFonts w:ascii="Times New Roman" w:hAnsi="Times New Roman"/>
          <w:b/>
          <w:sz w:val="18"/>
          <w:lang w:val="es-CO"/>
        </w:rPr>
        <w:t xml:space="preserve">INLA a um inventário de </w:t>
      </w:r>
      <w:r>
        <w:rPr>
          <w:rFonts w:ascii="Times New Roman" w:hAnsi="Times New Roman"/>
          <w:b/>
          <w:i/>
          <w:sz w:val="18"/>
          <w:lang w:val="es-CO"/>
        </w:rPr>
        <w:t xml:space="preserve">2504 </w:t>
      </w:r>
      <w:r>
        <w:rPr>
          <w:rFonts w:ascii="Times New Roman" w:hAnsi="Times New Roman"/>
          <w:b/>
          <w:sz w:val="18"/>
          <w:lang w:val="es-CO"/>
        </w:rPr>
        <w:t>movimentos de massa em Medellín, Colômbia. A log-intensidade é modelada como função log-linear</w:t>
      </w:r>
      <w:r>
        <w:rPr>
          <w:rFonts w:ascii="Times New Roman" w:hAnsi="Times New Roman"/>
          <w:sz w:val="18"/>
          <w:lang w:val="es-CO"/>
        </w:rPr>
        <w:t xml:space="preserve"> </w:t>
      </w:r>
      <w:r>
        <w:rPr>
          <w:rFonts w:ascii="Times New Roman" w:hAnsi="Times New Roman"/>
          <w:b/>
          <w:sz w:val="18"/>
          <w:lang w:val="es-CO"/>
        </w:rPr>
        <w:t xml:space="preserve">de quatro preditores derivados de um Modelo Digital de Elevação de </w:t>
      </w:r>
      <w:r>
        <w:rPr>
          <w:rFonts w:ascii="Times New Roman" w:hAnsi="Times New Roman"/>
          <w:b/>
          <w:i/>
          <w:sz w:val="18"/>
          <w:lang w:val="es-CO"/>
        </w:rPr>
        <w:t xml:space="preserve">2 m </w:t>
      </w:r>
      <w:r>
        <w:rPr>
          <w:rFonts w:ascii="Times New Roman" w:hAnsi="Times New Roman"/>
          <w:b/>
          <w:sz w:val="18"/>
          <w:lang w:val="es-CO"/>
        </w:rPr>
        <w:t>de resolução: declividade, aspecto, indicador de solos finos</w:t>
      </w:r>
      <w:r>
        <w:rPr>
          <w:rFonts w:ascii="Times New Roman" w:hAnsi="Times New Roman"/>
          <w:sz w:val="18"/>
          <w:lang w:val="es-CO"/>
        </w:rPr>
        <w:t xml:space="preserve"> </w:t>
      </w:r>
      <w:r>
        <w:rPr>
          <w:rFonts w:ascii="Times New Roman" w:hAnsi="Times New Roman"/>
          <w:b/>
          <w:sz w:val="18"/>
          <w:lang w:val="es-CO"/>
        </w:rPr>
        <w:t>e cobertura urbana. O modelo produz estimativas identificáveis e fisicamente interpretáveis, confirmando o controle geomorfológico</w:t>
      </w:r>
      <w:r>
        <w:rPr>
          <w:rFonts w:ascii="Times New Roman" w:hAnsi="Times New Roman"/>
          <w:sz w:val="18"/>
          <w:lang w:val="es-CO"/>
        </w:rPr>
        <w:t xml:space="preserve"> </w:t>
      </w:r>
      <w:r>
        <w:rPr>
          <w:rFonts w:ascii="Times New Roman" w:hAnsi="Times New Roman"/>
          <w:b/>
          <w:sz w:val="18"/>
          <w:lang w:val="es-CO"/>
        </w:rPr>
        <w:t>e litológico da suscetibilidade. A capacidade discriminativa do modelo é AUC</w:t>
      </w:r>
      <w:r>
        <w:rPr>
          <w:rFonts w:ascii="Times New Roman" w:hAnsi="Times New Roman"/>
          <w:sz w:val="18"/>
          <w:lang w:val="es-CO"/>
        </w:rPr>
        <w:t> </w:t>
      </w:r>
      <w:r>
        <w:rPr>
          <w:rFonts w:ascii="Times New Roman" w:hAnsi="Times New Roman"/>
          <w:b/>
          <w:sz w:val="18"/>
          <w:lang w:val="es-CO"/>
        </w:rPr>
        <w:t>=</w:t>
      </w:r>
      <w:r>
        <w:rPr>
          <w:rFonts w:ascii="Times New Roman" w:hAnsi="Times New Roman"/>
          <w:sz w:val="18"/>
          <w:lang w:val="es-CO"/>
        </w:rPr>
        <w:t> </w:t>
      </w:r>
      <w:r>
        <w:rPr>
          <w:rFonts w:ascii="Times New Roman" w:hAnsi="Times New Roman"/>
          <w:b/>
          <w:sz w:val="18"/>
          <w:lang w:val="es-CO"/>
        </w:rPr>
        <w:t>0,762, superior a modelos de processo pontual</w:t>
      </w:r>
      <w:r>
        <w:rPr>
          <w:rFonts w:ascii="Times New Roman" w:hAnsi="Times New Roman"/>
          <w:sz w:val="18"/>
          <w:lang w:val="es-CO"/>
        </w:rPr>
        <w:t xml:space="preserve"> </w:t>
      </w:r>
      <w:r>
        <w:rPr>
          <w:rFonts w:ascii="Times New Roman" w:hAnsi="Times New Roman"/>
          <w:b/>
          <w:sz w:val="18"/>
          <w:lang w:val="es-CO"/>
        </w:rPr>
        <w:t>topográficos reportados na literatura para contextos similares. A abordagem oferece uma base probabilística rigorosa para a avaliação</w:t>
      </w:r>
      <w:r>
        <w:rPr>
          <w:rFonts w:ascii="Times New Roman" w:hAnsi="Times New Roman"/>
          <w:sz w:val="18"/>
          <w:lang w:val="es-CO"/>
        </w:rPr>
        <w:t xml:space="preserve"> </w:t>
      </w:r>
      <w:r>
        <w:rPr>
          <w:rFonts w:ascii="Times New Roman" w:hAnsi="Times New Roman"/>
          <w:b/>
          <w:sz w:val="18"/>
          <w:lang w:val="es-CO"/>
        </w:rPr>
        <w:t>quantitativa da ameaça por movimentos de massa.</w:t>
      </w:r>
    </w:p>
    <w:p>
      <w:pPr>
        <w:pStyle w:val="BodyText"/>
        <w:bidi w:val="0"/>
        <w:spacing w:lineRule="auto" w:line="252" w:before="0" w:after="0"/>
        <w:ind w:hanging="0" w:start="0" w:end="0"/>
        <w:jc w:val="both"/>
        <w:rPr>
          <w:lang w:val="es-CO"/>
        </w:rPr>
      </w:pPr>
      <w:r>
        <w:rPr>
          <w:rFonts w:ascii="Times New Roman" w:hAnsi="Times New Roman"/>
          <w:b/>
          <w:i/>
          <w:sz w:val="18"/>
          <w:lang w:val="es-CO"/>
        </w:rPr>
        <w:t>Palavras-chave</w:t>
      </w:r>
      <w:r>
        <w:rPr>
          <w:rFonts w:ascii="Times New Roman" w:hAnsi="Times New Roman"/>
          <w:sz w:val="18"/>
          <w:lang w:val="es-CO"/>
        </w:rPr>
        <w:t>—</w:t>
      </w:r>
      <w:r>
        <w:rPr>
          <w:rFonts w:ascii="Times New Roman" w:hAnsi="Times New Roman"/>
          <w:b/>
          <w:sz w:val="18"/>
          <w:lang w:val="es-CO"/>
        </w:rPr>
        <w:t>Medellín; movimentos de massa; Processo de Poisson Não Homogêneo; processo pontual espacial; suscetibilidade.</w:t>
      </w:r>
    </w:p>
    <w:p>
      <w:pPr>
        <w:pStyle w:val="BodyText"/>
        <w:bidi w:val="0"/>
        <w:spacing w:lineRule="auto" w:line="252" w:before="0" w:after="0"/>
        <w:ind w:hanging="0" w:start="0" w:end="0"/>
        <w:jc w:val="both"/>
        <w:rPr>
          <w:lang w:val="es-CO"/>
        </w:rPr>
      </w:pPr>
      <w:r>
        <w:rPr>
          <w:rFonts w:ascii="Times New Roman" w:hAnsi="Times New Roman"/>
          <w:sz w:val="18"/>
          <w:lang w:val="es-CO"/>
        </w:rPr>
        <w:t xml:space="preserve"> </w:t>
      </w:r>
      <w:r>
        <w:rPr>
          <w:rFonts w:ascii="Times New Roman" w:hAnsi="Times New Roman"/>
          <w:sz w:val="18"/>
          <w:lang w:val="es-CO"/>
        </w:rPr>
        <w:t>_____________________________________________________________________________________</w:t>
      </w:r>
    </w:p>
    <w:p>
      <w:pPr>
        <w:sectPr>
          <w:type w:val="nextPage"/>
          <w:pgSz w:w="12240" w:h="15840"/>
          <w:pgMar w:left="958" w:right="958" w:gutter="0" w:header="0" w:top="958" w:footer="0" w:bottom="958"/>
          <w:pgNumType w:fmt="decimal"/>
          <w:formProt w:val="false"/>
          <w:textDirection w:val="lrTb"/>
          <w:docGrid w:type="default" w:linePitch="100" w:charSpace="0"/>
        </w:sectPr>
      </w:pPr>
    </w:p>
    <w:p>
      <w:pPr>
        <w:pStyle w:val="Heading3"/>
        <w:bidi w:val="0"/>
        <w:spacing w:lineRule="auto" w:line="252" w:before="120" w:after="60"/>
        <w:ind w:hanging="0" w:start="0" w:end="0"/>
        <w:jc w:val="center"/>
        <w:rPr>
          <w:lang w:val="es-CO"/>
        </w:rPr>
      </w:pPr>
      <w:r>
        <w:rPr>
          <w:rFonts w:ascii="Times New Roman" w:hAnsi="Times New Roman"/>
          <w:b w:val="false"/>
          <w:smallCaps/>
          <w:sz w:val="20"/>
          <w:lang w:val="es-CO"/>
        </w:rPr>
        <w:t xml:space="preserve">I. </w:t>
      </w:r>
      <w:bookmarkStart w:id="1" w:name="x1-1000I"/>
      <w:bookmarkEnd w:id="1"/>
      <w:r>
        <w:rPr>
          <w:rFonts w:ascii="Times New Roman" w:hAnsi="Times New Roman"/>
          <w:b w:val="false"/>
          <w:smallCaps/>
          <w:sz w:val="20"/>
          <w:lang w:val="es-CO"/>
        </w:rPr>
        <w:t>Introducción</w:t>
      </w:r>
    </w:p>
    <w:p>
      <w:pPr>
        <w:pStyle w:val="BodyTextindent"/>
        <w:widowControl w:val="false"/>
        <w:suppressAutoHyphens w:val="true"/>
        <w:overflowPunct w:val="true"/>
        <w:bidi w:val="0"/>
        <w:spacing w:lineRule="auto" w:line="252" w:before="0" w:after="0"/>
        <w:ind w:firstLine="280" w:start="0" w:end="0"/>
        <w:jc w:val="both"/>
        <w:rPr/>
      </w:pPr>
      <w:r>
        <w:rPr>
          <w:rFonts w:eastAsia="Noto Serif CJK SC" w:cs="Noto Sans Devanagari" w:ascii="Times New Roman" w:hAnsi="Times New Roman"/>
          <w:color w:val="auto"/>
          <w:kern w:val="0"/>
          <w:sz w:val="20"/>
          <w:szCs w:val="24"/>
          <w:lang w:val="es-CO" w:eastAsia="zh-CN" w:bidi="hi-IN"/>
        </w:rPr>
        <w:t>La modelación de la susceptibilidad por movimientos en masa ha evolucionado desde métodos heurísticos basados en criterios de expertos hasta modelos estadísticos y de aprendizaje automático [</w:t>
      </w:r>
      <w:hyperlink w:anchor="Xreichenbach2018">
        <w:r>
          <w:rPr>
            <w:rStyle w:val="Hyperlink"/>
            <w:rFonts w:eastAsia="Noto Serif CJK SC" w:cs="Noto Sans Devanagari"/>
            <w:color w:val="auto"/>
            <w:kern w:val="0"/>
            <w:sz w:val="24"/>
            <w:szCs w:val="24"/>
            <w:lang w:val="es-CO" w:eastAsia="zh-CN" w:bidi="hi-IN"/>
          </w:rPr>
          <w:t>1</w:t>
        </w:r>
      </w:hyperlink>
      <w:r>
        <w:rPr>
          <w:rFonts w:eastAsia="Noto Serif CJK SC" w:cs="Noto Sans Devanagari" w:ascii="Times New Roman" w:hAnsi="Times New Roman"/>
          <w:color w:val="auto"/>
          <w:kern w:val="0"/>
          <w:sz w:val="20"/>
          <w:szCs w:val="24"/>
          <w:lang w:val="es-CO" w:eastAsia="zh-CN" w:bidi="hi-IN"/>
        </w:rPr>
        <w:t>]. La mayoría de estos métodos estadísticos proyectan el inventario de eventos sobre una cuadrícula regular de celdas, asignan etiquetas binarias de presencia-ausencia de movimientos en masa y modelan la probabilidad de ocurrencia en función de atributos como la pendiente, la curvatura, la litología o el uso del suelo, entre otros [</w:t>
      </w:r>
      <w:hyperlink w:anchor="Xguzzetti2005">
        <w:r>
          <w:rPr>
            <w:rStyle w:val="Hyperlink"/>
            <w:rFonts w:eastAsia="Noto Serif CJK SC" w:cs="Noto Sans Devanagari"/>
            <w:color w:val="auto"/>
            <w:kern w:val="0"/>
            <w:sz w:val="24"/>
            <w:szCs w:val="24"/>
            <w:lang w:val="es-CO" w:eastAsia="zh-CN" w:bidi="hi-IN"/>
          </w:rPr>
          <w:t>2</w:t>
        </w:r>
      </w:hyperlink>
      <w:r>
        <w:rPr>
          <w:rFonts w:eastAsia="Noto Serif CJK SC" w:cs="Noto Sans Devanagari" w:ascii="Times New Roman" w:hAnsi="Times New Roman"/>
          <w:color w:val="auto"/>
          <w:kern w:val="0"/>
          <w:sz w:val="20"/>
          <w:szCs w:val="24"/>
          <w:lang w:val="es-CO" w:eastAsia="zh-CN" w:bidi="hi-IN"/>
        </w:rPr>
        <w:t>, </w:t>
      </w:r>
      <w:hyperlink w:anchor="Xlombardo2018">
        <w:r>
          <w:rPr>
            <w:rStyle w:val="Hyperlink"/>
            <w:rFonts w:eastAsia="Noto Serif CJK SC" w:cs="Noto Sans Devanagari"/>
            <w:color w:val="auto"/>
            <w:kern w:val="0"/>
            <w:sz w:val="24"/>
            <w:szCs w:val="24"/>
            <w:lang w:val="es-CO" w:eastAsia="zh-CN" w:bidi="hi-IN"/>
          </w:rPr>
          <w:t>3</w:t>
        </w:r>
      </w:hyperlink>
      <w:r>
        <w:rPr>
          <w:rFonts w:eastAsia="Noto Serif CJK SC" w:cs="Noto Sans Devanagari" w:ascii="Times New Roman" w:hAnsi="Times New Roman"/>
          <w:color w:val="auto"/>
          <w:kern w:val="0"/>
          <w:sz w:val="20"/>
          <w:szCs w:val="24"/>
          <w:lang w:val="es-CO" w:eastAsia="zh-CN" w:bidi="hi-IN"/>
        </w:rPr>
        <w:t>]. Aunque operativamente conveniente, esta discretización conlleva pérdidas de información espacial importantes y confunde la ausencia verdadera de ocurrencia de movimientos en masa con la falta de observación o registro en el inventario, lo que sesga la evaluación de la susceptibilidad [</w:t>
      </w:r>
      <w:hyperlink w:anchor="Xlombardo2018">
        <w:r>
          <w:rPr>
            <w:rStyle w:val="Hyperlink"/>
            <w:rFonts w:eastAsia="Noto Serif CJK SC" w:cs="Noto Sans Devanagari"/>
            <w:color w:val="auto"/>
            <w:kern w:val="0"/>
            <w:sz w:val="24"/>
            <w:szCs w:val="24"/>
            <w:lang w:val="es-CO" w:eastAsia="zh-CN" w:bidi="hi-IN"/>
          </w:rPr>
          <w:t>3</w:t>
        </w:r>
      </w:hyperlink>
      <w:r>
        <w:rPr>
          <w:rFonts w:eastAsia="Noto Serif CJK SC" w:cs="Noto Sans Devanagari" w:ascii="Times New Roman" w:hAnsi="Times New Roman"/>
          <w:color w:val="auto"/>
          <w:kern w:val="0"/>
          <w:sz w:val="20"/>
          <w:szCs w:val="24"/>
          <w:lang w:val="es-CO" w:eastAsia="zh-CN" w:bidi="hi-IN"/>
        </w:rPr>
        <w:t xml:space="preserve">]. </w:t>
      </w:r>
    </w:p>
    <w:p>
      <w:pPr>
        <w:pStyle w:val="BodyTextindent"/>
        <w:bidi w:val="0"/>
        <w:spacing w:lineRule="auto" w:line="252" w:before="0" w:after="0"/>
        <w:ind w:firstLine="280" w:start="0" w:end="0"/>
        <w:jc w:val="both"/>
        <w:rPr/>
      </w:pPr>
      <w:r>
        <w:rPr>
          <w:rFonts w:ascii="Times New Roman" w:hAnsi="Times New Roman"/>
          <w:sz w:val="20"/>
          <w:lang w:val="es-CO"/>
        </w:rPr>
        <w:t>En las últimas décadas, los modelos de aprendizaje automático han alcanzado niveles de desempeño predictivo excepcionalmente altos en la evaluación de la susceptibilidad por movimientos en masa, con valores de Área Bajo la Curva (AUC [0–1]) que frecuentemente superan 0,90 en conjuntos de validación [</w:t>
      </w:r>
      <w:hyperlink w:anchor="Xreichenbach2018">
        <w:r>
          <w:rPr>
            <w:rStyle w:val="Hyperlink"/>
            <w:lang w:val="es-CO"/>
          </w:rPr>
          <w:t>1</w:t>
        </w:r>
      </w:hyperlink>
      <w:r>
        <w:rPr>
          <w:rFonts w:ascii="Times New Roman" w:hAnsi="Times New Roman"/>
          <w:sz w:val="20"/>
          <w:lang w:val="es-CO"/>
        </w:rPr>
        <w:t xml:space="preserve">]. Sin embargo, estos modelos operan esencialmente como </w:t>
      </w:r>
      <w:r>
        <w:rPr>
          <w:rFonts w:ascii="Times New Roman" w:hAnsi="Times New Roman"/>
          <w:i/>
          <w:sz w:val="20"/>
          <w:lang w:val="es-CO"/>
        </w:rPr>
        <w:t>cajas</w:t>
      </w:r>
      <w:r>
        <w:rPr>
          <w:rFonts w:ascii="Times New Roman" w:hAnsi="Times New Roman"/>
          <w:sz w:val="20"/>
          <w:lang w:val="es-CO"/>
        </w:rPr>
        <w:t xml:space="preserve"> </w:t>
      </w:r>
      <w:r>
        <w:rPr>
          <w:rFonts w:ascii="Times New Roman" w:hAnsi="Times New Roman"/>
          <w:i/>
          <w:sz w:val="20"/>
          <w:lang w:val="es-CO"/>
        </w:rPr>
        <w:t>negras</w:t>
      </w:r>
      <w:r>
        <w:rPr>
          <w:rFonts w:ascii="Times New Roman" w:hAnsi="Times New Roman"/>
          <w:sz w:val="20"/>
          <w:lang w:val="es-CO"/>
        </w:rPr>
        <w:t>: su arquitectura interna impide la interpretación directa de las relaciones entre covariables y respuesta en términos del proceso físico subyacente, dificultando la validación científica de los resultados y la transferencia del conocimiento entre contextos geomorfológicos [</w:t>
      </w:r>
      <w:hyperlink w:anchor="Xlombardo2018">
        <w:r>
          <w:rPr>
            <w:rStyle w:val="Hyperlink"/>
            <w:lang w:val="es-CO"/>
          </w:rPr>
          <w:t>3</w:t>
        </w:r>
      </w:hyperlink>
      <w:r>
        <w:rPr>
          <w:rFonts w:ascii="Times New Roman" w:hAnsi="Times New Roman"/>
          <w:sz w:val="20"/>
          <w:lang w:val="es-CO"/>
        </w:rPr>
        <w:t xml:space="preserve">]. Esta limitación es particularmente relevante en el ámbito de los movimientos en masa, donde la identificación cuantitativa de los factores de control —topografía, litología, uso del suelo— tiene implicaciones directas para la gestión del riesgo y el diseño de medidas de reducción de la amenaza. </w:t>
      </w:r>
    </w:p>
    <w:p>
      <w:pPr>
        <w:pStyle w:val="BodyTextindent"/>
        <w:bidi w:val="0"/>
        <w:spacing w:lineRule="auto" w:line="252" w:before="0" w:after="0"/>
        <w:ind w:firstLine="280" w:start="0" w:end="0"/>
        <w:jc w:val="both"/>
        <w:rPr/>
      </w:pPr>
      <w:r>
        <w:rPr>
          <w:rFonts w:ascii="Times New Roman" w:hAnsi="Times New Roman"/>
          <w:sz w:val="20"/>
          <w:lang w:val="es-CO"/>
        </w:rPr>
        <w:t xml:space="preserve">Los modelos de la familia de los Modelos Lineales Generalizados (GLM), en cambio, vinculan cada predictor a la respuesta mediante coeficientes interpretables que cuantifican el efecto de cada variable, permitiendo conectar los resultados estadísticos con el conocimiento geomorfológico del proceso. En particular, el GLM de Poisson modela el número esperado de eventos en cada unidad espacial de análisis (celda, unidad de ladera, cuenca, etc.) como función log-lineal de las covariables, lo que constituye la forma discreta, denominada </w:t>
      </w:r>
      <w:r>
        <w:rPr>
          <w:rFonts w:ascii="Times New Roman" w:hAnsi="Times New Roman"/>
          <w:i/>
          <w:sz w:val="20"/>
          <w:lang w:val="es-CO"/>
        </w:rPr>
        <w:t>modelo espacial de área</w:t>
      </w:r>
      <w:r>
        <w:rPr>
          <w:rFonts w:ascii="Times New Roman" w:hAnsi="Times New Roman"/>
          <w:sz w:val="20"/>
          <w:lang w:val="es-CO"/>
        </w:rPr>
        <w:t>, de un mecanismo generador más fundamental. En el modelo de área, la autocorrelación espacial entre unidades contiguas puede incorporarse mediante componentes autorregresivos condicionales (CAR) [</w:t>
      </w:r>
      <w:hyperlink w:anchor="Xbesag1974">
        <w:r>
          <w:rPr>
            <w:rStyle w:val="Hyperlink"/>
            <w:lang w:val="es-CO"/>
          </w:rPr>
          <w:t>4</w:t>
        </w:r>
      </w:hyperlink>
      <w:r>
        <w:rPr>
          <w:rFonts w:ascii="Times New Roman" w:hAnsi="Times New Roman"/>
          <w:sz w:val="20"/>
          <w:lang w:val="es-CO"/>
        </w:rPr>
        <w:t>, </w:t>
      </w:r>
      <w:hyperlink w:anchor="Xbesag1991">
        <w:r>
          <w:rPr>
            <w:rStyle w:val="Hyperlink"/>
            <w:lang w:val="es-CO"/>
          </w:rPr>
          <w:t>5</w:t>
        </w:r>
      </w:hyperlink>
      <w:r>
        <w:rPr>
          <w:rFonts w:ascii="Times New Roman" w:hAnsi="Times New Roman"/>
          <w:sz w:val="20"/>
          <w:lang w:val="es-CO"/>
        </w:rPr>
        <w:t>], dando lugar a modelos lineales generalizados jerárquicos de Poisson con estructura espacial. Este paradigma opera en el espacio discreto: la susceptibilidad se expresa como función constante por partes que cambia abruptamente en los límites de los polígonos, y los resultados pueden depender del tamaño y la forma de las unidades elegidas, el Problema de la Unidad de Área Modificable (MAUP) [</w:t>
      </w:r>
      <w:hyperlink w:anchor="Xopenshaw1984">
        <w:r>
          <w:rPr>
            <w:rStyle w:val="Hyperlink"/>
            <w:lang w:val="es-CO"/>
          </w:rPr>
          <w:t>6</w:t>
        </w:r>
      </w:hyperlink>
      <w:r>
        <w:rPr>
          <w:rFonts w:ascii="Times New Roman" w:hAnsi="Times New Roman"/>
          <w:sz w:val="20"/>
          <w:lang w:val="es-CO"/>
        </w:rPr>
        <w:t>, </w:t>
      </w:r>
      <w:hyperlink w:anchor="Xfotheringham1991">
        <w:r>
          <w:rPr>
            <w:rStyle w:val="Hyperlink"/>
            <w:lang w:val="es-CO"/>
          </w:rPr>
          <w:t>7</w:t>
        </w:r>
      </w:hyperlink>
      <w:r>
        <w:rPr>
          <w:rFonts w:ascii="Times New Roman" w:hAnsi="Times New Roman"/>
          <w:sz w:val="20"/>
          <w:lang w:val="es-CO"/>
        </w:rPr>
        <w:t xml:space="preserve">]. </w:t>
      </w:r>
    </w:p>
    <w:p>
      <w:pPr>
        <w:pStyle w:val="BodyTextindent"/>
        <w:bidi w:val="0"/>
        <w:spacing w:lineRule="auto" w:line="252" w:before="0" w:after="0"/>
        <w:ind w:firstLine="280" w:start="0" w:end="0"/>
        <w:jc w:val="both"/>
        <w:rPr/>
      </w:pPr>
      <w:r>
        <w:rPr>
          <w:rFonts w:ascii="Times New Roman" w:hAnsi="Times New Roman"/>
          <w:sz w:val="20"/>
          <w:lang w:val="es-CO"/>
        </w:rPr>
        <w:t>Cuando, en cambio, el inventario se concibe como una nube de puntos en el espacio continuo ℝ</w:t>
      </w:r>
      <w:r>
        <w:rPr>
          <w:rFonts w:ascii="Times New Roman" w:hAnsi="Times New Roman"/>
          <w:b/>
          <w:i/>
          <w:position w:val="8"/>
          <w:sz w:val="20"/>
          <w:lang w:val="es-CO"/>
        </w:rPr>
        <w:t>2</w:t>
      </w:r>
      <w:r>
        <w:rPr>
          <w:rFonts w:ascii="Times New Roman" w:hAnsi="Times New Roman"/>
          <w:sz w:val="20"/>
          <w:lang w:val="es-CO"/>
        </w:rPr>
        <w:t xml:space="preserve">, esta misma estructura conduce de manera natural al marco de los </w:t>
      </w:r>
      <w:r>
        <w:rPr>
          <w:rFonts w:ascii="Times New Roman" w:hAnsi="Times New Roman"/>
          <w:i/>
          <w:sz w:val="20"/>
          <w:lang w:val="es-CO"/>
        </w:rPr>
        <w:t>procesos puntuales espaciales</w:t>
      </w:r>
      <w:r>
        <w:rPr>
          <w:rFonts w:ascii="Times New Roman" w:hAnsi="Times New Roman"/>
          <w:sz w:val="20"/>
          <w:lang w:val="es-CO"/>
        </w:rPr>
        <w:t xml:space="preserve">, donde la función de intensidad </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 xml:space="preserve">) </w:t>
      </w:r>
      <w:r>
        <w:rPr>
          <w:rFonts w:ascii="Times New Roman" w:hAnsi="Times New Roman"/>
          <w:sz w:val="20"/>
          <w:lang w:val="es-CO"/>
        </w:rPr>
        <w:t xml:space="preserve">varía de forma continua y suave en todo el dominio sin imponer unidades de agregación predefinidas. Desde esta perspectiva, el inventario de movimientos en masa es mejor entendido como una realización de un conjunto aleatorio de puntos en el dominio continuo </w:t>
      </w:r>
      <w:r>
        <w:rPr>
          <w:rFonts w:ascii="Times New Roman" w:hAnsi="Times New Roman"/>
          <w:b/>
          <w:i/>
          <w:sz w:val="20"/>
          <w:lang w:val="es-CO"/>
        </w:rPr>
        <w:t xml:space="preserve">Ω </w:t>
      </w:r>
      <w:r>
        <w:rPr>
          <w:rFonts w:ascii="Times New Roman" w:hAnsi="Times New Roman"/>
          <w:sz w:val="20"/>
          <w:lang w:val="es-CO"/>
        </w:rPr>
        <w:t>⊂ℝ</w:t>
      </w:r>
      <w:r>
        <w:rPr>
          <w:rFonts w:ascii="Times New Roman" w:hAnsi="Times New Roman"/>
          <w:b/>
          <w:i/>
          <w:position w:val="8"/>
          <w:sz w:val="20"/>
          <w:lang w:val="es-CO"/>
        </w:rPr>
        <w:t>2</w:t>
      </w:r>
      <w:r>
        <w:rPr>
          <w:rFonts w:ascii="Times New Roman" w:hAnsi="Times New Roman"/>
          <w:sz w:val="20"/>
          <w:lang w:val="es-CO"/>
        </w:rPr>
        <w:t xml:space="preserve">, y la inferencia estadística apunta a la función de intensidad espacialmente variable </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w:t>
      </w:r>
      <w:r>
        <w:rPr>
          <w:rFonts w:ascii="Times New Roman" w:hAnsi="Times New Roman"/>
          <w:sz w:val="20"/>
          <w:lang w:val="es-CO"/>
        </w:rPr>
        <w:t xml:space="preserve"> que gobierna el número esperado de eventos por unidad de área [</w:t>
      </w:r>
      <w:hyperlink w:anchor="Xdiggle2013">
        <w:r>
          <w:rPr>
            <w:rStyle w:val="Hyperlink"/>
            <w:lang w:val="es-CO"/>
          </w:rPr>
          <w:t>8</w:t>
        </w:r>
      </w:hyperlink>
      <w:r>
        <w:rPr>
          <w:rFonts w:ascii="Times New Roman" w:hAnsi="Times New Roman"/>
          <w:sz w:val="20"/>
          <w:lang w:val="es-CO"/>
        </w:rPr>
        <w:t xml:space="preserve">]. El modelo más parsimonioso de esta familia es el </w:t>
      </w:r>
      <w:r>
        <w:rPr>
          <w:rFonts w:ascii="Times New Roman" w:hAnsi="Times New Roman"/>
          <w:i/>
          <w:sz w:val="20"/>
          <w:lang w:val="es-CO"/>
        </w:rPr>
        <w:t xml:space="preserve">Proceso de Poisson No Homogéneo </w:t>
      </w:r>
      <w:r>
        <w:rPr>
          <w:rFonts w:ascii="Times New Roman" w:hAnsi="Times New Roman"/>
          <w:sz w:val="20"/>
          <w:lang w:val="es-CO"/>
        </w:rPr>
        <w:t xml:space="preserve">(NHPP): los eventos son condicionalmente independientes dado </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w:t>
      </w:r>
      <w:r>
        <w:rPr>
          <w:rFonts w:ascii="Times New Roman" w:hAnsi="Times New Roman"/>
          <w:sz w:val="20"/>
          <w:lang w:val="es-CO"/>
        </w:rPr>
        <w:t xml:space="preserve">, y esta intensidad se modela como función log-lineal de las covariables espaciales, la misma estructura del GLM de Poisson, pero formulada en el dominio continuo sin necesidad de imponer una cuadrícula. Este enfoque evita la discretización arbitraria en celdas, suprime la ambigüedad de las ausencias (celdas sin movimientos en masa) y produce una superficie de susceptibilidad continua directamente interpretable como densidad esperada de eventos por unidad de área. </w:t>
      </w:r>
    </w:p>
    <w:p>
      <w:pPr>
        <w:pStyle w:val="BodyTextindent"/>
        <w:bidi w:val="0"/>
        <w:spacing w:lineRule="auto" w:line="252" w:before="0" w:after="0"/>
        <w:ind w:firstLine="280" w:start="0" w:end="0"/>
        <w:jc w:val="both"/>
        <w:rPr/>
      </w:pPr>
      <w:r>
        <w:rPr>
          <w:rFonts w:ascii="Times New Roman" w:hAnsi="Times New Roman"/>
          <w:sz w:val="20"/>
          <w:lang w:val="es-CO"/>
        </w:rPr>
        <w:t>La aplicación del proceso puntual espacial a los movimientos en masa sigue siendo escasa en la literatura. Lombardo et al. [</w:t>
      </w:r>
      <w:hyperlink w:anchor="Xlombardo2019">
        <w:r>
          <w:rPr>
            <w:rStyle w:val="Hyperlink"/>
            <w:lang w:val="es-CO"/>
          </w:rPr>
          <w:t>9</w:t>
        </w:r>
      </w:hyperlink>
      <w:r>
        <w:rPr>
          <w:rFonts w:ascii="Times New Roman" w:hAnsi="Times New Roman"/>
          <w:sz w:val="20"/>
          <w:lang w:val="es-CO"/>
        </w:rPr>
        <w:t>] demostraron el enfoque para flujos de detritos en Sicilia, y Lombardo et al. [</w:t>
      </w:r>
      <w:hyperlink w:anchor="Xlombardo2020">
        <w:r>
          <w:rPr>
            <w:rStyle w:val="Hyperlink"/>
            <w:lang w:val="es-CO"/>
          </w:rPr>
          <w:t>10</w:t>
        </w:r>
      </w:hyperlink>
      <w:r>
        <w:rPr>
          <w:rFonts w:ascii="Times New Roman" w:hAnsi="Times New Roman"/>
          <w:sz w:val="20"/>
          <w:lang w:val="es-CO"/>
        </w:rPr>
        <w:t>] lo extendieron a contextos espacio-temporales. En el contexto andino, Aristizábal et al. [</w:t>
      </w:r>
      <w:hyperlink w:anchor="Xaristizabal2025ag">
        <w:r>
          <w:rPr>
            <w:rStyle w:val="Hyperlink"/>
            <w:lang w:val="es-CO"/>
          </w:rPr>
          <w:t>11</w:t>
        </w:r>
      </w:hyperlink>
      <w:r>
        <w:rPr>
          <w:rFonts w:ascii="Times New Roman" w:hAnsi="Times New Roman"/>
          <w:sz w:val="20"/>
          <w:lang w:val="es-CO"/>
        </w:rPr>
        <w:t xml:space="preserve">] han aplicado recientemente el modelo de Poisson espacial de área, con componente CAR sobre unidades de ladera, al departamento de Antioquia, Colombia; ese enfoque opera en el espacio discreto de los polígonos. En este trabajo se implementa un proceso puntual espacial en el dominio continuo, </w:t>
      </w:r>
      <w:r>
        <w:rPr>
          <w:rFonts w:ascii="Times New Roman" w:hAnsi="Times New Roman"/>
          <w:i/>
          <w:sz w:val="20"/>
          <w:lang w:val="es-CO"/>
        </w:rPr>
        <w:t>Proceso de Poisson No Homogéneo</w:t>
      </w:r>
      <w:r>
        <w:rPr>
          <w:rFonts w:ascii="Times New Roman" w:hAnsi="Times New Roman"/>
          <w:sz w:val="20"/>
          <w:lang w:val="es-CO"/>
        </w:rPr>
        <w:t xml:space="preserve"> (NHPP), para los movimientos en masa en la ciudad de Medellín, Colombia, con dos predictores topográficos y considerando la cobertura urbana/rural y los materiales que conforman las laderas. </w:t>
      </w:r>
    </w:p>
    <w:p>
      <w:pPr>
        <w:pStyle w:val="Heading3"/>
        <w:bidi w:val="0"/>
        <w:spacing w:lineRule="auto" w:line="252" w:before="120" w:after="60"/>
        <w:ind w:hanging="0" w:start="0" w:end="0"/>
        <w:jc w:val="center"/>
        <w:rPr>
          <w:lang w:val="es-CO"/>
        </w:rPr>
      </w:pPr>
      <w:r>
        <w:rPr>
          <w:rFonts w:ascii="Times New Roman" w:hAnsi="Times New Roman"/>
          <w:b w:val="false"/>
          <w:smallCaps/>
          <w:sz w:val="20"/>
          <w:lang w:val="es-CO"/>
        </w:rPr>
        <w:t xml:space="preserve">II. </w:t>
      </w:r>
      <w:bookmarkStart w:id="2" w:name="x1-2000II"/>
      <w:bookmarkEnd w:id="2"/>
      <w:r>
        <w:rPr>
          <w:rFonts w:ascii="Times New Roman" w:hAnsi="Times New Roman"/>
          <w:b w:val="false"/>
          <w:smallCaps/>
          <w:sz w:val="20"/>
          <w:lang w:val="es-CO"/>
        </w:rPr>
        <w:t>Área de estudio</w:t>
      </w:r>
    </w:p>
    <w:p>
      <w:pPr>
        <w:pStyle w:val="BodyText"/>
        <w:bidi w:val="0"/>
        <w:spacing w:lineRule="auto" w:line="252" w:before="0" w:after="0"/>
        <w:ind w:firstLine="280" w:start="0" w:end="0"/>
        <w:jc w:val="both"/>
        <w:rPr/>
      </w:pPr>
      <w:r>
        <w:rPr>
          <w:rFonts w:ascii="Times New Roman" w:hAnsi="Times New Roman"/>
          <w:sz w:val="20"/>
          <w:lang w:val="es-CO"/>
        </w:rPr>
        <w:t xml:space="preserve">El Valle de Aburrá, donde se encuentra la ciudad de Medellín, es un valle intramontano de aproximadamente </w:t>
      </w:r>
      <w:r>
        <w:rPr>
          <w:rFonts w:ascii="Times New Roman" w:hAnsi="Times New Roman"/>
          <w:b/>
          <w:i/>
          <w:sz w:val="20"/>
          <w:lang w:val="es-CO"/>
        </w:rPr>
        <w:t>1165</w:t>
      </w:r>
      <w:r>
        <w:rPr>
          <w:rFonts w:ascii="Times New Roman" w:hAnsi="Times New Roman"/>
          <w:sz w:val="20"/>
          <w:lang w:val="es-CO"/>
        </w:rPr>
        <w:t xml:space="preserve"> </w:t>
      </w:r>
      <w:r>
        <w:rPr>
          <w:rFonts w:ascii="Times New Roman" w:hAnsi="Times New Roman"/>
          <w:b/>
          <w:i/>
          <w:sz w:val="20"/>
          <w:lang w:val="es-CO"/>
        </w:rPr>
        <w:t>km</w:t>
      </w:r>
      <w:r>
        <w:rPr>
          <w:rFonts w:ascii="Times New Roman" w:hAnsi="Times New Roman"/>
          <w:b/>
          <w:i/>
          <w:position w:val="8"/>
          <w:sz w:val="20"/>
          <w:lang w:val="es-CO"/>
        </w:rPr>
        <w:t>2</w:t>
      </w:r>
      <w:r>
        <w:rPr>
          <w:rFonts w:ascii="Times New Roman" w:hAnsi="Times New Roman"/>
          <w:sz w:val="20"/>
          <w:lang w:val="es-CO"/>
        </w:rPr>
        <w:t xml:space="preserve"> situado en la Cordillera Central de los Andes colombianos (</w:t>
      </w:r>
      <w:r>
        <w:rPr>
          <w:rFonts w:ascii="Times New Roman" w:hAnsi="Times New Roman"/>
          <w:b/>
          <w:i/>
          <w:sz w:val="20"/>
          <w:lang w:val="es-CO"/>
        </w:rPr>
        <w:t>6</w:t>
      </w:r>
      <w:r>
        <w:rPr>
          <w:rFonts w:ascii="Times New Roman" w:hAnsi="Times New Roman"/>
          <w:position w:val="8"/>
          <w:sz w:val="20"/>
          <w:lang w:val="es-CO"/>
        </w:rPr>
        <w:t>∘</w:t>
      </w:r>
      <w:r>
        <w:rPr>
          <w:rFonts w:ascii="Times New Roman" w:hAnsi="Times New Roman"/>
          <w:b/>
          <w:i/>
          <w:sz w:val="20"/>
          <w:lang w:val="es-CO"/>
        </w:rPr>
        <w:t>6</w:t>
      </w:r>
      <w:r>
        <w:rPr>
          <w:rFonts w:ascii="Times New Roman" w:hAnsi="Times New Roman"/>
          <w:sz w:val="20"/>
          <w:lang w:val="es-CO"/>
        </w:rPr>
        <w:t>′–</w:t>
      </w:r>
      <w:r>
        <w:rPr>
          <w:rFonts w:ascii="Times New Roman" w:hAnsi="Times New Roman"/>
          <w:b/>
          <w:i/>
          <w:sz w:val="20"/>
          <w:lang w:val="es-CO"/>
        </w:rPr>
        <w:t>6</w:t>
      </w:r>
      <w:r>
        <w:rPr>
          <w:rFonts w:ascii="Times New Roman" w:hAnsi="Times New Roman"/>
          <w:position w:val="8"/>
          <w:sz w:val="20"/>
          <w:lang w:val="es-CO"/>
        </w:rPr>
        <w:t>∘</w:t>
      </w:r>
      <w:r>
        <w:rPr>
          <w:rFonts w:ascii="Times New Roman" w:hAnsi="Times New Roman"/>
          <w:b/>
          <w:i/>
          <w:sz w:val="20"/>
          <w:lang w:val="es-CO"/>
        </w:rPr>
        <w:t>41</w:t>
      </w:r>
      <w:r>
        <w:rPr>
          <w:rFonts w:ascii="Times New Roman" w:hAnsi="Times New Roman"/>
          <w:sz w:val="20"/>
          <w:lang w:val="es-CO"/>
        </w:rPr>
        <w:t xml:space="preserve">′ N, </w:t>
      </w:r>
      <w:r>
        <w:rPr>
          <w:rFonts w:ascii="Times New Roman" w:hAnsi="Times New Roman"/>
          <w:b/>
          <w:i/>
          <w:sz w:val="20"/>
          <w:lang w:val="es-CO"/>
        </w:rPr>
        <w:t>75</w:t>
      </w:r>
      <w:r>
        <w:rPr>
          <w:rFonts w:ascii="Times New Roman" w:hAnsi="Times New Roman"/>
          <w:position w:val="8"/>
          <w:sz w:val="20"/>
          <w:lang w:val="es-CO"/>
        </w:rPr>
        <w:t>∘</w:t>
      </w:r>
      <w:r>
        <w:rPr>
          <w:rFonts w:ascii="Times New Roman" w:hAnsi="Times New Roman"/>
          <w:b/>
          <w:i/>
          <w:sz w:val="20"/>
          <w:lang w:val="es-CO"/>
        </w:rPr>
        <w:t>45</w:t>
      </w:r>
      <w:r>
        <w:rPr>
          <w:rFonts w:ascii="Times New Roman" w:hAnsi="Times New Roman"/>
          <w:sz w:val="20"/>
          <w:lang w:val="es-CO"/>
        </w:rPr>
        <w:t>′–</w:t>
      </w:r>
      <w:r>
        <w:rPr>
          <w:rFonts w:ascii="Times New Roman" w:hAnsi="Times New Roman"/>
          <w:b/>
          <w:i/>
          <w:sz w:val="20"/>
          <w:lang w:val="es-CO"/>
        </w:rPr>
        <w:t>75</w:t>
      </w:r>
      <w:r>
        <w:rPr>
          <w:rFonts w:ascii="Times New Roman" w:hAnsi="Times New Roman"/>
          <w:position w:val="8"/>
          <w:sz w:val="20"/>
          <w:lang w:val="es-CO"/>
        </w:rPr>
        <w:t>∘</w:t>
      </w:r>
      <w:r>
        <w:rPr>
          <w:rFonts w:ascii="Times New Roman" w:hAnsi="Times New Roman"/>
          <w:b/>
          <w:i/>
          <w:sz w:val="20"/>
          <w:lang w:val="es-CO"/>
        </w:rPr>
        <w:t>21</w:t>
      </w:r>
      <w:r>
        <w:rPr>
          <w:rFonts w:ascii="Times New Roman" w:hAnsi="Times New Roman"/>
          <w:sz w:val="20"/>
          <w:lang w:val="es-CO"/>
        </w:rPr>
        <w:t>′ O). La topografía es característica de los Andes tropicales: las elevaciones oscilan entre aproximadamente 1300 m s.n.m. en el fondo del valle y más de 2600 m en las crestas, con flancos empinados disectados por numerosas quebradas tributarias del río Medellín [</w:t>
      </w:r>
      <w:hyperlink w:anchor="Xaristizabal2026">
        <w:r>
          <w:rPr>
            <w:rStyle w:val="Hyperlink"/>
            <w:lang w:val="es-CO"/>
          </w:rPr>
          <w:t>12</w:t>
        </w:r>
      </w:hyperlink>
      <w:r>
        <w:rPr>
          <w:rFonts w:ascii="Times New Roman" w:hAnsi="Times New Roman"/>
          <w:sz w:val="20"/>
          <w:lang w:val="es-CO"/>
        </w:rPr>
        <w:t>]. Geomorfológicamente, el valle está modelado por la convergencia oblicua de las placas de Nazca y del Caribe con la placa Sudamericana [</w:t>
      </w:r>
      <w:hyperlink w:anchor="Xtrenkamp2002">
        <w:r>
          <w:rPr>
            <w:rStyle w:val="Hyperlink"/>
            <w:lang w:val="es-CO"/>
          </w:rPr>
          <w:t>13</w:t>
        </w:r>
      </w:hyperlink>
      <w:r>
        <w:rPr>
          <w:rFonts w:ascii="Times New Roman" w:hAnsi="Times New Roman"/>
          <w:sz w:val="20"/>
          <w:lang w:val="es-CO"/>
        </w:rPr>
        <w:t>, </w:t>
      </w:r>
      <w:hyperlink w:anchor="Xcediel2003">
        <w:r>
          <w:rPr>
            <w:rStyle w:val="Hyperlink"/>
            <w:lang w:val="es-CO"/>
          </w:rPr>
          <w:t>14</w:t>
        </w:r>
      </w:hyperlink>
      <w:r>
        <w:rPr>
          <w:rFonts w:ascii="Times New Roman" w:hAnsi="Times New Roman"/>
          <w:sz w:val="20"/>
          <w:lang w:val="es-CO"/>
        </w:rPr>
        <w:t>], que genera un levantamiento activo, fallas y una topografía altamente montañosa que favorece intrínsecamente los procesos de remoción en masa [</w:t>
      </w:r>
      <w:hyperlink w:anchor="Xaristizabal2025">
        <w:r>
          <w:rPr>
            <w:rStyle w:val="Hyperlink"/>
            <w:lang w:val="es-CO"/>
          </w:rPr>
          <w:t>15</w:t>
        </w:r>
      </w:hyperlink>
      <w:r>
        <w:rPr>
          <w:rFonts w:ascii="Times New Roman" w:hAnsi="Times New Roman"/>
          <w:sz w:val="20"/>
          <w:lang w:val="es-CO"/>
        </w:rPr>
        <w:t xml:space="preserve">]. La región alberga más de 3,6 millones de habitantes, de los cuales el 95 % reside en áreas urbanas que ocupan aproximadamente </w:t>
      </w:r>
      <w:r>
        <w:rPr>
          <w:rFonts w:ascii="Times New Roman" w:hAnsi="Times New Roman"/>
          <w:b/>
          <w:i/>
          <w:sz w:val="20"/>
          <w:lang w:val="es-CO"/>
        </w:rPr>
        <w:t>340</w:t>
      </w:r>
      <w:r>
        <w:rPr>
          <w:rFonts w:ascii="Times New Roman" w:hAnsi="Times New Roman"/>
          <w:sz w:val="20"/>
          <w:lang w:val="es-CO"/>
        </w:rPr>
        <w:t xml:space="preserve"> </w:t>
      </w:r>
      <w:r>
        <w:rPr>
          <w:rFonts w:ascii="Times New Roman" w:hAnsi="Times New Roman"/>
          <w:b/>
          <w:i/>
          <w:sz w:val="20"/>
          <w:lang w:val="es-CO"/>
        </w:rPr>
        <w:t>km</w:t>
      </w:r>
      <w:r>
        <w:rPr>
          <w:rFonts w:ascii="Times New Roman" w:hAnsi="Times New Roman"/>
          <w:b/>
          <w:i/>
          <w:position w:val="8"/>
          <w:sz w:val="20"/>
          <w:lang w:val="es-CO"/>
        </w:rPr>
        <w:t>2</w:t>
      </w:r>
      <w:r>
        <w:rPr>
          <w:rFonts w:ascii="Times New Roman" w:hAnsi="Times New Roman"/>
          <w:sz w:val="20"/>
          <w:lang w:val="es-CO"/>
        </w:rPr>
        <w:t>; su crecimiento demográfico fue 30 veces mayor entre 1905 y 2005 [</w:t>
      </w:r>
      <w:hyperlink w:anchor="Xaristizabal2026">
        <w:r>
          <w:rPr>
            <w:rStyle w:val="Hyperlink"/>
            <w:lang w:val="es-CO"/>
          </w:rPr>
          <w:t>12</w:t>
        </w:r>
      </w:hyperlink>
      <w:r>
        <w:rPr>
          <w:rFonts w:ascii="Times New Roman" w:hAnsi="Times New Roman"/>
          <w:sz w:val="20"/>
          <w:lang w:val="es-CO"/>
        </w:rPr>
        <w:t>]. Los movimientos en masa representan la amenaza natural más recurrente: causan tres de cada diez desastres reportados y el 75 % de las víctimas anuales por eventos naturales en la región [</w:t>
      </w:r>
      <w:hyperlink w:anchor="Xgomez2023">
        <w:r>
          <w:rPr>
            <w:rStyle w:val="Hyperlink"/>
            <w:lang w:val="es-CO"/>
          </w:rPr>
          <w:t>16</w:t>
        </w:r>
      </w:hyperlink>
      <w:r>
        <w:rPr>
          <w:rFonts w:ascii="Times New Roman" w:hAnsi="Times New Roman"/>
          <w:sz w:val="20"/>
          <w:lang w:val="es-CO"/>
        </w:rPr>
        <w:t xml:space="preserve">]. </w:t>
      </w:r>
    </w:p>
    <w:p>
      <w:pPr>
        <w:pStyle w:val="BodyTextindent"/>
        <w:bidi w:val="0"/>
        <w:spacing w:lineRule="auto" w:line="252" w:before="0" w:after="0"/>
        <w:ind w:firstLine="280"/>
        <w:jc w:val="both"/>
        <w:rPr/>
      </w:pPr>
      <w:r>
        <w:rPr>
          <w:rFonts w:ascii="Times New Roman" w:hAnsi="Times New Roman"/>
          <w:sz w:val="20"/>
          <w:lang w:val="es-CO"/>
        </w:rPr>
        <w:t>El clima es tropical bimodal, regulado principalmente por la migración meridional de la Zona de Convergencia Intertropical (ZCIT) [</w:t>
      </w:r>
      <w:hyperlink w:anchor="Xaristizabal2026">
        <w:r>
          <w:rPr>
            <w:rStyle w:val="Hyperlink"/>
            <w:lang w:val="es-CO"/>
          </w:rPr>
          <w:t>12</w:t>
        </w:r>
      </w:hyperlink>
      <w:r>
        <w:rPr>
          <w:rFonts w:ascii="Times New Roman" w:hAnsi="Times New Roman"/>
          <w:sz w:val="20"/>
          <w:lang w:val="es-CO"/>
        </w:rPr>
        <w:t>, </w:t>
      </w:r>
      <w:hyperlink w:anchor="Xbedoya2019">
        <w:r>
          <w:rPr>
            <w:rStyle w:val="Hyperlink"/>
            <w:lang w:val="es-CO"/>
          </w:rPr>
          <w:t>17</w:t>
        </w:r>
      </w:hyperlink>
      <w:r>
        <w:rPr>
          <w:rFonts w:ascii="Times New Roman" w:hAnsi="Times New Roman"/>
          <w:sz w:val="20"/>
          <w:lang w:val="es-CO"/>
        </w:rPr>
        <w:t>, </w:t>
      </w:r>
      <w:hyperlink w:anchor="Xpoveda2011">
        <w:r>
          <w:rPr>
            <w:rStyle w:val="Hyperlink"/>
            <w:lang w:val="es-CO"/>
          </w:rPr>
          <w:t>18</w:t>
        </w:r>
      </w:hyperlink>
      <w:r>
        <w:rPr>
          <w:rFonts w:ascii="Times New Roman" w:hAnsi="Times New Roman"/>
          <w:sz w:val="20"/>
          <w:lang w:val="es-CO"/>
        </w:rPr>
        <w:t>]. Las precipitaciones medias anuales oscilan entre 1500 y 2500 mm, con dos temporadas lluviosas bien definidas: abril–junio (AMJ) y septiembre–noviembre (SON) [</w:t>
      </w:r>
      <w:hyperlink w:anchor="Xaristizabal2026">
        <w:r>
          <w:rPr>
            <w:rStyle w:val="Hyperlink"/>
            <w:lang w:val="es-CO"/>
          </w:rPr>
          <w:t>12</w:t>
        </w:r>
      </w:hyperlink>
      <w:r>
        <w:rPr>
          <w:rFonts w:ascii="Times New Roman" w:hAnsi="Times New Roman"/>
          <w:sz w:val="20"/>
          <w:lang w:val="es-CO"/>
        </w:rPr>
        <w:t>, </w:t>
      </w:r>
      <w:hyperlink w:anchor="Xbedoya2019">
        <w:r>
          <w:rPr>
            <w:rStyle w:val="Hyperlink"/>
            <w:lang w:val="es-CO"/>
          </w:rPr>
          <w:t>17</w:t>
        </w:r>
      </w:hyperlink>
      <w:r>
        <w:rPr>
          <w:rFonts w:ascii="Times New Roman" w:hAnsi="Times New Roman"/>
          <w:sz w:val="20"/>
          <w:lang w:val="es-CO"/>
        </w:rPr>
        <w:t>]. La variabilidad interanual está fuertemente modulada por el fenómeno El Niño-Oscilación del Sur (ENOS): las fases La Niña incrementan significativamente las precipitaciones —en particular durante la segunda temporada lluviosa— aumentando la humedad del suelo antes del inicio de las épocas húmedas [</w:t>
      </w:r>
      <w:hyperlink w:anchor="Xaristizabal2026">
        <w:r>
          <w:rPr>
            <w:rStyle w:val="Hyperlink"/>
            <w:lang w:val="es-CO"/>
          </w:rPr>
          <w:t>12</w:t>
        </w:r>
      </w:hyperlink>
      <w:r>
        <w:rPr>
          <w:rFonts w:ascii="Times New Roman" w:hAnsi="Times New Roman"/>
          <w:sz w:val="20"/>
          <w:lang w:val="es-CO"/>
        </w:rPr>
        <w:t>, </w:t>
      </w:r>
      <w:hyperlink w:anchor="Xpoveda2011">
        <w:r>
          <w:rPr>
            <w:rStyle w:val="Hyperlink"/>
            <w:lang w:val="es-CO"/>
          </w:rPr>
          <w:t>18</w:t>
        </w:r>
      </w:hyperlink>
      <w:r>
        <w:rPr>
          <w:rFonts w:ascii="Times New Roman" w:hAnsi="Times New Roman"/>
          <w:sz w:val="20"/>
          <w:lang w:val="es-CO"/>
        </w:rPr>
        <w:t>]. La lluvia desencadena el 92 % de todos los movimientos en masa registrados en los Andes colombianos entre 1970 y 2023 [</w:t>
      </w:r>
      <w:hyperlink w:anchor="Xaristizabal2020">
        <w:r>
          <w:rPr>
            <w:rStyle w:val="Hyperlink"/>
            <w:lang w:val="es-CO"/>
          </w:rPr>
          <w:t>19</w:t>
        </w:r>
      </w:hyperlink>
      <w:r>
        <w:rPr>
          <w:rFonts w:ascii="Times New Roman" w:hAnsi="Times New Roman"/>
          <w:sz w:val="20"/>
          <w:lang w:val="es-CO"/>
        </w:rPr>
        <w:t xml:space="preserve">]. </w:t>
      </w:r>
    </w:p>
    <w:p>
      <w:pPr>
        <w:pStyle w:val="BodyTextindent"/>
        <w:bidi w:val="0"/>
        <w:spacing w:lineRule="auto" w:line="252" w:before="0" w:after="0"/>
        <w:ind w:firstLine="280"/>
        <w:jc w:val="both"/>
        <w:rPr/>
      </w:pPr>
      <w:r>
        <w:rPr>
          <w:rFonts w:ascii="Times New Roman" w:hAnsi="Times New Roman"/>
          <w:sz w:val="20"/>
          <w:lang w:val="es-CO"/>
        </w:rPr>
        <w:t>Los terrenos están conformados predominantemente por rocas metamórficas —gneis, esquistos y anfibolitas— que conforman el basamento de la Cordillera Central [</w:t>
      </w:r>
      <w:hyperlink w:anchor="Xcediel2003">
        <w:r>
          <w:rPr>
            <w:rStyle w:val="Hyperlink"/>
            <w:lang w:val="es-CO"/>
          </w:rPr>
          <w:t>14</w:t>
        </w:r>
      </w:hyperlink>
      <w:r>
        <w:rPr>
          <w:rFonts w:ascii="Times New Roman" w:hAnsi="Times New Roman"/>
          <w:sz w:val="20"/>
          <w:lang w:val="es-CO"/>
        </w:rPr>
        <w:t>]. Localmente se presentan cuerpos intrusivos granodioríticos y gabros, rocas volcánicas andesíticas a basálticas intercaladas con depósitos volcanoclásticos, y rocas ultramáficas (serpentinitas y peridotitas) producto de secuencias ofiolíticas [</w:t>
      </w:r>
      <w:hyperlink w:anchor="Xcediel2003">
        <w:r>
          <w:rPr>
            <w:rStyle w:val="Hyperlink"/>
            <w:lang w:val="es-CO"/>
          </w:rPr>
          <w:t>14</w:t>
        </w:r>
      </w:hyperlink>
      <w:r>
        <w:rPr>
          <w:rFonts w:ascii="Times New Roman" w:hAnsi="Times New Roman"/>
          <w:sz w:val="20"/>
          <w:lang w:val="es-CO"/>
        </w:rPr>
        <w:t>]. Sobre estas unidades se desarrollan perfiles de meteorización profundos y heterogéneos: en granitoides, los suelos residuales y saprolitos de color amarillo-rojizo (Munsell 10YR 7/4) superan los 50 m de espesor; en rocas ultrabásicas y metamórficas, los perfiles son más delgados (10–20 m), de color naranja-rojizo (Munsell 7,5YR 7/6) y con abundantes fragmentos muy meteorizados [</w:t>
      </w:r>
      <w:hyperlink w:anchor="Xaristizabal2025">
        <w:r>
          <w:rPr>
            <w:rStyle w:val="Hyperlink"/>
            <w:lang w:val="es-CO"/>
          </w:rPr>
          <w:t>15</w:t>
        </w:r>
      </w:hyperlink>
      <w:r>
        <w:rPr>
          <w:rFonts w:ascii="Times New Roman" w:hAnsi="Times New Roman"/>
          <w:sz w:val="20"/>
          <w:lang w:val="es-CO"/>
        </w:rPr>
        <w:t>, </w:t>
      </w:r>
      <w:hyperlink w:anchor="Xaristizabal2005">
        <w:r>
          <w:rPr>
            <w:rStyle w:val="Hyperlink"/>
            <w:lang w:val="es-CO"/>
          </w:rPr>
          <w:t>20</w:t>
        </w:r>
      </w:hyperlink>
      <w:r>
        <w:rPr>
          <w:rFonts w:ascii="Times New Roman" w:hAnsi="Times New Roman"/>
          <w:sz w:val="20"/>
          <w:lang w:val="es-CO"/>
        </w:rPr>
        <w:t>]. Los materiales de ladera están dominados por depósitos derivados de procesos de remoción en masa de largo plazo [</w:t>
      </w:r>
      <w:hyperlink w:anchor="Xaristizabal2005">
        <w:r>
          <w:rPr>
            <w:rStyle w:val="Hyperlink"/>
            <w:lang w:val="es-CO"/>
          </w:rPr>
          <w:t>20</w:t>
        </w:r>
      </w:hyperlink>
      <w:r>
        <w:rPr>
          <w:rFonts w:ascii="Times New Roman" w:hAnsi="Times New Roman"/>
          <w:sz w:val="20"/>
          <w:lang w:val="es-CO"/>
        </w:rPr>
        <w:t xml:space="preserve">]. </w:t>
      </w:r>
    </w:p>
    <w:p>
      <w:pPr>
        <w:pStyle w:val="Heading3"/>
        <w:bidi w:val="0"/>
        <w:spacing w:lineRule="auto" w:line="252" w:before="120" w:after="60"/>
        <w:ind w:hanging="0" w:start="0" w:end="0"/>
        <w:jc w:val="center"/>
        <w:rPr>
          <w:lang w:val="es-CO"/>
        </w:rPr>
      </w:pPr>
      <w:r>
        <w:rPr>
          <w:rFonts w:ascii="Times New Roman" w:hAnsi="Times New Roman"/>
          <w:b w:val="false"/>
          <w:smallCaps/>
          <w:sz w:val="20"/>
          <w:lang w:val="es-CO"/>
        </w:rPr>
        <w:t xml:space="preserve">III. </w:t>
      </w:r>
      <w:bookmarkStart w:id="3" w:name="x1-3000III"/>
      <w:bookmarkEnd w:id="3"/>
      <w:r>
        <w:rPr>
          <w:rFonts w:ascii="Times New Roman" w:hAnsi="Times New Roman"/>
          <w:b w:val="false"/>
          <w:smallCaps/>
          <w:sz w:val="20"/>
          <w:lang w:val="es-CO"/>
        </w:rPr>
        <w:t>Datos</w:t>
      </w:r>
    </w:p>
    <w:p>
      <w:pPr>
        <w:pStyle w:val="BodyText"/>
        <w:bidi w:val="0"/>
        <w:spacing w:lineRule="auto" w:line="252" w:before="0" w:after="0"/>
        <w:ind w:firstLine="280" w:start="0" w:end="0"/>
        <w:jc w:val="both"/>
        <w:rPr/>
      </w:pPr>
      <w:r>
        <w:rPr>
          <w:rFonts w:ascii="Times New Roman" w:hAnsi="Times New Roman"/>
          <w:sz w:val="20"/>
          <w:lang w:val="es-CO"/>
        </w:rPr>
        <w:t xml:space="preserve">El inventario de movimientos en masa utilizado comprende </w:t>
      </w:r>
      <w:r>
        <w:rPr>
          <w:rFonts w:ascii="Times New Roman" w:hAnsi="Times New Roman"/>
          <w:b/>
          <w:i/>
          <w:sz w:val="20"/>
          <w:lang w:val="es-CO"/>
        </w:rPr>
        <w:t xml:space="preserve">2504 </w:t>
      </w:r>
      <w:r>
        <w:rPr>
          <w:rFonts w:ascii="Times New Roman" w:hAnsi="Times New Roman"/>
          <w:sz w:val="20"/>
          <w:lang w:val="es-CO"/>
        </w:rPr>
        <w:t>eventos (deslizamientos superficiales, flujos de detritos y deslizamientos translacionales) compilado mediante interpretación sistemática de imágenes de satélite de resolución submétrica disponibles en Google Earth entre 2001 y 2024 (Fig. </w:t>
      </w:r>
      <w:hyperlink w:anchor="x1-3001r1">
        <w:r>
          <w:rPr>
            <w:rStyle w:val="Hyperlink"/>
            <w:lang w:val="es-CO"/>
          </w:rPr>
          <w:t>1</w:t>
        </w:r>
      </w:hyperlink>
      <w:r>
        <w:rPr>
          <w:rFonts w:ascii="Times New Roman" w:hAnsi="Times New Roman"/>
          <w:sz w:val="20"/>
          <w:lang w:val="es-CO"/>
        </w:rPr>
        <w:t>). A diferencia de los inventarios basados en registros históricos institucionales, que introducen un sesgo de detección hacia eventos de mayor magnitud o localizados en zonas urbanizadas con mayor cobertura mediática, el inventario de percepción remota permite detectar movimientos en masa de forma espacialmente uniforme a lo largo del período de disponibilidad de imágenes de alta resolución. Esta estrategia de compilación reduce el sesgo espacial de observación y produce un inventario más representativo de la distribución de la susceptibilidad. Los eventos están georeferenciados como localizaciones puntuales de la zona de iniciación. La densidad media es de aproximadamente 7,08 eventos km</w:t>
      </w:r>
      <w:r>
        <w:rPr>
          <w:rFonts w:ascii="Times New Roman" w:hAnsi="Times New Roman"/>
          <w:b/>
          <w:i/>
          <w:position w:val="8"/>
          <w:sz w:val="20"/>
          <w:lang w:val="es-CO"/>
        </w:rPr>
        <w:t>-2</w:t>
      </w:r>
      <w:r>
        <w:rPr>
          <w:rFonts w:ascii="Times New Roman" w:hAnsi="Times New Roman"/>
          <w:sz w:val="20"/>
          <w:lang w:val="es-CO"/>
        </w:rPr>
        <w:t xml:space="preserve">, con agrupamiento alto en las laderas del valle. </w:t>
      </w:r>
    </w:p>
    <w:p>
      <w:pPr>
        <w:pStyle w:val="HorizontalLine"/>
        <w:pBdr>
          <w:bottom w:val="double" w:sz="2" w:space="0" w:color="808080"/>
        </w:pBdr>
        <w:bidi w:val="0"/>
        <w:spacing w:before="0" w:after="283"/>
        <w:jc w:val="both"/>
        <w:rPr>
          <w:lang w:val="es-CO"/>
        </w:rPr>
      </w:pPr>
      <w:r>
        <w:rPr>
          <w:lang w:val="es-CO"/>
        </w:rPr>
      </w:r>
    </w:p>
    <w:p>
      <w:pPr>
        <w:pStyle w:val="BodyText"/>
        <w:bidi w:val="0"/>
        <w:spacing w:before="0" w:after="0"/>
        <w:ind w:hanging="0" w:start="0" w:end="0"/>
        <w:jc w:val="center"/>
        <w:rPr>
          <w:lang w:val="es-CO"/>
        </w:rPr>
      </w:pPr>
      <w:r>
        <w:rPr/>
        <w:drawing>
          <wp:inline distT="0" distB="0" distL="0" distR="0">
            <wp:extent cx="3200400" cy="32004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2"/>
                    <a:stretch>
                      <a:fillRect/>
                    </a:stretch>
                  </pic:blipFill>
                  <pic:spPr bwMode="auto">
                    <a:xfrm>
                      <a:off x="0" y="0"/>
                      <a:ext cx="3200400" cy="3200400"/>
                    </a:xfrm>
                    <a:prstGeom prst="rect">
                      <a:avLst/>
                    </a:prstGeom>
                    <a:noFill/>
                  </pic:spPr>
                </pic:pic>
              </a:graphicData>
            </a:graphic>
          </wp:inline>
        </w:drawing>
      </w:r>
    </w:p>
    <w:p>
      <w:pPr>
        <w:pStyle w:val="BodyText"/>
        <w:bidi w:val="0"/>
        <w:spacing w:lineRule="auto" w:line="252" w:before="0" w:after="0"/>
        <w:ind w:hanging="0" w:start="0" w:end="0"/>
        <w:jc w:val="both"/>
        <w:rPr>
          <w:lang w:val="es-CO"/>
        </w:rPr>
      </w:pPr>
      <w:r>
        <w:rPr>
          <w:rFonts w:ascii="Times New Roman" w:hAnsi="Times New Roman"/>
          <w:sz w:val="16"/>
          <w:lang w:val="es-CO"/>
        </w:rPr>
        <w:t xml:space="preserve">Fig. 1. Localización espacial de los </w:t>
      </w:r>
      <w:r>
        <w:rPr>
          <w:rFonts w:ascii="Times New Roman" w:hAnsi="Times New Roman"/>
          <w:b/>
          <w:i/>
          <w:sz w:val="16"/>
          <w:lang w:val="es-CO"/>
        </w:rPr>
        <w:t xml:space="preserve">2504 </w:t>
      </w:r>
      <w:r>
        <w:rPr>
          <w:rFonts w:ascii="Times New Roman" w:hAnsi="Times New Roman"/>
          <w:sz w:val="16"/>
          <w:lang w:val="es-CO"/>
        </w:rPr>
        <w:t xml:space="preserve">movimientos en masa registrados en el dominio de estudio del Valle de Aburrá. Cada punto rojo representa la zona de iniciación de un evento. El contorno negro delimita el dominio de estudio </w:t>
      </w:r>
      <w:r>
        <w:rPr>
          <w:rFonts w:ascii="Times New Roman" w:hAnsi="Times New Roman"/>
          <w:b/>
          <w:i/>
          <w:sz w:val="16"/>
          <w:lang w:val="es-CO"/>
        </w:rPr>
        <w:t>Ω</w:t>
      </w:r>
      <w:r>
        <w:rPr>
          <w:rFonts w:ascii="Times New Roman" w:hAnsi="Times New Roman"/>
          <w:sz w:val="16"/>
          <w:lang w:val="es-CO"/>
        </w:rPr>
        <w:t xml:space="preserve"> (</w:t>
      </w:r>
      <w:r>
        <w:rPr>
          <w:rFonts w:ascii="Times New Roman" w:hAnsi="Times New Roman"/>
          <w:b/>
          <w:i/>
          <w:sz w:val="16"/>
          <w:lang w:val="es-CO"/>
        </w:rPr>
        <w:t>335,21</w:t>
      </w:r>
      <w:r>
        <w:rPr>
          <w:rFonts w:ascii="Times New Roman" w:hAnsi="Times New Roman"/>
          <w:sz w:val="16"/>
          <w:lang w:val="es-CO"/>
        </w:rPr>
        <w:t xml:space="preserve"> </w:t>
      </w:r>
      <w:r>
        <w:rPr>
          <w:rFonts w:ascii="Times New Roman" w:hAnsi="Times New Roman"/>
          <w:b/>
          <w:i/>
          <w:sz w:val="16"/>
          <w:lang w:val="es-CO"/>
        </w:rPr>
        <w:t>km</w:t>
      </w:r>
      <w:r>
        <w:rPr>
          <w:rFonts w:ascii="Times New Roman" w:hAnsi="Times New Roman"/>
          <w:b/>
          <w:i/>
          <w:position w:val="8"/>
          <w:sz w:val="16"/>
          <w:lang w:val="es-CO"/>
        </w:rPr>
        <w:t>2</w:t>
      </w:r>
      <w:r>
        <w:rPr>
          <w:rFonts w:ascii="Times New Roman" w:hAnsi="Times New Roman"/>
          <w:sz w:val="16"/>
          <w:lang w:val="es-CO"/>
        </w:rPr>
        <w:t xml:space="preserve">). </w:t>
      </w:r>
    </w:p>
    <w:p>
      <w:pPr>
        <w:pStyle w:val="HorizontalLine"/>
        <w:pBdr>
          <w:bottom w:val="double" w:sz="2" w:space="0" w:color="808080"/>
        </w:pBdr>
        <w:bidi w:val="0"/>
        <w:spacing w:before="0" w:after="283"/>
        <w:jc w:val="both"/>
        <w:rPr>
          <w:lang w:val="es-CO"/>
        </w:rPr>
      </w:pPr>
      <w:r>
        <w:rPr>
          <w:lang w:val="es-CO"/>
        </w:rPr>
      </w:r>
    </w:p>
    <w:p>
      <w:pPr>
        <w:pStyle w:val="BodyTextindent"/>
        <w:bidi w:val="0"/>
        <w:spacing w:lineRule="auto" w:line="252" w:before="0" w:after="0"/>
        <w:ind w:firstLine="280" w:start="0" w:end="0"/>
        <w:jc w:val="both"/>
        <w:rPr/>
      </w:pPr>
      <w:r>
        <w:rPr>
          <w:rFonts w:ascii="Times New Roman" w:hAnsi="Times New Roman"/>
          <w:sz w:val="20"/>
          <w:lang w:val="es-CO"/>
        </w:rPr>
        <w:t xml:space="preserve">Se usaron covariables topográficas derivadas de un Modelo Digital de Elevación (MDE) de </w:t>
      </w:r>
      <w:r>
        <w:rPr>
          <w:rFonts w:ascii="Times New Roman" w:hAnsi="Times New Roman"/>
          <w:b/>
          <w:i/>
          <w:sz w:val="20"/>
          <w:lang w:val="es-CO"/>
        </w:rPr>
        <w:t xml:space="preserve">1 m </w:t>
      </w:r>
      <w:r>
        <w:rPr>
          <w:rFonts w:ascii="Times New Roman" w:hAnsi="Times New Roman"/>
          <w:sz w:val="20"/>
          <w:lang w:val="es-CO"/>
        </w:rPr>
        <w:t xml:space="preserve">de resolución obtenido con tecnología LiDAR, remuestreado a </w:t>
      </w:r>
      <w:r>
        <w:rPr>
          <w:rFonts w:ascii="Times New Roman" w:hAnsi="Times New Roman"/>
          <w:b/>
          <w:i/>
          <w:sz w:val="20"/>
          <w:lang w:val="es-CO"/>
        </w:rPr>
        <w:t xml:space="preserve">2 m </w:t>
      </w:r>
      <w:r>
        <w:rPr>
          <w:rFonts w:ascii="Times New Roman" w:hAnsi="Times New Roman"/>
          <w:sz w:val="20"/>
          <w:lang w:val="es-CO"/>
        </w:rPr>
        <w:t>mediante promediado por agregación para mejorar la relación señal-ruido en las covariables morfométricas y reducir el costo computacional (Tabla </w:t>
      </w:r>
      <w:hyperlink w:anchor="x1-3002r1">
        <w:r>
          <w:rPr>
            <w:rStyle w:val="Hyperlink"/>
            <w:lang w:val="es-CO"/>
          </w:rPr>
          <w:t>I</w:t>
        </w:r>
      </w:hyperlink>
      <w:r>
        <w:rPr>
          <w:rFonts w:ascii="Times New Roman" w:hAnsi="Times New Roman"/>
          <w:sz w:val="20"/>
          <w:lang w:val="es-CO"/>
        </w:rPr>
        <w:t>). La pendiente (</w:t>
      </w:r>
      <w:r>
        <w:rPr>
          <w:rFonts w:ascii="Times New Roman" w:hAnsi="Times New Roman"/>
          <w:b/>
          <w:i/>
          <w:sz w:val="20"/>
          <w:lang w:val="es-CO"/>
        </w:rPr>
        <w:t>β</w:t>
      </w:r>
      <w:r>
        <w:rPr>
          <w:rFonts w:ascii="Times New Roman" w:hAnsi="Times New Roman"/>
          <w:sz w:val="20"/>
          <w:lang w:val="es-CO"/>
        </w:rPr>
        <w:t>, grados) se define como el ángulo de la máxima pendiente descendente. El aspecto (</w:t>
      </w:r>
      <w:r>
        <w:rPr>
          <w:rFonts w:ascii="Times New Roman" w:hAnsi="Times New Roman"/>
          <w:b/>
          <w:i/>
          <w:sz w:val="20"/>
          <w:lang w:val="es-CO"/>
        </w:rPr>
        <w:t>α</w:t>
      </w:r>
      <w:r>
        <w:rPr>
          <w:rFonts w:ascii="Times New Roman" w:hAnsi="Times New Roman"/>
          <w:sz w:val="20"/>
          <w:lang w:val="es-CO"/>
        </w:rPr>
        <w:t xml:space="preserve">, grados desde el Norte) es la dirección de la máxima pendiente descendente y controla la exposición solar, la evapotranspiración y el contenido de humedad del suelo. Las dos covariables topográficas se estandarizaron a media cero y desviación estándar unitaria sobre el dominio completo antes del ajuste del modelo. </w:t>
      </w:r>
    </w:p>
    <w:p>
      <w:pPr>
        <w:pStyle w:val="HorizontalLine"/>
        <w:pBdr>
          <w:bottom w:val="double" w:sz="2" w:space="0" w:color="808080"/>
        </w:pBdr>
        <w:bidi w:val="0"/>
        <w:spacing w:before="0" w:after="283"/>
        <w:jc w:val="both"/>
        <w:rPr>
          <w:lang w:val="es-CO"/>
        </w:rPr>
      </w:pPr>
      <w:r>
        <w:rPr>
          <w:lang w:val="es-CO"/>
        </w:rPr>
      </w:r>
    </w:p>
    <w:p>
      <w:pPr>
        <w:pStyle w:val="BodyText"/>
        <w:bidi w:val="0"/>
        <w:spacing w:lineRule="auto" w:line="252" w:before="120" w:after="40"/>
        <w:ind w:hanging="0" w:start="0" w:end="0"/>
        <w:jc w:val="center"/>
        <w:rPr>
          <w:lang w:val="es-CO"/>
        </w:rPr>
      </w:pPr>
      <w:bookmarkStart w:id="4" w:name="x1-3002r1"/>
      <w:bookmarkEnd w:id="4"/>
      <w:r>
        <w:rPr>
          <w:rFonts w:ascii="Times New Roman" w:hAnsi="Times New Roman"/>
          <w:smallCaps/>
          <w:sz w:val="16"/>
          <w:lang w:val="es-CO"/>
        </w:rPr>
        <w:t xml:space="preserve">Tabla I: Estadísticas descriptivas de las covariables topográficas estandarizadas en las </w:t>
      </w:r>
      <w:r>
        <w:rPr>
          <w:rFonts w:ascii="Times New Roman" w:hAnsi="Times New Roman"/>
          <w:b/>
          <w:i/>
          <w:smallCaps/>
          <w:sz w:val="16"/>
          <w:lang w:val="es-CO"/>
        </w:rPr>
        <w:t xml:space="preserve">2504 </w:t>
      </w:r>
      <w:r>
        <w:rPr>
          <w:rFonts w:ascii="Times New Roman" w:hAnsi="Times New Roman"/>
          <w:smallCaps/>
          <w:sz w:val="16"/>
          <w:lang w:val="es-CO"/>
        </w:rPr>
        <w:t xml:space="preserve">localizaciones de movimientos en masa (MDE a </w:t>
      </w:r>
      <w:r>
        <w:rPr>
          <w:rFonts w:ascii="Times New Roman" w:hAnsi="Times New Roman"/>
          <w:b/>
          <w:i/>
          <w:smallCaps/>
          <w:sz w:val="16"/>
          <w:lang w:val="es-CO"/>
        </w:rPr>
        <w:t>2 m</w:t>
      </w:r>
      <w:r>
        <w:rPr>
          <w:rFonts w:ascii="Times New Roman" w:hAnsi="Times New Roman"/>
          <w:smallCaps/>
          <w:sz w:val="16"/>
          <w:lang w:val="es-CO"/>
        </w:rPr>
        <w:t>).</w:t>
      </w:r>
    </w:p>
    <w:p>
      <w:pPr>
        <w:pStyle w:val="Normal"/>
        <w:bidi w:val="0"/>
        <w:spacing w:before="0" w:after="0"/>
        <w:jc w:val="both"/>
        <w:rPr>
          <w:sz w:val="4"/>
          <w:szCs w:val="4"/>
          <w:lang w:val="es-CO"/>
        </w:rPr>
      </w:pPr>
      <w:r>
        <w:rPr>
          <w:sz w:val="4"/>
          <w:szCs w:val="4"/>
          <w:lang w:val="es-CO"/>
        </w:rPr>
      </w:r>
      <w:bookmarkStart w:id="5" w:name="TBL-2-1-"/>
      <w:bookmarkStart w:id="6" w:name="TBL-2-6"/>
      <w:bookmarkStart w:id="7" w:name="TBL-2-5"/>
      <w:bookmarkStart w:id="8" w:name="TBL-2-4"/>
      <w:bookmarkStart w:id="9" w:name="TBL-2-3"/>
      <w:bookmarkStart w:id="10" w:name="TBL-2-2"/>
      <w:bookmarkStart w:id="11" w:name="TBL-2-1"/>
      <w:bookmarkStart w:id="12" w:name="TBL-2-1g"/>
      <w:bookmarkStart w:id="13" w:name="TBL-2"/>
      <w:bookmarkStart w:id="14" w:name="TBL-2-1-"/>
      <w:bookmarkStart w:id="15" w:name="TBL-2-6"/>
      <w:bookmarkStart w:id="16" w:name="TBL-2-5"/>
      <w:bookmarkStart w:id="17" w:name="TBL-2-4"/>
      <w:bookmarkStart w:id="18" w:name="TBL-2-3"/>
      <w:bookmarkStart w:id="19" w:name="TBL-2-2"/>
      <w:bookmarkStart w:id="20" w:name="TBL-2-1"/>
      <w:bookmarkStart w:id="21" w:name="TBL-2-1g"/>
      <w:bookmarkStart w:id="22" w:name="TBL-2"/>
      <w:bookmarkEnd w:id="14"/>
      <w:bookmarkEnd w:id="15"/>
      <w:bookmarkEnd w:id="16"/>
      <w:bookmarkEnd w:id="17"/>
      <w:bookmarkEnd w:id="18"/>
      <w:bookmarkEnd w:id="19"/>
      <w:bookmarkEnd w:id="20"/>
      <w:bookmarkEnd w:id="21"/>
      <w:bookmarkEnd w:id="22"/>
    </w:p>
    <w:tbl>
      <w:tblPr>
        <w:tblW w:w="5036" w:type="dxa"/>
        <w:jc w:val="start"/>
        <w:tblInd w:w="0" w:type="dxa"/>
        <w:tblLayout w:type="fixed"/>
        <w:tblCellMar>
          <w:top w:w="28" w:type="dxa"/>
          <w:start w:w="28" w:type="dxa"/>
          <w:bottom w:w="28" w:type="dxa"/>
          <w:end w:w="28" w:type="dxa"/>
        </w:tblCellMar>
      </w:tblPr>
      <w:tblGrid>
        <w:gridCol w:w="1168"/>
        <w:gridCol w:w="632"/>
        <w:gridCol w:w="718"/>
        <w:gridCol w:w="900"/>
        <w:gridCol w:w="718"/>
        <w:gridCol w:w="900"/>
      </w:tblGrid>
      <w:tr>
        <w:trPr/>
        <w:tc>
          <w:tcPr>
            <w:tcW w:w="1168" w:type="dxa"/>
            <w:tcBorders/>
            <w:vAlign w:val="center"/>
          </w:tcPr>
          <w:p>
            <w:pPr>
              <w:pStyle w:val="TableContents"/>
              <w:bidi w:val="0"/>
              <w:spacing w:lineRule="auto" w:line="252" w:before="0" w:after="0"/>
              <w:ind w:hanging="0" w:start="0" w:end="0"/>
              <w:jc w:val="center"/>
              <w:rPr>
                <w:lang w:val="es-CO"/>
              </w:rPr>
            </w:pPr>
            <w:bookmarkStart w:id="23" w:name="TBL-2-1-1"/>
            <w:bookmarkEnd w:id="23"/>
            <w:r>
              <w:rPr>
                <w:rFonts w:ascii="Times New Roman" w:hAnsi="Times New Roman"/>
                <w:sz w:val="16"/>
                <w:lang w:val="es-CO"/>
              </w:rPr>
              <w:t xml:space="preserve">Covariable </w:t>
            </w:r>
            <w:bookmarkStart w:id="24" w:name="TBL-2-1-2"/>
            <w:bookmarkEnd w:id="24"/>
          </w:p>
        </w:tc>
        <w:tc>
          <w:tcPr>
            <w:tcW w:w="632"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Mín. </w:t>
            </w:r>
            <w:bookmarkStart w:id="25" w:name="TBL-2-1-3"/>
            <w:bookmarkEnd w:id="25"/>
          </w:p>
        </w:tc>
        <w:tc>
          <w:tcPr>
            <w:tcW w:w="718"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Q</w:t>
            </w:r>
            <w:r>
              <w:rPr>
                <w:rFonts w:ascii="Times New Roman" w:hAnsi="Times New Roman"/>
                <w:b/>
                <w:i/>
                <w:position w:val="-2"/>
                <w:sz w:val="16"/>
                <w:lang w:val="es-CO"/>
              </w:rPr>
              <w:t>25</w:t>
            </w:r>
            <w:r>
              <w:rPr>
                <w:rFonts w:ascii="Times New Roman" w:hAnsi="Times New Roman"/>
                <w:sz w:val="16"/>
                <w:lang w:val="es-CO"/>
              </w:rPr>
              <w:t xml:space="preserve"> </w:t>
            </w:r>
            <w:bookmarkStart w:id="26" w:name="TBL-2-1-4"/>
            <w:bookmarkEnd w:id="26"/>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Mediana </w:t>
            </w:r>
            <w:bookmarkStart w:id="27" w:name="TBL-2-1-5"/>
            <w:bookmarkEnd w:id="27"/>
          </w:p>
        </w:tc>
        <w:tc>
          <w:tcPr>
            <w:tcW w:w="718"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Q</w:t>
            </w:r>
            <w:r>
              <w:rPr>
                <w:rFonts w:ascii="Times New Roman" w:hAnsi="Times New Roman"/>
                <w:b/>
                <w:i/>
                <w:position w:val="-2"/>
                <w:sz w:val="16"/>
                <w:lang w:val="es-CO"/>
              </w:rPr>
              <w:t>75</w:t>
            </w:r>
            <w:r>
              <w:rPr>
                <w:rFonts w:ascii="Times New Roman" w:hAnsi="Times New Roman"/>
                <w:sz w:val="16"/>
                <w:lang w:val="es-CO"/>
              </w:rPr>
              <w:t xml:space="preserve"> </w:t>
            </w:r>
            <w:bookmarkStart w:id="28" w:name="TBL-2-1-6"/>
            <w:bookmarkEnd w:id="28"/>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Máx. </w:t>
            </w:r>
            <w:bookmarkStart w:id="29" w:name="TBL-2-2-1"/>
            <w:bookmarkStart w:id="30" w:name="TBL-2-2-"/>
            <w:bookmarkEnd w:id="29"/>
            <w:bookmarkEnd w:id="30"/>
          </w:p>
        </w:tc>
      </w:tr>
      <w:tr>
        <w:trPr/>
        <w:tc>
          <w:tcPr>
            <w:tcW w:w="1168"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Pendiente (°) </w:t>
            </w:r>
            <w:bookmarkStart w:id="31" w:name="TBL-2-2-2"/>
            <w:bookmarkEnd w:id="31"/>
          </w:p>
        </w:tc>
        <w:tc>
          <w:tcPr>
            <w:tcW w:w="63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0,12 </w:t>
            </w:r>
            <w:bookmarkStart w:id="32" w:name="TBL-2-2-3"/>
            <w:bookmarkEnd w:id="32"/>
          </w:p>
        </w:tc>
        <w:tc>
          <w:tcPr>
            <w:tcW w:w="718"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28,37 </w:t>
            </w:r>
            <w:bookmarkStart w:id="33" w:name="TBL-2-2-4"/>
            <w:bookmarkEnd w:id="33"/>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36,84 </w:t>
            </w:r>
            <w:bookmarkStart w:id="34" w:name="TBL-2-2-5"/>
            <w:bookmarkEnd w:id="34"/>
          </w:p>
        </w:tc>
        <w:tc>
          <w:tcPr>
            <w:tcW w:w="718"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43,24 </w:t>
            </w:r>
            <w:bookmarkStart w:id="35" w:name="TBL-2-2-6"/>
            <w:bookmarkEnd w:id="35"/>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65,13 </w:t>
            </w:r>
            <w:bookmarkStart w:id="36" w:name="TBL-2-3-1"/>
            <w:bookmarkStart w:id="37" w:name="TBL-2-3-"/>
            <w:bookmarkEnd w:id="36"/>
            <w:bookmarkEnd w:id="37"/>
          </w:p>
        </w:tc>
      </w:tr>
      <w:tr>
        <w:trPr/>
        <w:tc>
          <w:tcPr>
            <w:tcW w:w="1168"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Aspecto (°) </w:t>
            </w:r>
            <w:bookmarkStart w:id="38" w:name="TBL-2-3-2"/>
            <w:bookmarkEnd w:id="38"/>
          </w:p>
        </w:tc>
        <w:tc>
          <w:tcPr>
            <w:tcW w:w="63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0,16 </w:t>
            </w:r>
            <w:bookmarkStart w:id="39" w:name="TBL-2-3-3"/>
            <w:bookmarkEnd w:id="39"/>
          </w:p>
        </w:tc>
        <w:tc>
          <w:tcPr>
            <w:tcW w:w="718"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86,45 </w:t>
            </w:r>
            <w:bookmarkStart w:id="40" w:name="TBL-2-3-4"/>
            <w:bookmarkEnd w:id="40"/>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144,35 </w:t>
            </w:r>
            <w:bookmarkStart w:id="41" w:name="TBL-2-3-5"/>
            <w:bookmarkEnd w:id="41"/>
          </w:p>
        </w:tc>
        <w:tc>
          <w:tcPr>
            <w:tcW w:w="718"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203,99 </w:t>
            </w:r>
            <w:bookmarkStart w:id="42" w:name="TBL-2-3-6"/>
            <w:bookmarkEnd w:id="42"/>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359,68 </w:t>
            </w:r>
            <w:bookmarkStart w:id="43" w:name="TBL-2-4-1"/>
            <w:bookmarkStart w:id="44" w:name="TBL-2-4-"/>
            <w:bookmarkEnd w:id="43"/>
            <w:bookmarkEnd w:id="44"/>
          </w:p>
        </w:tc>
      </w:tr>
      <w:tr>
        <w:trPr/>
        <w:tc>
          <w:tcPr>
            <w:tcW w:w="1168" w:type="dxa"/>
            <w:tcBorders/>
            <w:vAlign w:val="center"/>
          </w:tcPr>
          <w:p>
            <w:pPr>
              <w:pStyle w:val="TableContents"/>
              <w:bidi w:val="0"/>
              <w:spacing w:lineRule="auto" w:line="252" w:before="0" w:after="0"/>
              <w:ind w:hanging="0"/>
              <w:jc w:val="center"/>
              <w:rPr>
                <w:sz w:val="4"/>
                <w:szCs w:val="4"/>
                <w:lang w:val="es-CO"/>
              </w:rPr>
            </w:pPr>
            <w:r>
              <w:rPr>
                <w:sz w:val="4"/>
                <w:szCs w:val="4"/>
                <w:lang w:val="es-CO"/>
              </w:rPr>
            </w:r>
          </w:p>
        </w:tc>
        <w:tc>
          <w:tcPr>
            <w:tcW w:w="3868" w:type="dxa"/>
            <w:gridSpan w:val="5"/>
            <w:tcBorders/>
          </w:tcPr>
          <w:p>
            <w:pPr>
              <w:pStyle w:val="TableContents"/>
              <w:bidi w:val="0"/>
              <w:spacing w:lineRule="auto" w:line="252" w:before="0" w:after="0"/>
              <w:ind w:hanging="0"/>
              <w:jc w:val="center"/>
              <w:rPr>
                <w:sz w:val="4"/>
                <w:szCs w:val="4"/>
                <w:lang w:val="es-CO"/>
              </w:rPr>
            </w:pPr>
            <w:r>
              <w:rPr>
                <w:sz w:val="4"/>
                <w:szCs w:val="4"/>
                <w:lang w:val="es-CO"/>
              </w:rPr>
            </w:r>
          </w:p>
        </w:tc>
      </w:tr>
    </w:tbl>
    <w:p>
      <w:pPr>
        <w:pStyle w:val="HorizontalLine"/>
        <w:pBdr>
          <w:bottom w:val="double" w:sz="2" w:space="0" w:color="808080"/>
        </w:pBdr>
        <w:bidi w:val="0"/>
        <w:spacing w:before="0" w:after="283"/>
        <w:jc w:val="both"/>
        <w:rPr>
          <w:lang w:val="es-CO"/>
        </w:rPr>
      </w:pPr>
      <w:r>
        <w:rPr>
          <w:lang w:val="es-CO"/>
        </w:rPr>
      </w:r>
    </w:p>
    <w:p>
      <w:pPr>
        <w:pStyle w:val="BodyTextindent"/>
        <w:bidi w:val="0"/>
        <w:spacing w:lineRule="auto" w:line="252" w:before="0" w:after="0"/>
        <w:ind w:firstLine="280" w:start="0" w:end="0"/>
        <w:jc w:val="both"/>
        <w:rPr>
          <w:lang w:val="es-CO"/>
        </w:rPr>
      </w:pPr>
      <w:r>
        <w:rPr>
          <w:rFonts w:ascii="Times New Roman" w:hAnsi="Times New Roman"/>
          <w:sz w:val="20"/>
          <w:lang w:val="es-CO"/>
        </w:rPr>
        <w:t xml:space="preserve">Por ser un territorio fuertemente antropizado se usaron dos tipos de uso del suelo: urbano y rural. La incorporación de la geología se realizó categorizando cada unidad geológica en dos clases binarias: (i) </w:t>
      </w:r>
      <w:r>
        <w:rPr>
          <w:rFonts w:ascii="Times New Roman" w:hAnsi="Times New Roman"/>
          <w:i/>
          <w:sz w:val="20"/>
          <w:lang w:val="es-CO"/>
        </w:rPr>
        <w:t>suelos finos</w:t>
      </w:r>
      <w:r>
        <w:rPr>
          <w:rFonts w:ascii="Times New Roman" w:hAnsi="Times New Roman"/>
          <w:sz w:val="20"/>
          <w:lang w:val="es-CO"/>
        </w:rPr>
        <w:t xml:space="preserve">: incluye esquistos, dunitas, rocas volcánicas y depósitos de flujos de lodos. Esta categoría cubre aproximadamente el </w:t>
      </w:r>
      <w:r>
        <w:rPr>
          <w:rFonts w:ascii="Times New Roman" w:hAnsi="Times New Roman"/>
          <w:b/>
          <w:i/>
          <w:sz w:val="20"/>
          <w:lang w:val="es-CO"/>
        </w:rPr>
        <w:t xml:space="preserve">35 % </w:t>
      </w:r>
      <w:r>
        <w:rPr>
          <w:rFonts w:ascii="Times New Roman" w:hAnsi="Times New Roman"/>
          <w:sz w:val="20"/>
          <w:lang w:val="es-CO"/>
        </w:rPr>
        <w:t xml:space="preserve">del dominio; (ii) </w:t>
      </w:r>
      <w:r>
        <w:rPr>
          <w:rFonts w:ascii="Times New Roman" w:hAnsi="Times New Roman"/>
          <w:i/>
          <w:sz w:val="20"/>
          <w:lang w:val="es-CO"/>
        </w:rPr>
        <w:t>suelos gruesos</w:t>
      </w:r>
      <w:r>
        <w:rPr>
          <w:rFonts w:ascii="Times New Roman" w:hAnsi="Times New Roman"/>
          <w:sz w:val="20"/>
          <w:lang w:val="es-CO"/>
        </w:rPr>
        <w:t xml:space="preserve">: incluye gneis, anfibolitas, granodioritas, gabros, migmatitas y depósitos aluviales. Esta categoría cubre el </w:t>
      </w:r>
      <w:r>
        <w:rPr>
          <w:rFonts w:ascii="Times New Roman" w:hAnsi="Times New Roman"/>
          <w:b/>
          <w:i/>
          <w:sz w:val="20"/>
          <w:lang w:val="es-CO"/>
        </w:rPr>
        <w:t xml:space="preserve">65 % </w:t>
      </w:r>
      <w:r>
        <w:rPr>
          <w:rFonts w:ascii="Times New Roman" w:hAnsi="Times New Roman"/>
          <w:sz w:val="20"/>
          <w:lang w:val="es-CO"/>
        </w:rPr>
        <w:t xml:space="preserve">restante del dominio. </w:t>
      </w:r>
    </w:p>
    <w:p>
      <w:pPr>
        <w:pStyle w:val="Heading3"/>
        <w:bidi w:val="0"/>
        <w:spacing w:lineRule="auto" w:line="252" w:before="120" w:after="60"/>
        <w:ind w:hanging="0" w:start="0" w:end="0"/>
        <w:jc w:val="center"/>
        <w:rPr>
          <w:lang w:val="es-CO"/>
        </w:rPr>
      </w:pPr>
      <w:r>
        <w:rPr>
          <w:rFonts w:ascii="Times New Roman" w:hAnsi="Times New Roman"/>
          <w:b w:val="false"/>
          <w:smallCaps/>
          <w:sz w:val="20"/>
          <w:lang w:val="es-CO"/>
        </w:rPr>
        <w:t xml:space="preserve">IV. </w:t>
      </w:r>
      <w:bookmarkStart w:id="45" w:name="x1-4000IV"/>
      <w:bookmarkEnd w:id="45"/>
      <w:r>
        <w:rPr>
          <w:rFonts w:ascii="Times New Roman" w:hAnsi="Times New Roman"/>
          <w:b w:val="false"/>
          <w:smallCaps/>
          <w:sz w:val="20"/>
          <w:lang w:val="es-CO"/>
        </w:rPr>
        <w:t>Metodología</w:t>
      </w:r>
    </w:p>
    <w:p>
      <w:pPr>
        <w:pStyle w:val="Heading4"/>
        <w:bidi w:val="0"/>
        <w:spacing w:lineRule="auto" w:line="252" w:before="80" w:after="40"/>
        <w:ind w:hanging="0" w:start="0" w:end="0"/>
        <w:jc w:val="start"/>
        <w:rPr>
          <w:lang w:val="es-CO"/>
        </w:rPr>
      </w:pPr>
      <w:r>
        <w:rPr>
          <w:rFonts w:ascii="Times New Roman" w:hAnsi="Times New Roman"/>
          <w:b w:val="false"/>
          <w:i/>
          <w:sz w:val="20"/>
          <w:lang w:val="es-CO"/>
        </w:rPr>
        <w:t xml:space="preserve">A. </w:t>
      </w:r>
      <w:bookmarkStart w:id="46" w:name="x1-5000A"/>
      <w:bookmarkEnd w:id="46"/>
      <w:r>
        <w:rPr>
          <w:rFonts w:ascii="Times New Roman" w:hAnsi="Times New Roman"/>
          <w:b w:val="false"/>
          <w:i/>
          <w:sz w:val="20"/>
          <w:lang w:val="es-CO"/>
        </w:rPr>
        <w:t>Proceso de Poisson No Homogéneo (NHPP)</w:t>
      </w:r>
    </w:p>
    <w:p>
      <w:pPr>
        <w:pStyle w:val="BodyText"/>
        <w:bidi w:val="0"/>
        <w:spacing w:lineRule="auto" w:line="252" w:before="0" w:after="0"/>
        <w:ind w:firstLine="280" w:start="0" w:end="0"/>
        <w:jc w:val="both"/>
        <w:rPr>
          <w:lang w:val="es-CO"/>
        </w:rPr>
      </w:pPr>
      <w:r>
        <w:rPr>
          <w:rFonts w:ascii="Times New Roman" w:hAnsi="Times New Roman"/>
          <w:sz w:val="20"/>
          <w:lang w:val="es-CO"/>
        </w:rPr>
        <w:t xml:space="preserve">El inventario de movimientos en masa se trata como una realización de un proceso puntual espacial en el dominio continuo </w:t>
      </w:r>
      <w:r>
        <w:rPr>
          <w:rFonts w:ascii="Times New Roman" w:hAnsi="Times New Roman"/>
          <w:b/>
          <w:i/>
          <w:sz w:val="20"/>
          <w:lang w:val="es-CO"/>
        </w:rPr>
        <w:t xml:space="preserve">Ω </w:t>
      </w:r>
      <w:r>
        <w:rPr>
          <w:rFonts w:ascii="Times New Roman" w:hAnsi="Times New Roman"/>
          <w:sz w:val="20"/>
          <w:lang w:val="es-CO"/>
        </w:rPr>
        <w:t>⊂ℝ</w:t>
      </w:r>
      <w:r>
        <w:rPr>
          <w:rFonts w:ascii="Times New Roman" w:hAnsi="Times New Roman"/>
          <w:b/>
          <w:i/>
          <w:position w:val="8"/>
          <w:sz w:val="20"/>
          <w:lang w:val="es-CO"/>
        </w:rPr>
        <w:t>2</w:t>
      </w:r>
      <w:r>
        <w:rPr>
          <w:rFonts w:ascii="Times New Roman" w:hAnsi="Times New Roman"/>
          <w:sz w:val="20"/>
          <w:lang w:val="es-CO"/>
        </w:rPr>
        <w:t xml:space="preserve">, cuya distribución está gobernada por la función de intensidad </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w:t>
      </w:r>
      <w:r>
        <w:rPr>
          <w:rFonts w:ascii="Times New Roman" w:hAnsi="Times New Roman"/>
          <w:sz w:val="20"/>
          <w:lang w:val="es-CO"/>
        </w:rPr>
        <w:t xml:space="preserve">. El modelo adoptado es el Proceso de Poisson No Homogéneo (NHPP), en el que el reto estadístico es estimar </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 xml:space="preserve">) </w:t>
      </w:r>
      <w:r>
        <w:rPr>
          <w:rFonts w:ascii="Times New Roman" w:hAnsi="Times New Roman"/>
          <w:sz w:val="20"/>
          <w:lang w:val="es-CO"/>
        </w:rPr>
        <w:t xml:space="preserve">en todo el dominio a partir de las </w:t>
      </w:r>
      <w:r>
        <w:rPr>
          <w:rFonts w:ascii="Times New Roman" w:hAnsi="Times New Roman"/>
          <w:b/>
          <w:i/>
          <w:sz w:val="20"/>
          <w:lang w:val="es-CO"/>
        </w:rPr>
        <w:t xml:space="preserve">2504 </w:t>
      </w:r>
      <w:r>
        <w:rPr>
          <w:rFonts w:ascii="Times New Roman" w:hAnsi="Times New Roman"/>
          <w:sz w:val="20"/>
          <w:lang w:val="es-CO"/>
        </w:rPr>
        <w:t xml:space="preserve">localizaciones observadas, teniendo en cuenta que la intensidad varía con la topografía, el tipo de suelo y la cobertura del territorio. Formalmente, el NHPP establece que los eventos son condicionalmente independientes dado la función de intensidad </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w:t>
      </w:r>
      <w:r>
        <w:rPr>
          <w:rFonts w:ascii="Times New Roman" w:hAnsi="Times New Roman"/>
          <w:sz w:val="20"/>
          <w:lang w:val="es-CO"/>
        </w:rPr>
        <w:t xml:space="preserve">, y el conteo en cualquier área </w:t>
      </w:r>
      <w:r>
        <w:rPr>
          <w:rFonts w:ascii="Times New Roman" w:hAnsi="Times New Roman"/>
          <w:b/>
          <w:i/>
          <w:sz w:val="20"/>
          <w:lang w:val="es-CO"/>
        </w:rPr>
        <w:t xml:space="preserve">A </w:t>
      </w:r>
      <w:r>
        <w:rPr>
          <w:rFonts w:ascii="Times New Roman" w:hAnsi="Times New Roman"/>
          <w:sz w:val="20"/>
          <w:lang w:val="es-CO"/>
        </w:rPr>
        <w:t xml:space="preserve">sigue </w:t>
      </w:r>
      <w:r>
        <w:rPr>
          <w:rFonts w:ascii="Times New Roman" w:hAnsi="Times New Roman"/>
          <w:b/>
          <w:i/>
          <w:sz w:val="20"/>
          <w:lang w:val="es-CO"/>
        </w:rPr>
        <w:t>N(A) ~</w:t>
      </w:r>
      <w:r>
        <w:rPr>
          <w:rFonts w:ascii="Times New Roman" w:hAnsi="Times New Roman"/>
          <w:sz w:val="20"/>
          <w:lang w:val="es-CO"/>
        </w:rPr>
        <w:t xml:space="preserve"> Poisson </w:t>
      </w:r>
      <w:r>
        <w:rPr/>
        <w:t>(∫_A λ(s) ds)</w:t>
      </w:r>
      <w:r>
        <w:rPr>
          <w:rFonts w:ascii="Times New Roman" w:hAnsi="Times New Roman"/>
          <w:sz w:val="20"/>
          <w:lang w:val="es-CO"/>
        </w:rPr>
        <w:t xml:space="preserve">. Con una intensidad log-lineal en covariables: </w:t>
      </w:r>
    </w:p>
    <w:tbl>
      <w:tblPr>
        <w:tblW w:w="4934" w:type="dxa"/>
        <w:jc w:val="start"/>
        <w:tblInd w:w="0" w:type="dxa"/>
        <w:tblLayout w:type="fixed"/>
        <w:tblCellMar>
          <w:top w:w="28" w:type="dxa"/>
          <w:start w:w="28" w:type="dxa"/>
          <w:bottom w:w="28" w:type="dxa"/>
          <w:end w:w="28" w:type="dxa"/>
        </w:tblCellMar>
      </w:tblPr>
      <w:tblGrid>
        <w:gridCol w:w="889"/>
        <w:gridCol w:w="3446"/>
        <w:gridCol w:w="445"/>
        <w:gridCol w:w="154"/>
      </w:tblGrid>
      <w:tr>
        <w:trPr/>
        <w:tc>
          <w:tcPr>
            <w:tcW w:w="889"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{S</w:t>
            </w:r>
            <w:r>
              <w:rPr>
                <w:rFonts w:ascii="Times New Roman" w:hAnsi="Times New Roman"/>
                <w:b/>
                <w:i/>
                <w:position w:val="-2"/>
                <w:sz w:val="16"/>
                <w:lang w:val="es-CO"/>
              </w:rPr>
              <w:t>i</w:t>
            </w:r>
            <w:r>
              <w:rPr>
                <w:rFonts w:ascii="Times New Roman" w:hAnsi="Times New Roman"/>
                <w:b/>
                <w:i/>
                <w:sz w:val="16"/>
                <w:lang w:val="es-CO"/>
              </w:rPr>
              <w:t>}</w:t>
            </w:r>
            <w:r>
              <w:rPr>
                <w:rFonts w:ascii="Times New Roman" w:hAnsi="Times New Roman"/>
                <w:sz w:val="16"/>
                <w:lang w:val="es-CO"/>
              </w:rPr>
              <w:t>∣</w:t>
            </w:r>
            <w:r>
              <w:rPr>
                <w:rFonts w:ascii="Times New Roman" w:hAnsi="Times New Roman"/>
                <w:b/>
                <w:i/>
                <w:sz w:val="16"/>
                <w:lang w:val="es-CO"/>
              </w:rPr>
              <w:t>λ(</w:t>
            </w:r>
            <w:r>
              <w:rPr>
                <w:rFonts w:ascii="Times New Roman" w:hAnsi="Times New Roman"/>
                <w:sz w:val="16"/>
                <w:lang w:val="es-CO"/>
              </w:rPr>
              <w:t>⋅</w:t>
            </w:r>
            <w:r>
              <w:rPr>
                <w:rFonts w:ascii="Times New Roman" w:hAnsi="Times New Roman"/>
                <w:b/>
                <w:i/>
                <w:sz w:val="16"/>
                <w:lang w:val="es-CO"/>
              </w:rPr>
              <w:t>)</w:t>
            </w:r>
          </w:p>
        </w:tc>
        <w:tc>
          <w:tcPr>
            <w:tcW w:w="3446"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w:t>
            </w:r>
            <w:r>
              <w:rPr>
                <w:rFonts w:ascii="Times New Roman" w:hAnsi="Times New Roman"/>
                <w:sz w:val="16"/>
                <w:lang w:val="es-CO"/>
              </w:rPr>
              <w:t xml:space="preserve"> Poisson-NH</w:t>
            </w:r>
            <w:r>
              <w:rPr/>
              <w:drawing>
                <wp:inline distT="0" distB="0" distL="0" distR="0">
                  <wp:extent cx="57150" cy="228600"/>
                  <wp:effectExtent l="0" t="0" r="0" b="0"/>
                  <wp:docPr id="2" name="Image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title="("/>
                          <pic:cNvPicPr>
                            <a:picLocks noChangeAspect="1" noChangeArrowheads="1"/>
                          </pic:cNvPicPr>
                        </pic:nvPicPr>
                        <pic:blipFill>
                          <a:blip r:link="rId3"/>
                          <a:stretch>
                            <a:fillRect/>
                          </a:stretch>
                        </pic:blipFill>
                        <pic:spPr bwMode="auto">
                          <a:xfrm>
                            <a:off x="0" y="0"/>
                            <a:ext cx="57150" cy="228600"/>
                          </a:xfrm>
                          <a:prstGeom prst="rect">
                            <a:avLst/>
                          </a:prstGeom>
                          <a:noFill/>
                        </pic:spPr>
                      </pic:pic>
                    </a:graphicData>
                  </a:graphic>
                </wp:inline>
              </w:drawing>
            </w:r>
            <w:r>
              <w:rPr>
                <w:rFonts w:ascii="Times New Roman" w:hAnsi="Times New Roman"/>
                <w:b/>
                <w:i/>
                <w:sz w:val="16"/>
                <w:lang w:val="es-CO"/>
              </w:rPr>
              <w:t>λ(</w:t>
            </w:r>
            <w:r>
              <w:rPr>
                <w:rFonts w:ascii="Times New Roman" w:hAnsi="Times New Roman"/>
                <w:b/>
                <w:sz w:val="16"/>
                <w:lang w:val="es-CO"/>
              </w:rPr>
              <w:t>s</w:t>
            </w:r>
            <w:r>
              <w:rPr>
                <w:rFonts w:ascii="Times New Roman" w:hAnsi="Times New Roman"/>
                <w:b/>
                <w:i/>
                <w:sz w:val="16"/>
                <w:lang w:val="es-CO"/>
              </w:rPr>
              <w:t>)</w:t>
            </w:r>
            <w:r>
              <w:rPr/>
              <w:drawing>
                <wp:inline distT="0" distB="0" distL="0" distR="0">
                  <wp:extent cx="66675" cy="228600"/>
                  <wp:effectExtent l="0" t="0" r="0" b="0"/>
                  <wp:docPr id="3" name="Image4"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title=")"/>
                          <pic:cNvPicPr>
                            <a:picLocks noChangeAspect="1" noChangeArrowheads="1"/>
                          </pic:cNvPicPr>
                        </pic:nvPicPr>
                        <pic:blipFill>
                          <a:blip r:link="rId4"/>
                          <a:stretch>
                            <a:fillRect/>
                          </a:stretch>
                        </pic:blipFill>
                        <pic:spPr bwMode="auto">
                          <a:xfrm>
                            <a:off x="0" y="0"/>
                            <a:ext cx="66675" cy="228600"/>
                          </a:xfrm>
                          <a:prstGeom prst="rect">
                            <a:avLst/>
                          </a:prstGeom>
                          <a:noFill/>
                        </pic:spPr>
                      </pic:pic>
                    </a:graphicData>
                  </a:graphic>
                </wp:inline>
              </w:drawing>
            </w:r>
            <w:r>
              <w:rPr>
                <w:rFonts w:ascii="Times New Roman" w:hAnsi="Times New Roman"/>
                <w:b/>
                <w:i/>
                <w:sz w:val="16"/>
                <w:lang w:val="es-CO"/>
              </w:rPr>
              <w:t>,</w:t>
            </w:r>
          </w:p>
        </w:tc>
        <w:tc>
          <w:tcPr>
            <w:tcW w:w="445" w:type="dxa"/>
            <w:tcBorders/>
            <w:vAlign w:val="center"/>
          </w:tcPr>
          <w:p>
            <w:pPr>
              <w:pStyle w:val="TableContents"/>
              <w:bidi w:val="0"/>
              <w:spacing w:lineRule="auto" w:line="252" w:before="0" w:after="0"/>
              <w:ind w:hanging="0" w:start="0" w:end="0"/>
              <w:jc w:val="center"/>
              <w:rPr>
                <w:lang w:val="es-CO"/>
              </w:rPr>
            </w:pPr>
            <w:bookmarkStart w:id="47" w:name="x1-5001r1"/>
            <w:bookmarkEnd w:id="47"/>
            <w:r>
              <w:rPr>
                <w:rFonts w:ascii="Times New Roman" w:hAnsi="Times New Roman"/>
                <w:sz w:val="16"/>
                <w:lang w:val="es-CO"/>
              </w:rPr>
              <w:t xml:space="preserve">(1) </w:t>
            </w:r>
          </w:p>
        </w:tc>
        <w:tc>
          <w:tcPr>
            <w:tcW w:w="154" w:type="dxa"/>
            <w:tcBorders/>
          </w:tcPr>
          <w:p>
            <w:pPr>
              <w:pStyle w:val="TableContents"/>
              <w:bidi w:val="0"/>
              <w:spacing w:lineRule="auto" w:line="252" w:before="0" w:after="0"/>
              <w:ind w:hanging="0"/>
              <w:jc w:val="center"/>
              <w:rPr>
                <w:sz w:val="4"/>
                <w:szCs w:val="4"/>
                <w:lang w:val="es-CO"/>
              </w:rPr>
            </w:pPr>
            <w:r>
              <w:rPr>
                <w:sz w:val="4"/>
                <w:szCs w:val="4"/>
                <w:lang w:val="es-CO"/>
              </w:rPr>
            </w:r>
          </w:p>
        </w:tc>
      </w:tr>
      <w:tr>
        <w:trPr/>
        <w:tc>
          <w:tcPr>
            <w:tcW w:w="889"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logλ(</w:t>
            </w:r>
            <w:r>
              <w:rPr>
                <w:rFonts w:ascii="Times New Roman" w:hAnsi="Times New Roman"/>
                <w:b/>
                <w:sz w:val="16"/>
                <w:lang w:val="es-CO"/>
              </w:rPr>
              <w:t>s</w:t>
            </w:r>
            <w:r>
              <w:rPr>
                <w:rFonts w:ascii="Times New Roman" w:hAnsi="Times New Roman"/>
                <w:b/>
                <w:i/>
                <w:sz w:val="16"/>
                <w:lang w:val="es-CO"/>
              </w:rPr>
              <w:t>)</w:t>
            </w:r>
          </w:p>
        </w:tc>
        <w:tc>
          <w:tcPr>
            <w:tcW w:w="3446"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η(</w:t>
            </w:r>
            <w:r>
              <w:rPr>
                <w:rFonts w:ascii="Times New Roman" w:hAnsi="Times New Roman"/>
                <w:b/>
                <w:sz w:val="16"/>
                <w:lang w:val="es-CO"/>
              </w:rPr>
              <w:t>s</w:t>
            </w:r>
            <w:r>
              <w:rPr>
                <w:rFonts w:ascii="Times New Roman" w:hAnsi="Times New Roman"/>
                <w:b/>
                <w:i/>
                <w:sz w:val="16"/>
                <w:lang w:val="es-CO"/>
              </w:rPr>
              <w:t>),</w:t>
            </w:r>
          </w:p>
        </w:tc>
        <w:tc>
          <w:tcPr>
            <w:tcW w:w="445" w:type="dxa"/>
            <w:tcBorders/>
            <w:vAlign w:val="center"/>
          </w:tcPr>
          <w:p>
            <w:pPr>
              <w:pStyle w:val="TableContents"/>
              <w:bidi w:val="0"/>
              <w:spacing w:lineRule="auto" w:line="252" w:before="0" w:after="0"/>
              <w:ind w:hanging="0" w:start="0" w:end="0"/>
              <w:jc w:val="center"/>
              <w:rPr>
                <w:lang w:val="es-CO"/>
              </w:rPr>
            </w:pPr>
            <w:bookmarkStart w:id="48" w:name="x1-5002r2"/>
            <w:bookmarkEnd w:id="48"/>
            <w:r>
              <w:rPr>
                <w:rFonts w:ascii="Times New Roman" w:hAnsi="Times New Roman"/>
                <w:sz w:val="16"/>
                <w:lang w:val="es-CO"/>
              </w:rPr>
              <w:t xml:space="preserve">(2) </w:t>
            </w:r>
          </w:p>
        </w:tc>
        <w:tc>
          <w:tcPr>
            <w:tcW w:w="154" w:type="dxa"/>
            <w:tcBorders/>
          </w:tcPr>
          <w:p>
            <w:pPr>
              <w:pStyle w:val="TableContents"/>
              <w:bidi w:val="0"/>
              <w:spacing w:lineRule="auto" w:line="252" w:before="0" w:after="0"/>
              <w:ind w:hanging="0"/>
              <w:jc w:val="center"/>
              <w:rPr>
                <w:sz w:val="4"/>
                <w:szCs w:val="4"/>
                <w:lang w:val="es-CO"/>
              </w:rPr>
            </w:pPr>
            <w:r>
              <w:rPr>
                <w:sz w:val="4"/>
                <w:szCs w:val="4"/>
                <w:lang w:val="es-CO"/>
              </w:rPr>
            </w:r>
          </w:p>
        </w:tc>
      </w:tr>
      <w:tr>
        <w:trPr/>
        <w:tc>
          <w:tcPr>
            <w:tcW w:w="889"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η(</w:t>
            </w:r>
            <w:r>
              <w:rPr>
                <w:rFonts w:ascii="Times New Roman" w:hAnsi="Times New Roman"/>
                <w:b/>
                <w:sz w:val="16"/>
                <w:lang w:val="es-CO"/>
              </w:rPr>
              <w:t>s</w:t>
            </w:r>
            <w:r>
              <w:rPr>
                <w:rFonts w:ascii="Times New Roman" w:hAnsi="Times New Roman"/>
                <w:b/>
                <w:i/>
                <w:sz w:val="16"/>
                <w:lang w:val="es-CO"/>
              </w:rPr>
              <w:t>)</w:t>
            </w:r>
          </w:p>
        </w:tc>
        <w:tc>
          <w:tcPr>
            <w:tcW w:w="3446"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β</w:t>
            </w:r>
            <w:r>
              <w:rPr>
                <w:rFonts w:ascii="Times New Roman" w:hAnsi="Times New Roman"/>
                <w:b/>
                <w:i/>
                <w:position w:val="-2"/>
                <w:sz w:val="16"/>
                <w:lang w:val="es-CO"/>
              </w:rPr>
              <w:t>0</w:t>
            </w:r>
            <w:r>
              <w:rPr>
                <w:rFonts w:ascii="Times New Roman" w:hAnsi="Times New Roman"/>
                <w:sz w:val="16"/>
                <w:lang w:val="es-CO"/>
              </w:rPr>
              <w:t xml:space="preserve"> </w:t>
            </w:r>
            <w:r>
              <w:rPr>
                <w:rFonts w:ascii="Times New Roman" w:hAnsi="Times New Roman"/>
                <w:b/>
                <w:i/>
                <w:sz w:val="16"/>
                <w:lang w:val="es-CO"/>
              </w:rPr>
              <w:t>+β</w:t>
            </w:r>
            <w:r>
              <w:rPr>
                <w:rFonts w:ascii="Times New Roman" w:hAnsi="Times New Roman"/>
                <w:b/>
                <w:i/>
                <w:position w:val="-2"/>
                <w:sz w:val="16"/>
                <w:lang w:val="es-CO"/>
              </w:rPr>
              <w:t>1</w:t>
            </w:r>
            <w:r>
              <w:rPr>
                <w:rFonts w:ascii="Times New Roman" w:hAnsi="Times New Roman"/>
                <w:sz w:val="16"/>
                <w:lang w:val="es-CO"/>
              </w:rPr>
              <w:t>pendiente</w:t>
            </w:r>
            <w:r>
              <w:rPr>
                <w:rFonts w:ascii="Times New Roman" w:hAnsi="Times New Roman"/>
                <w:b/>
                <w:i/>
                <w:sz w:val="16"/>
                <w:lang w:val="es-CO"/>
              </w:rPr>
              <w:t>(</w:t>
            </w:r>
            <w:r>
              <w:rPr>
                <w:rFonts w:ascii="Times New Roman" w:hAnsi="Times New Roman"/>
                <w:b/>
                <w:sz w:val="16"/>
                <w:lang w:val="es-CO"/>
              </w:rPr>
              <w:t>s</w:t>
            </w:r>
            <w:r>
              <w:rPr>
                <w:rFonts w:ascii="Times New Roman" w:hAnsi="Times New Roman"/>
                <w:b/>
                <w:i/>
                <w:sz w:val="16"/>
                <w:lang w:val="es-CO"/>
              </w:rPr>
              <w:t>)+β</w:t>
            </w:r>
            <w:r>
              <w:rPr>
                <w:rFonts w:ascii="Times New Roman" w:hAnsi="Times New Roman"/>
                <w:b/>
                <w:i/>
                <w:position w:val="-2"/>
                <w:sz w:val="16"/>
                <w:lang w:val="es-CO"/>
              </w:rPr>
              <w:t>2</w:t>
            </w:r>
            <w:r>
              <w:rPr>
                <w:rFonts w:ascii="Times New Roman" w:hAnsi="Times New Roman"/>
                <w:sz w:val="16"/>
                <w:lang w:val="es-CO"/>
              </w:rPr>
              <w:t>aspecto</w:t>
            </w:r>
            <w:r>
              <w:rPr>
                <w:rFonts w:ascii="Times New Roman" w:hAnsi="Times New Roman"/>
                <w:b/>
                <w:i/>
                <w:sz w:val="16"/>
                <w:lang w:val="es-CO"/>
              </w:rPr>
              <w:t>(</w:t>
            </w:r>
            <w:r>
              <w:rPr>
                <w:rFonts w:ascii="Times New Roman" w:hAnsi="Times New Roman"/>
                <w:b/>
                <w:sz w:val="16"/>
                <w:lang w:val="es-CO"/>
              </w:rPr>
              <w:t>s</w:t>
            </w:r>
            <w:r>
              <w:rPr>
                <w:rFonts w:ascii="Times New Roman" w:hAnsi="Times New Roman"/>
                <w:b/>
                <w:i/>
                <w:sz w:val="16"/>
                <w:lang w:val="es-CO"/>
              </w:rPr>
              <w:t>)</w:t>
            </w:r>
          </w:p>
        </w:tc>
        <w:tc>
          <w:tcPr>
            <w:tcW w:w="445" w:type="dxa"/>
            <w:tcBorders/>
            <w:vAlign w:val="center"/>
          </w:tcPr>
          <w:p>
            <w:pPr>
              <w:pStyle w:val="TableContents"/>
              <w:bidi w:val="0"/>
              <w:spacing w:lineRule="auto" w:line="252" w:before="0" w:after="0"/>
              <w:ind w:hanging="0"/>
              <w:jc w:val="center"/>
              <w:rPr>
                <w:sz w:val="4"/>
                <w:szCs w:val="4"/>
                <w:lang w:val="es-CO"/>
              </w:rPr>
            </w:pPr>
            <w:r>
              <w:rPr>
                <w:sz w:val="4"/>
                <w:szCs w:val="4"/>
                <w:lang w:val="es-CO"/>
              </w:rPr>
            </w:r>
          </w:p>
        </w:tc>
        <w:tc>
          <w:tcPr>
            <w:tcW w:w="154" w:type="dxa"/>
            <w:tcBorders/>
            <w:vAlign w:val="center"/>
          </w:tcPr>
          <w:p>
            <w:pPr>
              <w:pStyle w:val="TableContents"/>
              <w:bidi w:val="0"/>
              <w:spacing w:lineRule="auto" w:line="252" w:before="0" w:after="0"/>
              <w:ind w:hanging="0"/>
              <w:jc w:val="center"/>
              <w:rPr>
                <w:sz w:val="4"/>
                <w:szCs w:val="4"/>
                <w:lang w:val="es-CO"/>
              </w:rPr>
            </w:pPr>
            <w:r>
              <w:rPr>
                <w:sz w:val="4"/>
                <w:szCs w:val="4"/>
                <w:lang w:val="es-CO"/>
              </w:rPr>
            </w:r>
          </w:p>
        </w:tc>
      </w:tr>
      <w:tr>
        <w:trPr/>
        <w:tc>
          <w:tcPr>
            <w:tcW w:w="889" w:type="dxa"/>
            <w:tcBorders/>
            <w:vAlign w:val="center"/>
          </w:tcPr>
          <w:p>
            <w:pPr>
              <w:pStyle w:val="TableContents"/>
              <w:bidi w:val="0"/>
              <w:spacing w:lineRule="auto" w:line="252" w:before="0" w:after="0"/>
              <w:ind w:hanging="0"/>
              <w:jc w:val="center"/>
              <w:rPr>
                <w:sz w:val="4"/>
                <w:szCs w:val="4"/>
                <w:lang w:val="es-CO"/>
              </w:rPr>
            </w:pPr>
            <w:r>
              <w:rPr>
                <w:sz w:val="4"/>
                <w:szCs w:val="4"/>
                <w:lang w:val="es-CO"/>
              </w:rPr>
            </w:r>
          </w:p>
        </w:tc>
        <w:tc>
          <w:tcPr>
            <w:tcW w:w="3446"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+β</w:t>
            </w:r>
            <w:r>
              <w:rPr>
                <w:rFonts w:ascii="Times New Roman" w:hAnsi="Times New Roman"/>
                <w:b/>
                <w:i/>
                <w:position w:val="-2"/>
                <w:sz w:val="16"/>
                <w:lang w:val="es-CO"/>
              </w:rPr>
              <w:t>3</w:t>
            </w:r>
            <w:r>
              <w:rPr>
                <w:rFonts w:ascii="Times New Roman" w:hAnsi="Times New Roman"/>
                <w:sz w:val="16"/>
                <w:lang w:val="es-CO"/>
              </w:rPr>
              <w:t>geo_finos</w:t>
            </w:r>
            <w:r>
              <w:rPr>
                <w:rFonts w:ascii="Times New Roman" w:hAnsi="Times New Roman"/>
                <w:b/>
                <w:i/>
                <w:sz w:val="16"/>
                <w:lang w:val="es-CO"/>
              </w:rPr>
              <w:t>(</w:t>
            </w:r>
            <w:r>
              <w:rPr>
                <w:rFonts w:ascii="Times New Roman" w:hAnsi="Times New Roman"/>
                <w:b/>
                <w:sz w:val="16"/>
                <w:lang w:val="es-CO"/>
              </w:rPr>
              <w:t>s</w:t>
            </w:r>
            <w:r>
              <w:rPr>
                <w:rFonts w:ascii="Times New Roman" w:hAnsi="Times New Roman"/>
                <w:b/>
                <w:i/>
                <w:sz w:val="16"/>
                <w:lang w:val="es-CO"/>
              </w:rPr>
              <w:t>)+β</w:t>
            </w:r>
            <w:r>
              <w:rPr>
                <w:rFonts w:ascii="Times New Roman" w:hAnsi="Times New Roman"/>
                <w:b/>
                <w:i/>
                <w:position w:val="-2"/>
                <w:sz w:val="16"/>
                <w:lang w:val="es-CO"/>
              </w:rPr>
              <w:t>4</w:t>
            </w:r>
            <w:r>
              <w:rPr>
                <w:rFonts w:ascii="Times New Roman" w:hAnsi="Times New Roman"/>
                <w:sz w:val="16"/>
                <w:lang w:val="es-CO"/>
              </w:rPr>
              <w:t>urb</w:t>
            </w:r>
            <w:r>
              <w:rPr>
                <w:rFonts w:ascii="Times New Roman" w:hAnsi="Times New Roman"/>
                <w:b/>
                <w:i/>
                <w:sz w:val="16"/>
                <w:lang w:val="es-CO"/>
              </w:rPr>
              <w:t>(</w:t>
            </w:r>
            <w:r>
              <w:rPr>
                <w:rFonts w:ascii="Times New Roman" w:hAnsi="Times New Roman"/>
                <w:b/>
                <w:sz w:val="16"/>
                <w:lang w:val="es-CO"/>
              </w:rPr>
              <w:t>s</w:t>
            </w:r>
            <w:r>
              <w:rPr>
                <w:rFonts w:ascii="Times New Roman" w:hAnsi="Times New Roman"/>
                <w:b/>
                <w:i/>
                <w:sz w:val="16"/>
                <w:lang w:val="es-CO"/>
              </w:rPr>
              <w:t>),</w:t>
            </w:r>
          </w:p>
        </w:tc>
        <w:tc>
          <w:tcPr>
            <w:tcW w:w="445" w:type="dxa"/>
            <w:tcBorders/>
            <w:vAlign w:val="center"/>
          </w:tcPr>
          <w:p>
            <w:pPr>
              <w:pStyle w:val="TableContents"/>
              <w:bidi w:val="0"/>
              <w:spacing w:lineRule="auto" w:line="252" w:before="0" w:after="0"/>
              <w:ind w:hanging="0" w:start="0" w:end="0"/>
              <w:jc w:val="center"/>
              <w:rPr>
                <w:lang w:val="es-CO"/>
              </w:rPr>
            </w:pPr>
            <w:bookmarkStart w:id="49" w:name="x1-5003r3"/>
            <w:bookmarkEnd w:id="49"/>
            <w:r>
              <w:rPr>
                <w:rFonts w:ascii="Times New Roman" w:hAnsi="Times New Roman"/>
                <w:sz w:val="16"/>
                <w:lang w:val="es-CO"/>
              </w:rPr>
              <w:t xml:space="preserve">(3) </w:t>
            </w:r>
          </w:p>
        </w:tc>
        <w:tc>
          <w:tcPr>
            <w:tcW w:w="154" w:type="dxa"/>
            <w:tcBorders/>
          </w:tcPr>
          <w:p>
            <w:pPr>
              <w:pStyle w:val="TableContents"/>
              <w:bidi w:val="0"/>
              <w:spacing w:lineRule="auto" w:line="252" w:before="0" w:after="0"/>
              <w:ind w:hanging="0"/>
              <w:jc w:val="center"/>
              <w:rPr>
                <w:sz w:val="4"/>
                <w:szCs w:val="4"/>
                <w:lang w:val="es-CO"/>
              </w:rPr>
            </w:pPr>
            <w:r>
              <w:rPr>
                <w:sz w:val="4"/>
                <w:szCs w:val="4"/>
                <w:lang w:val="es-CO"/>
              </w:rPr>
            </w:r>
          </w:p>
        </w:tc>
      </w:tr>
    </w:tbl>
    <w:p>
      <w:pPr>
        <w:pStyle w:val="BodyTextindent"/>
        <w:bidi w:val="0"/>
        <w:spacing w:lineRule="auto" w:line="252" w:before="0" w:after="0"/>
        <w:ind w:firstLine="280" w:start="0" w:end="0"/>
        <w:jc w:val="both"/>
        <w:rPr>
          <w:lang w:val="es-CO"/>
        </w:rPr>
      </w:pPr>
      <w:r>
        <w:rPr>
          <w:rFonts w:ascii="Times New Roman" w:hAnsi="Times New Roman"/>
          <w:sz w:val="20"/>
          <w:lang w:val="es-CO"/>
        </w:rPr>
        <w:t>donde pendiente y aspecto son las covariables topográficas estandarizadas (media 0, d.e. 1); geo_finos ∈</w:t>
      </w:r>
      <w:r>
        <w:rPr>
          <w:rFonts w:ascii="Times New Roman" w:hAnsi="Times New Roman"/>
          <w:b/>
          <w:i/>
          <w:sz w:val="20"/>
          <w:lang w:val="es-CO"/>
        </w:rPr>
        <w:t xml:space="preserve">{0,1} </w:t>
      </w:r>
      <w:r>
        <w:rPr>
          <w:rFonts w:ascii="Times New Roman" w:hAnsi="Times New Roman"/>
          <w:sz w:val="20"/>
          <w:lang w:val="es-CO"/>
        </w:rPr>
        <w:t>el indicador de suelos finos; y urb ∈</w:t>
      </w:r>
      <w:r>
        <w:rPr>
          <w:rFonts w:ascii="Times New Roman" w:hAnsi="Times New Roman"/>
          <w:b/>
          <w:i/>
          <w:sz w:val="20"/>
          <w:lang w:val="es-CO"/>
        </w:rPr>
        <w:t xml:space="preserve">{0,1} </w:t>
      </w:r>
      <w:r>
        <w:rPr>
          <w:rFonts w:ascii="Times New Roman" w:hAnsi="Times New Roman"/>
          <w:sz w:val="20"/>
          <w:lang w:val="es-CO"/>
        </w:rPr>
        <w:t xml:space="preserve">el indicador de cobertura urbanizada. </w:t>
      </w:r>
    </w:p>
    <w:p>
      <w:pPr>
        <w:pStyle w:val="BodyTextindent"/>
        <w:bidi w:val="0"/>
        <w:spacing w:lineRule="auto" w:line="252" w:before="0" w:after="0"/>
        <w:ind w:firstLine="280" w:start="0" w:end="0"/>
        <w:jc w:val="both"/>
        <w:rPr>
          <w:lang w:val="es-CO"/>
        </w:rPr>
      </w:pPr>
      <w:r>
        <w:rPr>
          <w:rFonts w:ascii="Times New Roman" w:hAnsi="Times New Roman"/>
          <w:sz w:val="20"/>
          <w:lang w:val="es-CO"/>
        </w:rPr>
        <w:t xml:space="preserve">Los coeficientes </w:t>
      </w:r>
      <w:r>
        <w:rPr>
          <w:rFonts w:ascii="Times New Roman" w:hAnsi="Times New Roman"/>
          <w:b/>
          <w:i/>
          <w:sz w:val="20"/>
          <w:lang w:val="es-CO"/>
        </w:rPr>
        <w:t>β</w:t>
      </w:r>
      <w:r>
        <w:rPr>
          <w:rFonts w:ascii="Times New Roman" w:hAnsi="Times New Roman"/>
          <w:b/>
          <w:i/>
          <w:position w:val="-2"/>
          <w:sz w:val="20"/>
          <w:lang w:val="es-CO"/>
        </w:rPr>
        <w:t>j</w:t>
      </w:r>
      <w:r>
        <w:rPr>
          <w:rFonts w:ascii="Times New Roman" w:hAnsi="Times New Roman"/>
          <w:sz w:val="20"/>
          <w:lang w:val="es-CO"/>
        </w:rPr>
        <w:t xml:space="preserve"> actúan sobre la </w:t>
      </w:r>
      <w:r>
        <w:rPr>
          <w:rFonts w:ascii="Times New Roman" w:hAnsi="Times New Roman"/>
          <w:i/>
          <w:sz w:val="20"/>
          <w:lang w:val="es-CO"/>
        </w:rPr>
        <w:t>log-intensidad</w:t>
      </w:r>
      <w:r>
        <w:rPr>
          <w:rFonts w:ascii="Times New Roman" w:hAnsi="Times New Roman"/>
          <w:sz w:val="20"/>
          <w:lang w:val="es-CO"/>
        </w:rPr>
        <w:t xml:space="preserve">: </w:t>
      </w:r>
      <w:r>
        <w:rPr>
          <w:rFonts w:ascii="Times New Roman" w:hAnsi="Times New Roman"/>
          <w:b/>
          <w:i/>
          <w:sz w:val="20"/>
          <w:lang w:val="es-CO"/>
        </w:rPr>
        <w:t>β</w:t>
      </w:r>
      <w:r>
        <w:rPr>
          <w:rFonts w:ascii="Times New Roman" w:hAnsi="Times New Roman"/>
          <w:b/>
          <w:i/>
          <w:position w:val="-2"/>
          <w:sz w:val="20"/>
          <w:lang w:val="es-CO"/>
        </w:rPr>
        <w:t>j</w:t>
      </w:r>
      <w:r>
        <w:rPr>
          <w:rFonts w:ascii="Times New Roman" w:hAnsi="Times New Roman"/>
          <w:sz w:val="20"/>
          <w:lang w:val="es-CO"/>
        </w:rPr>
        <w:t xml:space="preserve"> </w:t>
      </w:r>
      <w:r>
        <w:rPr>
          <w:rFonts w:ascii="Times New Roman" w:hAnsi="Times New Roman"/>
          <w:b/>
          <w:i/>
          <w:sz w:val="20"/>
          <w:lang w:val="es-CO"/>
        </w:rPr>
        <w:t>&gt; 0</w:t>
      </w:r>
      <w:r>
        <w:rPr>
          <w:rFonts w:ascii="Times New Roman" w:hAnsi="Times New Roman"/>
          <w:sz w:val="20"/>
          <w:lang w:val="es-CO"/>
        </w:rPr>
        <w:t xml:space="preserve"> implica mayor intensidad esperada al aumentar la covariable </w:t>
      </w:r>
      <w:r>
        <w:rPr>
          <w:rFonts w:ascii="Times New Roman" w:hAnsi="Times New Roman"/>
          <w:b/>
          <w:i/>
          <w:sz w:val="20"/>
          <w:lang w:val="es-CO"/>
        </w:rPr>
        <w:t>j</w:t>
      </w:r>
      <w:r>
        <w:rPr>
          <w:rFonts w:ascii="Times New Roman" w:hAnsi="Times New Roman"/>
          <w:sz w:val="20"/>
          <w:lang w:val="es-CO"/>
        </w:rPr>
        <w:t xml:space="preserve">. Un incremento de una desviación estándar en una covariable continua multiplica la intensidad local por </w:t>
      </w:r>
      <w:r>
        <w:rPr>
          <w:rFonts w:ascii="Times New Roman" w:hAnsi="Times New Roman"/>
          <w:b/>
          <w:i/>
          <w:sz w:val="20"/>
          <w:lang w:val="es-CO"/>
        </w:rPr>
        <w:t>e</w:t>
      </w:r>
      <w:r>
        <w:rPr>
          <w:rFonts w:ascii="Times New Roman" w:hAnsi="Times New Roman"/>
          <w:b/>
          <w:i/>
          <w:position w:val="8"/>
          <w:sz w:val="20"/>
          <w:lang w:val="es-CO"/>
        </w:rPr>
        <w:t>β</w:t>
      </w:r>
      <w:r>
        <w:rPr>
          <w:rFonts w:ascii="Times New Roman" w:hAnsi="Times New Roman"/>
          <w:b/>
          <w:i/>
          <w:position w:val="-2"/>
          <w:sz w:val="20"/>
          <w:lang w:val="es-CO"/>
        </w:rPr>
        <w:t>j</w:t>
      </w:r>
      <w:r>
        <w:rPr>
          <w:rFonts w:ascii="Times New Roman" w:hAnsi="Times New Roman"/>
          <w:sz w:val="20"/>
          <w:lang w:val="es-CO"/>
        </w:rPr>
        <w:t xml:space="preserve">. Para covariables binarias, </w:t>
      </w:r>
      <w:r>
        <w:rPr>
          <w:rFonts w:ascii="Times New Roman" w:hAnsi="Times New Roman"/>
          <w:b/>
          <w:i/>
          <w:sz w:val="20"/>
          <w:lang w:val="es-CO"/>
        </w:rPr>
        <w:t>e</w:t>
      </w:r>
      <w:r>
        <w:rPr>
          <w:rFonts w:ascii="Times New Roman" w:hAnsi="Times New Roman"/>
          <w:b/>
          <w:i/>
          <w:position w:val="8"/>
          <w:sz w:val="20"/>
          <w:lang w:val="es-CO"/>
        </w:rPr>
        <w:t>β</w:t>
      </w:r>
      <w:r>
        <w:rPr>
          <w:rFonts w:ascii="Times New Roman" w:hAnsi="Times New Roman"/>
          <w:b/>
          <w:i/>
          <w:position w:val="-2"/>
          <w:sz w:val="20"/>
          <w:lang w:val="es-CO"/>
        </w:rPr>
        <w:t>j</w:t>
      </w:r>
      <w:r>
        <w:rPr>
          <w:rFonts w:ascii="Times New Roman" w:hAnsi="Times New Roman"/>
          <w:sz w:val="20"/>
          <w:lang w:val="es-CO"/>
        </w:rPr>
        <w:t xml:space="preserve"> es la razón de intensidades entre la clase activa y la de referencia, controlando el resto. </w:t>
      </w:r>
    </w:p>
    <w:p>
      <w:pPr>
        <w:pStyle w:val="BodyTextindent"/>
        <w:bidi w:val="0"/>
        <w:spacing w:lineRule="auto" w:line="252" w:before="0" w:after="0"/>
        <w:ind w:firstLine="280" w:start="0" w:end="0"/>
        <w:jc w:val="both"/>
        <w:rPr/>
      </w:pPr>
      <w:r>
        <w:rPr>
          <w:rFonts w:ascii="Times New Roman" w:hAnsi="Times New Roman"/>
          <w:sz w:val="20"/>
          <w:lang w:val="es-CO"/>
        </w:rPr>
        <w:t xml:space="preserve">La estimación estadística de los coeficientes </w:t>
      </w:r>
      <w:r>
        <w:rPr>
          <w:rFonts w:ascii="Times New Roman" w:hAnsi="Times New Roman"/>
          <w:b/>
          <w:i/>
          <w:sz w:val="20"/>
          <w:lang w:val="es-CO"/>
        </w:rPr>
        <w:t>β</w:t>
      </w:r>
      <w:r>
        <w:rPr>
          <w:rFonts w:ascii="Times New Roman" w:hAnsi="Times New Roman"/>
          <w:b/>
          <w:i/>
          <w:position w:val="-2"/>
          <w:sz w:val="20"/>
          <w:lang w:val="es-CO"/>
        </w:rPr>
        <w:t>j</w:t>
      </w:r>
      <w:r>
        <w:rPr>
          <w:rFonts w:ascii="Times New Roman" w:hAnsi="Times New Roman"/>
          <w:sz w:val="20"/>
          <w:lang w:val="es-CO"/>
        </w:rPr>
        <w:t xml:space="preserve"> del NHPP requiere caracterizar la distribución posterior conjunta de todos los parámetros dado el patrón observado de deslizamientos. La función de verosimilitud del proceso puntual cuantifica esta compatibilidad: penaliza configuraciones que predicen alta intensidad donde no ocurrieron eventos, y baja intensidad donde sí los hay. Su evaluación involucra la integral de la intensidad ∫ </w:t>
      </w:r>
      <w:r>
        <w:rPr>
          <w:rFonts w:ascii="Times New Roman" w:hAnsi="Times New Roman"/>
          <w:b/>
          <w:i/>
          <w:position w:val="-2"/>
          <w:sz w:val="20"/>
          <w:lang w:val="es-CO"/>
        </w:rPr>
        <w:t>Ω</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)d</w:t>
      </w:r>
      <w:r>
        <w:rPr>
          <w:rFonts w:ascii="Times New Roman" w:hAnsi="Times New Roman"/>
          <w:b/>
          <w:sz w:val="20"/>
          <w:lang w:val="es-CO"/>
        </w:rPr>
        <w:t xml:space="preserve">s </w:t>
      </w:r>
      <w:r>
        <w:rPr>
          <w:rFonts w:ascii="Times New Roman" w:hAnsi="Times New Roman"/>
          <w:sz w:val="20"/>
          <w:lang w:val="es-CO"/>
        </w:rPr>
        <w:t>sobre el dominio continuo, que no tiene solución analítica cuando la intensidad varía en el espacio según covariables continuas; esta integral se aproxima numéricamente mediante el dispositivo de Berman-Turner [</w:t>
      </w:r>
      <w:hyperlink w:anchor="Xdiggle2013">
        <w:r>
          <w:rPr>
            <w:rStyle w:val="Hyperlink"/>
            <w:lang w:val="es-CO"/>
          </w:rPr>
          <w:t>8</w:t>
        </w:r>
      </w:hyperlink>
      <w:r>
        <w:rPr>
          <w:rFonts w:ascii="Times New Roman" w:hAnsi="Times New Roman"/>
          <w:sz w:val="20"/>
          <w:lang w:val="es-CO"/>
        </w:rPr>
        <w:t xml:space="preserve">] sobre una malla triangular. </w:t>
      </w:r>
    </w:p>
    <w:p>
      <w:pPr>
        <w:pStyle w:val="BodyTextindent"/>
        <w:bidi w:val="0"/>
        <w:spacing w:lineRule="auto" w:line="252" w:before="0" w:after="0"/>
        <w:ind w:firstLine="280" w:start="0" w:end="0"/>
        <w:jc w:val="both"/>
        <w:rPr/>
      </w:pPr>
      <w:r>
        <w:rPr>
          <w:rFonts w:ascii="Times New Roman" w:hAnsi="Times New Roman"/>
          <w:sz w:val="20"/>
          <w:lang w:val="es-CO"/>
        </w:rPr>
        <w:t xml:space="preserve">La estimación bayesiana completa de los parámetros requeriría en principio el muestreo por cadenas de Markov (MCMC), cuyas iteraciones resultan computacionalmente prohibitivas al evaluar la integral sobre una malla de </w:t>
      </w:r>
      <w:r>
        <w:rPr>
          <w:rFonts w:ascii="Times New Roman" w:hAnsi="Times New Roman"/>
          <w:b/>
          <w:i/>
          <w:sz w:val="20"/>
          <w:lang w:val="es-CO"/>
        </w:rPr>
        <w:t xml:space="preserve">92657 </w:t>
      </w:r>
      <w:r>
        <w:rPr>
          <w:rFonts w:ascii="Times New Roman" w:hAnsi="Times New Roman"/>
          <w:sz w:val="20"/>
          <w:lang w:val="es-CO"/>
        </w:rPr>
        <w:t xml:space="preserve">nodos. Por ello, se adopta la </w:t>
      </w:r>
      <w:r>
        <w:rPr>
          <w:rFonts w:ascii="Times New Roman" w:hAnsi="Times New Roman"/>
          <w:i/>
          <w:sz w:val="20"/>
          <w:lang w:val="es-CO"/>
        </w:rPr>
        <w:t xml:space="preserve">Aproximación de Laplace Anidada Integrada </w:t>
      </w:r>
      <w:r>
        <w:rPr>
          <w:rFonts w:ascii="Times New Roman" w:hAnsi="Times New Roman"/>
          <w:sz w:val="20"/>
          <w:lang w:val="es-CO"/>
        </w:rPr>
        <w:t>(INLA) [</w:t>
      </w:r>
      <w:hyperlink w:anchor="Xrue2009">
        <w:r>
          <w:rPr>
            <w:rStyle w:val="Hyperlink"/>
            <w:lang w:val="es-CO"/>
          </w:rPr>
          <w:t>21</w:t>
        </w:r>
      </w:hyperlink>
      <w:r>
        <w:rPr>
          <w:rFonts w:ascii="Times New Roman" w:hAnsi="Times New Roman"/>
          <w:sz w:val="20"/>
          <w:lang w:val="es-CO"/>
        </w:rPr>
        <w:t>, </w:t>
      </w:r>
      <w:hyperlink w:anchor="Xrue2017">
        <w:r>
          <w:rPr>
            <w:rStyle w:val="Hyperlink"/>
            <w:lang w:val="es-CO"/>
          </w:rPr>
          <w:t>22</w:t>
        </w:r>
      </w:hyperlink>
      <w:r>
        <w:rPr>
          <w:rFonts w:ascii="Times New Roman" w:hAnsi="Times New Roman"/>
          <w:sz w:val="20"/>
          <w:lang w:val="es-CO"/>
        </w:rPr>
        <w:t xml:space="preserve">], que computa las distribuciones marginales posteriores de todos los parámetros mediante aproximaciones analíticas de Laplace, sin simulación estocástica, con precisión comparable al MCMC y sin el costo computacional. </w:t>
      </w:r>
    </w:p>
    <w:p>
      <w:pPr>
        <w:pStyle w:val="BodyTextindent"/>
        <w:bidi w:val="0"/>
        <w:spacing w:lineRule="auto" w:line="252" w:before="0" w:after="0"/>
        <w:ind w:firstLine="280" w:start="0" w:end="0"/>
        <w:jc w:val="both"/>
        <w:rPr/>
      </w:pPr>
      <w:r>
        <w:rPr>
          <w:rFonts w:ascii="Times New Roman" w:hAnsi="Times New Roman"/>
          <w:sz w:val="20"/>
          <w:lang w:val="es-CO"/>
        </w:rPr>
        <w:t xml:space="preserve">La malla triangular cubre tanto el dominio interior como un buffer exterior de </w:t>
      </w:r>
      <w:r>
        <w:rPr>
          <w:rFonts w:ascii="Times New Roman" w:hAnsi="Times New Roman"/>
          <w:b/>
          <w:i/>
          <w:sz w:val="20"/>
          <w:lang w:val="es-CO"/>
        </w:rPr>
        <w:t>2</w:t>
      </w:r>
      <w:r>
        <w:rPr>
          <w:rFonts w:ascii="Times New Roman" w:hAnsi="Times New Roman"/>
          <w:sz w:val="20"/>
          <w:lang w:val="es-CO"/>
        </w:rPr>
        <w:t xml:space="preserve"> </w:t>
      </w:r>
      <w:r>
        <w:rPr>
          <w:rFonts w:ascii="Times New Roman" w:hAnsi="Times New Roman"/>
          <w:b/>
          <w:i/>
          <w:sz w:val="20"/>
          <w:lang w:val="es-CO"/>
        </w:rPr>
        <w:t>km</w:t>
      </w:r>
      <w:r>
        <w:rPr>
          <w:rFonts w:ascii="Times New Roman" w:hAnsi="Times New Roman"/>
          <w:sz w:val="20"/>
          <w:lang w:val="es-CO"/>
        </w:rPr>
        <w:t xml:space="preserve"> (Fig. </w:t>
      </w:r>
      <w:hyperlink w:anchor="x1-6001r2">
        <w:r>
          <w:rPr>
            <w:rStyle w:val="Hyperlink"/>
            <w:lang w:val="es-CO"/>
          </w:rPr>
          <w:t>2</w:t>
        </w:r>
      </w:hyperlink>
      <w:r>
        <w:rPr>
          <w:rFonts w:ascii="Times New Roman" w:hAnsi="Times New Roman"/>
          <w:sz w:val="20"/>
          <w:lang w:val="es-CO"/>
        </w:rPr>
        <w:t>, Tabla </w:t>
      </w:r>
      <w:hyperlink w:anchor="x1-5004r2">
        <w:r>
          <w:rPr>
            <w:rStyle w:val="Hyperlink"/>
            <w:lang w:val="es-CO"/>
          </w:rPr>
          <w:t>II</w:t>
        </w:r>
      </w:hyperlink>
      <w:r>
        <w:rPr>
          <w:rFonts w:ascii="Times New Roman" w:hAnsi="Times New Roman"/>
          <w:sz w:val="20"/>
          <w:lang w:val="es-CO"/>
        </w:rPr>
        <w:t xml:space="preserve">). La malla es necesaria para aproximar numéricamente la integral ∫ </w:t>
      </w:r>
      <w:r>
        <w:rPr>
          <w:rFonts w:ascii="Times New Roman" w:hAnsi="Times New Roman"/>
          <w:b/>
          <w:i/>
          <w:position w:val="-2"/>
          <w:sz w:val="20"/>
          <w:lang w:val="es-CO"/>
        </w:rPr>
        <w:t>Ω</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)d</w:t>
      </w:r>
      <w:r>
        <w:rPr>
          <w:rFonts w:ascii="Times New Roman" w:hAnsi="Times New Roman"/>
          <w:b/>
          <w:sz w:val="20"/>
          <w:lang w:val="es-CO"/>
        </w:rPr>
        <w:t xml:space="preserve">s </w:t>
      </w:r>
      <w:r>
        <w:rPr>
          <w:rFonts w:ascii="Times New Roman" w:hAnsi="Times New Roman"/>
          <w:sz w:val="20"/>
          <w:lang w:val="es-CO"/>
        </w:rPr>
        <w:t>de la ec. (</w:t>
      </w:r>
      <w:hyperlink w:anchor="x1-5001r1">
        <w:r>
          <w:rPr>
            <w:rStyle w:val="Hyperlink"/>
            <w:lang w:val="es-CO"/>
          </w:rPr>
          <w:t>1</w:t>
        </w:r>
      </w:hyperlink>
      <w:r>
        <w:rPr>
          <w:rFonts w:ascii="Times New Roman" w:hAnsi="Times New Roman"/>
          <w:sz w:val="20"/>
          <w:lang w:val="es-CO"/>
        </w:rPr>
        <w:t>) mediante el dispositivo de Berman-Turner [</w:t>
      </w:r>
      <w:hyperlink w:anchor="Xdiggle2013">
        <w:r>
          <w:rPr>
            <w:rStyle w:val="Hyperlink"/>
            <w:lang w:val="es-CO"/>
          </w:rPr>
          <w:t>8</w:t>
        </w:r>
      </w:hyperlink>
      <w:r>
        <w:rPr>
          <w:rFonts w:ascii="Times New Roman" w:hAnsi="Times New Roman"/>
          <w:sz w:val="20"/>
          <w:lang w:val="es-CO"/>
        </w:rPr>
        <w:t xml:space="preserve">]: los nodos de la malla actúan como puntos de integración con pesos proporcionales al área de la celda de Voronoi dual. Las aristas interiores de hasta </w:t>
      </w:r>
      <w:r>
        <w:rPr>
          <w:rFonts w:ascii="Times New Roman" w:hAnsi="Times New Roman"/>
          <w:b/>
          <w:i/>
          <w:sz w:val="20"/>
          <w:lang w:val="es-CO"/>
        </w:rPr>
        <w:t>100 m</w:t>
      </w:r>
      <w:r>
        <w:rPr>
          <w:rFonts w:ascii="Times New Roman" w:hAnsi="Times New Roman"/>
          <w:sz w:val="20"/>
          <w:lang w:val="es-CO"/>
        </w:rPr>
        <w:t xml:space="preserve"> proporcionan suficiente resolución para representar la variabilidad espacial de las covariables a </w:t>
      </w:r>
      <w:r>
        <w:rPr>
          <w:rFonts w:ascii="Times New Roman" w:hAnsi="Times New Roman"/>
          <w:b/>
          <w:i/>
          <w:sz w:val="20"/>
          <w:lang w:val="es-CO"/>
        </w:rPr>
        <w:t>2 m</w:t>
      </w:r>
      <w:r>
        <w:rPr>
          <w:rFonts w:ascii="Times New Roman" w:hAnsi="Times New Roman"/>
          <w:sz w:val="20"/>
          <w:lang w:val="es-CO"/>
        </w:rPr>
        <w:t xml:space="preserve">. El buffer exterior reduce los artefactos de borde. </w:t>
      </w:r>
    </w:p>
    <w:p>
      <w:pPr>
        <w:pStyle w:val="HorizontalLine"/>
        <w:pBdr>
          <w:bottom w:val="double" w:sz="2" w:space="0" w:color="808080"/>
        </w:pBdr>
        <w:bidi w:val="0"/>
        <w:spacing w:before="0" w:after="283"/>
        <w:jc w:val="both"/>
        <w:rPr>
          <w:lang w:val="es-CO"/>
        </w:rPr>
      </w:pPr>
      <w:r>
        <w:rPr>
          <w:lang w:val="es-CO"/>
        </w:rPr>
      </w:r>
    </w:p>
    <w:p>
      <w:pPr>
        <w:pStyle w:val="BodyText"/>
        <w:bidi w:val="0"/>
        <w:spacing w:lineRule="auto" w:line="252" w:before="120" w:after="40"/>
        <w:ind w:hanging="0" w:start="0" w:end="0"/>
        <w:jc w:val="center"/>
        <w:rPr>
          <w:lang w:val="es-CO"/>
        </w:rPr>
      </w:pPr>
      <w:bookmarkStart w:id="50" w:name="x1-5004r2"/>
      <w:bookmarkEnd w:id="50"/>
      <w:r>
        <w:rPr>
          <w:rFonts w:ascii="Times New Roman" w:hAnsi="Times New Roman"/>
          <w:smallCaps/>
          <w:sz w:val="16"/>
          <w:lang w:val="es-CO"/>
        </w:rPr>
        <w:t xml:space="preserve">Tabla II: Parámetros de la malla triangular utilizada para la integración numérica de la verosimilitud del NHPP (dispositivo de Berman-Turner). </w:t>
      </w:r>
    </w:p>
    <w:p>
      <w:pPr>
        <w:pStyle w:val="Normal"/>
        <w:bidi w:val="0"/>
        <w:spacing w:before="0" w:after="0"/>
        <w:jc w:val="both"/>
        <w:rPr>
          <w:sz w:val="4"/>
          <w:szCs w:val="4"/>
          <w:lang w:val="es-CO"/>
        </w:rPr>
      </w:pPr>
      <w:r>
        <w:rPr>
          <w:sz w:val="4"/>
          <w:szCs w:val="4"/>
          <w:lang w:val="es-CO"/>
        </w:rPr>
      </w:r>
      <w:bookmarkStart w:id="51" w:name="TBL-3-1-"/>
      <w:bookmarkStart w:id="52" w:name="TBL-3-3"/>
      <w:bookmarkStart w:id="53" w:name="TBL-3-2"/>
      <w:bookmarkStart w:id="54" w:name="TBL-3-1"/>
      <w:bookmarkStart w:id="55" w:name="TBL-3-1g"/>
      <w:bookmarkStart w:id="56" w:name="TBL-3"/>
      <w:bookmarkStart w:id="57" w:name="TBL-3-1-"/>
      <w:bookmarkStart w:id="58" w:name="TBL-3-3"/>
      <w:bookmarkStart w:id="59" w:name="TBL-3-2"/>
      <w:bookmarkStart w:id="60" w:name="TBL-3-1"/>
      <w:bookmarkStart w:id="61" w:name="TBL-3-1g"/>
      <w:bookmarkStart w:id="62" w:name="TBL-3"/>
      <w:bookmarkEnd w:id="57"/>
      <w:bookmarkEnd w:id="58"/>
      <w:bookmarkEnd w:id="59"/>
      <w:bookmarkEnd w:id="60"/>
      <w:bookmarkEnd w:id="61"/>
      <w:bookmarkEnd w:id="62"/>
    </w:p>
    <w:tbl>
      <w:tblPr>
        <w:tblW w:w="5075" w:type="dxa"/>
        <w:jc w:val="start"/>
        <w:tblInd w:w="0" w:type="dxa"/>
        <w:tblLayout w:type="fixed"/>
        <w:tblCellMar>
          <w:top w:w="28" w:type="dxa"/>
          <w:start w:w="28" w:type="dxa"/>
          <w:bottom w:w="28" w:type="dxa"/>
          <w:end w:w="28" w:type="dxa"/>
        </w:tblCellMar>
      </w:tblPr>
      <w:tblGrid>
        <w:gridCol w:w="3206"/>
        <w:gridCol w:w="946"/>
        <w:gridCol w:w="923"/>
      </w:tblGrid>
      <w:tr>
        <w:trPr/>
        <w:tc>
          <w:tcPr>
            <w:tcW w:w="3206" w:type="dxa"/>
            <w:tcBorders/>
            <w:vAlign w:val="center"/>
          </w:tcPr>
          <w:p>
            <w:pPr>
              <w:pStyle w:val="TableContents"/>
              <w:bidi w:val="0"/>
              <w:spacing w:lineRule="auto" w:line="252" w:before="0" w:after="0"/>
              <w:ind w:hanging="0" w:start="0" w:end="0"/>
              <w:jc w:val="center"/>
              <w:rPr>
                <w:lang w:val="es-CO"/>
              </w:rPr>
            </w:pPr>
            <w:bookmarkStart w:id="63" w:name="TBL-3-1-1"/>
            <w:bookmarkEnd w:id="63"/>
            <w:r>
              <w:rPr>
                <w:rFonts w:ascii="Times New Roman" w:hAnsi="Times New Roman"/>
                <w:sz w:val="16"/>
                <w:lang w:val="es-CO"/>
              </w:rPr>
              <w:t xml:space="preserve">Parámetro </w:t>
            </w:r>
            <w:bookmarkStart w:id="64" w:name="TBL-3-1-2"/>
            <w:bookmarkEnd w:id="64"/>
          </w:p>
        </w:tc>
        <w:tc>
          <w:tcPr>
            <w:tcW w:w="94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Valor </w:t>
            </w:r>
            <w:bookmarkStart w:id="65" w:name="TBL-3-1-3"/>
            <w:bookmarkEnd w:id="65"/>
          </w:p>
        </w:tc>
        <w:tc>
          <w:tcPr>
            <w:tcW w:w="923"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Unidad </w:t>
            </w:r>
            <w:bookmarkStart w:id="66" w:name="TBL-3-2-1"/>
            <w:bookmarkStart w:id="67" w:name="TBL-3-2-"/>
            <w:bookmarkEnd w:id="66"/>
            <w:bookmarkEnd w:id="67"/>
          </w:p>
        </w:tc>
      </w:tr>
      <w:tr>
        <w:trPr/>
        <w:tc>
          <w:tcPr>
            <w:tcW w:w="320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Arista máxima (interior) </w:t>
            </w:r>
            <w:bookmarkStart w:id="68" w:name="TBL-3-2-2"/>
            <w:bookmarkEnd w:id="68"/>
          </w:p>
        </w:tc>
        <w:tc>
          <w:tcPr>
            <w:tcW w:w="94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100 </w:t>
            </w:r>
            <w:bookmarkStart w:id="69" w:name="TBL-3-2-3"/>
            <w:bookmarkEnd w:id="69"/>
          </w:p>
        </w:tc>
        <w:tc>
          <w:tcPr>
            <w:tcW w:w="923"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m </w:t>
            </w:r>
            <w:bookmarkStart w:id="70" w:name="TBL-3-3-1"/>
            <w:bookmarkStart w:id="71" w:name="TBL-3-3-"/>
            <w:bookmarkEnd w:id="70"/>
            <w:bookmarkEnd w:id="71"/>
          </w:p>
        </w:tc>
      </w:tr>
      <w:tr>
        <w:trPr/>
        <w:tc>
          <w:tcPr>
            <w:tcW w:w="320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Arista máxima (exterior) </w:t>
            </w:r>
            <w:bookmarkStart w:id="72" w:name="TBL-3-3-2"/>
            <w:bookmarkEnd w:id="72"/>
          </w:p>
        </w:tc>
        <w:tc>
          <w:tcPr>
            <w:tcW w:w="94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500 </w:t>
            </w:r>
            <w:bookmarkStart w:id="73" w:name="TBL-3-3-3"/>
            <w:bookmarkEnd w:id="73"/>
          </w:p>
        </w:tc>
        <w:tc>
          <w:tcPr>
            <w:tcW w:w="923"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m </w:t>
            </w:r>
            <w:bookmarkStart w:id="74" w:name="TBL-3-4-1"/>
            <w:bookmarkStart w:id="75" w:name="TBL-3-4-"/>
            <w:bookmarkEnd w:id="74"/>
            <w:bookmarkEnd w:id="75"/>
          </w:p>
        </w:tc>
      </w:tr>
      <w:tr>
        <w:trPr/>
        <w:tc>
          <w:tcPr>
            <w:tcW w:w="320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Separación mínima entre nodos </w:t>
            </w:r>
            <w:bookmarkStart w:id="76" w:name="TBL-3-4-2"/>
            <w:bookmarkEnd w:id="76"/>
          </w:p>
        </w:tc>
        <w:tc>
          <w:tcPr>
            <w:tcW w:w="94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20 </w:t>
            </w:r>
            <w:bookmarkStart w:id="77" w:name="TBL-3-4-3"/>
            <w:bookmarkEnd w:id="77"/>
          </w:p>
        </w:tc>
        <w:tc>
          <w:tcPr>
            <w:tcW w:w="923"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m </w:t>
            </w:r>
            <w:bookmarkStart w:id="78" w:name="TBL-3-5-1"/>
            <w:bookmarkStart w:id="79" w:name="TBL-3-5-"/>
            <w:bookmarkEnd w:id="78"/>
            <w:bookmarkEnd w:id="79"/>
          </w:p>
        </w:tc>
      </w:tr>
      <w:tr>
        <w:trPr/>
        <w:tc>
          <w:tcPr>
            <w:tcW w:w="320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Offset interior </w:t>
            </w:r>
            <w:bookmarkStart w:id="80" w:name="TBL-3-5-2"/>
            <w:bookmarkEnd w:id="80"/>
          </w:p>
        </w:tc>
        <w:tc>
          <w:tcPr>
            <w:tcW w:w="94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200 </w:t>
            </w:r>
            <w:bookmarkStart w:id="81" w:name="TBL-3-5-3"/>
            <w:bookmarkEnd w:id="81"/>
          </w:p>
        </w:tc>
        <w:tc>
          <w:tcPr>
            <w:tcW w:w="923"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m </w:t>
            </w:r>
            <w:bookmarkStart w:id="82" w:name="TBL-3-6-1"/>
            <w:bookmarkStart w:id="83" w:name="TBL-3-6-"/>
            <w:bookmarkEnd w:id="82"/>
            <w:bookmarkEnd w:id="83"/>
          </w:p>
        </w:tc>
      </w:tr>
      <w:tr>
        <w:trPr/>
        <w:tc>
          <w:tcPr>
            <w:tcW w:w="320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Offset exterior </w:t>
            </w:r>
            <w:bookmarkStart w:id="84" w:name="TBL-3-6-2"/>
            <w:bookmarkEnd w:id="84"/>
          </w:p>
        </w:tc>
        <w:tc>
          <w:tcPr>
            <w:tcW w:w="94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2 000 </w:t>
            </w:r>
            <w:bookmarkStart w:id="85" w:name="TBL-3-6-3"/>
            <w:bookmarkEnd w:id="85"/>
          </w:p>
        </w:tc>
        <w:tc>
          <w:tcPr>
            <w:tcW w:w="923"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m </w:t>
            </w:r>
            <w:bookmarkStart w:id="86" w:name="TBL-3-7-1"/>
            <w:bookmarkStart w:id="87" w:name="TBL-3-7-"/>
            <w:bookmarkEnd w:id="86"/>
            <w:bookmarkEnd w:id="87"/>
          </w:p>
        </w:tc>
      </w:tr>
      <w:tr>
        <w:trPr/>
        <w:tc>
          <w:tcPr>
            <w:tcW w:w="320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Número de nodos </w:t>
            </w:r>
            <w:bookmarkStart w:id="88" w:name="TBL-3-7-2"/>
            <w:bookmarkEnd w:id="88"/>
          </w:p>
        </w:tc>
        <w:tc>
          <w:tcPr>
            <w:tcW w:w="94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92 657 </w:t>
            </w:r>
            <w:bookmarkStart w:id="89" w:name="TBL-3-7-3"/>
            <w:bookmarkEnd w:id="89"/>
          </w:p>
        </w:tc>
        <w:tc>
          <w:tcPr>
            <w:tcW w:w="923"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 </w:t>
            </w:r>
            <w:bookmarkStart w:id="90" w:name="TBL-3-8-1"/>
            <w:bookmarkStart w:id="91" w:name="TBL-3-8-"/>
            <w:bookmarkEnd w:id="90"/>
            <w:bookmarkEnd w:id="91"/>
          </w:p>
        </w:tc>
      </w:tr>
      <w:tr>
        <w:trPr/>
        <w:tc>
          <w:tcPr>
            <w:tcW w:w="320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Número de triángulos </w:t>
            </w:r>
            <w:bookmarkStart w:id="92" w:name="TBL-3-8-2"/>
            <w:bookmarkEnd w:id="92"/>
          </w:p>
        </w:tc>
        <w:tc>
          <w:tcPr>
            <w:tcW w:w="946"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185 024 </w:t>
            </w:r>
            <w:bookmarkStart w:id="93" w:name="TBL-3-8-3"/>
            <w:bookmarkEnd w:id="93"/>
          </w:p>
        </w:tc>
        <w:tc>
          <w:tcPr>
            <w:tcW w:w="923"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 </w:t>
            </w:r>
            <w:bookmarkStart w:id="94" w:name="TBL-3-9-1"/>
            <w:bookmarkStart w:id="95" w:name="TBL-3-9-"/>
            <w:bookmarkEnd w:id="94"/>
            <w:bookmarkEnd w:id="95"/>
          </w:p>
        </w:tc>
      </w:tr>
      <w:tr>
        <w:trPr/>
        <w:tc>
          <w:tcPr>
            <w:tcW w:w="3206" w:type="dxa"/>
            <w:tcBorders/>
            <w:vAlign w:val="center"/>
          </w:tcPr>
          <w:p>
            <w:pPr>
              <w:pStyle w:val="TableContents"/>
              <w:bidi w:val="0"/>
              <w:spacing w:lineRule="auto" w:line="252" w:before="0" w:after="0"/>
              <w:ind w:hanging="0"/>
              <w:jc w:val="center"/>
              <w:rPr>
                <w:sz w:val="4"/>
                <w:szCs w:val="4"/>
                <w:lang w:val="es-CO"/>
              </w:rPr>
            </w:pPr>
            <w:r>
              <w:rPr>
                <w:sz w:val="4"/>
                <w:szCs w:val="4"/>
                <w:lang w:val="es-CO"/>
              </w:rPr>
            </w:r>
          </w:p>
        </w:tc>
        <w:tc>
          <w:tcPr>
            <w:tcW w:w="1869" w:type="dxa"/>
            <w:gridSpan w:val="2"/>
            <w:tcBorders/>
          </w:tcPr>
          <w:p>
            <w:pPr>
              <w:pStyle w:val="TableContents"/>
              <w:bidi w:val="0"/>
              <w:spacing w:lineRule="auto" w:line="252" w:before="0" w:after="0"/>
              <w:ind w:hanging="0"/>
              <w:jc w:val="center"/>
              <w:rPr>
                <w:sz w:val="4"/>
                <w:szCs w:val="4"/>
                <w:lang w:val="es-CO"/>
              </w:rPr>
            </w:pPr>
            <w:r>
              <w:rPr>
                <w:sz w:val="4"/>
                <w:szCs w:val="4"/>
                <w:lang w:val="es-CO"/>
              </w:rPr>
            </w:r>
          </w:p>
        </w:tc>
      </w:tr>
    </w:tbl>
    <w:p>
      <w:pPr>
        <w:pStyle w:val="HorizontalLine"/>
        <w:pBdr>
          <w:bottom w:val="double" w:sz="2" w:space="0" w:color="808080"/>
        </w:pBdr>
        <w:bidi w:val="0"/>
        <w:spacing w:before="0" w:after="283"/>
        <w:jc w:val="both"/>
        <w:rPr>
          <w:lang w:val="es-CO"/>
        </w:rPr>
      </w:pPr>
      <w:r>
        <w:rPr>
          <w:lang w:val="es-CO"/>
        </w:rPr>
      </w:r>
    </w:p>
    <w:p>
      <w:pPr>
        <w:pStyle w:val="BodyTextindent"/>
        <w:bidi w:val="0"/>
        <w:spacing w:lineRule="auto" w:line="252" w:before="0" w:after="0"/>
        <w:ind w:firstLine="280" w:start="0" w:end="0"/>
        <w:jc w:val="both"/>
        <w:rPr/>
      </w:pPr>
      <w:r>
        <w:rPr>
          <w:rFonts w:ascii="Times New Roman" w:hAnsi="Times New Roman"/>
          <w:sz w:val="20"/>
          <w:lang w:val="es-CO"/>
        </w:rPr>
        <w:t>El modelo se implementó en el lenguaje R [</w:t>
      </w:r>
      <w:hyperlink w:anchor="Xrcore2024">
        <w:r>
          <w:rPr>
            <w:rStyle w:val="Hyperlink"/>
            <w:lang w:val="es-CO"/>
          </w:rPr>
          <w:t>23</w:t>
        </w:r>
      </w:hyperlink>
      <w:r>
        <w:rPr>
          <w:rFonts w:ascii="Times New Roman" w:hAnsi="Times New Roman"/>
          <w:sz w:val="20"/>
          <w:lang w:val="es-CO"/>
        </w:rPr>
        <w:t>], utilizando los paquetes INLA [</w:t>
      </w:r>
      <w:hyperlink w:anchor="Xrue2017">
        <w:r>
          <w:rPr>
            <w:rStyle w:val="Hyperlink"/>
            <w:lang w:val="es-CO"/>
          </w:rPr>
          <w:t>22</w:t>
        </w:r>
      </w:hyperlink>
      <w:r>
        <w:rPr>
          <w:rFonts w:ascii="Times New Roman" w:hAnsi="Times New Roman"/>
          <w:sz w:val="20"/>
          <w:lang w:val="es-CO"/>
        </w:rPr>
        <w:t>], inlabru [</w:t>
      </w:r>
      <w:hyperlink w:anchor="Xbachl2019">
        <w:r>
          <w:rPr>
            <w:rStyle w:val="Hyperlink"/>
            <w:lang w:val="es-CO"/>
          </w:rPr>
          <w:t>24</w:t>
        </w:r>
      </w:hyperlink>
      <w:r>
        <w:rPr>
          <w:rFonts w:ascii="Times New Roman" w:hAnsi="Times New Roman"/>
          <w:sz w:val="20"/>
          <w:lang w:val="es-CO"/>
        </w:rPr>
        <w:t xml:space="preserve">], fmesher, sf y terra. Los coeficientes de regresión recibieron priors débilmente informativos: </w:t>
      </w:r>
      <w:r>
        <w:rPr>
          <w:rFonts w:ascii="Times New Roman" w:hAnsi="Times New Roman"/>
          <w:b/>
          <w:i/>
          <w:sz w:val="20"/>
          <w:lang w:val="es-CO"/>
        </w:rPr>
        <w:t>β</w:t>
      </w:r>
      <w:r>
        <w:rPr>
          <w:rFonts w:ascii="Times New Roman" w:hAnsi="Times New Roman"/>
          <w:b/>
          <w:i/>
          <w:position w:val="-2"/>
          <w:sz w:val="20"/>
          <w:lang w:val="es-CO"/>
        </w:rPr>
        <w:t>j</w:t>
      </w:r>
      <w:r>
        <w:rPr>
          <w:rFonts w:ascii="Times New Roman" w:hAnsi="Times New Roman"/>
          <w:sz w:val="20"/>
          <w:lang w:val="es-CO"/>
        </w:rPr>
        <w:t xml:space="preserve"> </w:t>
      </w:r>
      <w:r>
        <w:rPr>
          <w:rFonts w:ascii="Times New Roman" w:hAnsi="Times New Roman"/>
          <w:b/>
          <w:i/>
          <w:sz w:val="20"/>
          <w:lang w:val="es-CO"/>
        </w:rPr>
        <w:t>~N(0,1)</w:t>
      </w:r>
      <w:r>
        <w:rPr>
          <w:rFonts w:ascii="Times New Roman" w:hAnsi="Times New Roman"/>
          <w:sz w:val="20"/>
          <w:lang w:val="es-CO"/>
        </w:rPr>
        <w:t xml:space="preserve">, lo que implica que un incremento unitario en una covariable se asocia a priori con un factor de intensidad de </w:t>
      </w:r>
      <w:r>
        <w:rPr>
          <w:rFonts w:ascii="Times New Roman" w:hAnsi="Times New Roman"/>
          <w:b/>
          <w:i/>
          <w:sz w:val="20"/>
          <w:lang w:val="es-CO"/>
        </w:rPr>
        <w:t>e</w:t>
      </w:r>
      <w:r>
        <w:rPr>
          <w:rFonts w:ascii="Times New Roman" w:hAnsi="Times New Roman"/>
          <w:b/>
          <w:i/>
          <w:position w:val="8"/>
          <w:sz w:val="20"/>
          <w:lang w:val="es-CO"/>
        </w:rPr>
        <w:t>±1</w:t>
      </w:r>
      <w:r>
        <w:rPr>
          <w:rFonts w:ascii="Times New Roman" w:hAnsi="Times New Roman"/>
          <w:sz w:val="20"/>
          <w:lang w:val="es-CO"/>
        </w:rPr>
        <w:t xml:space="preserve"> ≈</w:t>
      </w:r>
      <w:r>
        <w:rPr>
          <w:rFonts w:ascii="Times New Roman" w:hAnsi="Times New Roman"/>
          <w:b/>
          <w:i/>
          <w:sz w:val="20"/>
          <w:lang w:val="es-CO"/>
        </w:rPr>
        <w:t>2,7</w:t>
      </w:r>
      <w:r>
        <w:rPr>
          <w:rFonts w:ascii="Times New Roman" w:hAnsi="Times New Roman"/>
          <w:sz w:val="20"/>
          <w:lang w:val="es-CO"/>
        </w:rPr>
        <w:t xml:space="preserve"> en cualquier dirección. Los mapas predictivos de </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 xml:space="preserve">) </w:t>
      </w:r>
      <w:r>
        <w:rPr>
          <w:rFonts w:ascii="Times New Roman" w:hAnsi="Times New Roman"/>
          <w:sz w:val="20"/>
          <w:lang w:val="es-CO"/>
        </w:rPr>
        <w:t xml:space="preserve">se obtuvieron sobre grillas de </w:t>
      </w:r>
      <w:r>
        <w:rPr>
          <w:rFonts w:ascii="Times New Roman" w:hAnsi="Times New Roman"/>
          <w:b/>
          <w:i/>
          <w:sz w:val="20"/>
          <w:lang w:val="es-CO"/>
        </w:rPr>
        <w:t xml:space="preserve">100 m </w:t>
      </w:r>
      <w:r>
        <w:rPr>
          <w:rFonts w:ascii="Times New Roman" w:hAnsi="Times New Roman"/>
          <w:sz w:val="20"/>
          <w:lang w:val="es-CO"/>
        </w:rPr>
        <w:t xml:space="preserve">con </w:t>
      </w:r>
      <w:r>
        <w:rPr>
          <w:rFonts w:ascii="Times New Roman" w:hAnsi="Times New Roman"/>
          <w:b/>
          <w:i/>
          <w:sz w:val="20"/>
          <w:lang w:val="es-CO"/>
        </w:rPr>
        <w:t xml:space="preserve">500 </w:t>
      </w:r>
      <w:r>
        <w:rPr>
          <w:rFonts w:ascii="Times New Roman" w:hAnsi="Times New Roman"/>
          <w:sz w:val="20"/>
          <w:lang w:val="es-CO"/>
        </w:rPr>
        <w:t>muestras de Monte Carlo de la posterior conjunta. El desempeño discriminativo se evaluó con el AUC calculado sobre una grilla hexagonal de ≈</w:t>
      </w:r>
      <w:r>
        <w:rPr>
          <w:rFonts w:ascii="Times New Roman" w:hAnsi="Times New Roman"/>
          <w:b/>
          <w:i/>
          <w:sz w:val="20"/>
          <w:lang w:val="es-CO"/>
        </w:rPr>
        <w:t>0,25</w:t>
      </w:r>
      <w:r>
        <w:rPr>
          <w:rFonts w:ascii="Times New Roman" w:hAnsi="Times New Roman"/>
          <w:sz w:val="20"/>
          <w:lang w:val="es-CO"/>
        </w:rPr>
        <w:t xml:space="preserve"> </w:t>
      </w:r>
      <w:r>
        <w:rPr>
          <w:rFonts w:ascii="Times New Roman" w:hAnsi="Times New Roman"/>
          <w:b/>
          <w:i/>
          <w:sz w:val="20"/>
          <w:lang w:val="es-CO"/>
        </w:rPr>
        <w:t>km</w:t>
      </w:r>
      <w:r>
        <w:rPr>
          <w:rFonts w:ascii="Times New Roman" w:hAnsi="Times New Roman"/>
          <w:b/>
          <w:i/>
          <w:position w:val="8"/>
          <w:sz w:val="20"/>
          <w:lang w:val="es-CO"/>
        </w:rPr>
        <w:t>2</w:t>
      </w:r>
      <w:r>
        <w:rPr>
          <w:rFonts w:ascii="Times New Roman" w:hAnsi="Times New Roman"/>
          <w:sz w:val="20"/>
          <w:lang w:val="es-CO"/>
        </w:rPr>
        <w:t xml:space="preserve">, asignando a cada celda un indicador binario (1 si contenía al menos un evento) y como puntuación la intensidad total predicha. </w:t>
      </w:r>
    </w:p>
    <w:p>
      <w:pPr>
        <w:pStyle w:val="Heading3"/>
        <w:bidi w:val="0"/>
        <w:spacing w:lineRule="auto" w:line="252" w:before="120" w:after="60"/>
        <w:ind w:hanging="0" w:start="0" w:end="0"/>
        <w:jc w:val="center"/>
        <w:rPr>
          <w:lang w:val="es-CO"/>
        </w:rPr>
      </w:pPr>
      <w:r>
        <w:rPr>
          <w:rFonts w:ascii="Times New Roman" w:hAnsi="Times New Roman"/>
          <w:b w:val="false"/>
          <w:smallCaps/>
          <w:sz w:val="20"/>
          <w:lang w:val="es-CO"/>
        </w:rPr>
        <w:t xml:space="preserve">V. </w:t>
      </w:r>
      <w:bookmarkStart w:id="96" w:name="x1-6000V"/>
      <w:bookmarkEnd w:id="96"/>
      <w:r>
        <w:rPr>
          <w:rFonts w:ascii="Times New Roman" w:hAnsi="Times New Roman"/>
          <w:b w:val="false"/>
          <w:smallCaps/>
          <w:sz w:val="20"/>
          <w:lang w:val="es-CO"/>
        </w:rPr>
        <w:t>Resultados</w:t>
      </w:r>
    </w:p>
    <w:p>
      <w:pPr>
        <w:pStyle w:val="BodyText"/>
        <w:bidi w:val="0"/>
        <w:spacing w:lineRule="auto" w:line="252" w:before="0" w:after="0"/>
        <w:ind w:firstLine="280" w:start="0" w:end="0"/>
        <w:jc w:val="both"/>
        <w:rPr/>
      </w:pPr>
      <w:r>
        <w:rPr>
          <w:rFonts w:ascii="Times New Roman" w:hAnsi="Times New Roman"/>
          <w:sz w:val="20"/>
          <w:lang w:val="es-CO"/>
        </w:rPr>
        <w:t>La distribución de movimientos en masa de acuerdo con el inventario es marcadamente no homogénea, con densidades locales que superan los 20 eventos km</w:t>
      </w:r>
      <w:r>
        <w:rPr>
          <w:rFonts w:ascii="Times New Roman" w:hAnsi="Times New Roman"/>
          <w:b/>
          <w:i/>
          <w:position w:val="8"/>
          <w:sz w:val="20"/>
          <w:lang w:val="es-CO"/>
        </w:rPr>
        <w:t>-2</w:t>
      </w:r>
      <w:r>
        <w:rPr>
          <w:rFonts w:ascii="Times New Roman" w:hAnsi="Times New Roman"/>
          <w:sz w:val="20"/>
          <w:lang w:val="es-CO"/>
        </w:rPr>
        <w:t xml:space="preserve"> en los flancos de mayor pendiente del valle. La Fig. </w:t>
      </w:r>
      <w:hyperlink w:anchor="x1-3001r1">
        <w:r>
          <w:rPr>
            <w:rStyle w:val="Hyperlink"/>
            <w:lang w:val="es-CO"/>
          </w:rPr>
          <w:t>1</w:t>
        </w:r>
      </w:hyperlink>
      <w:r>
        <w:rPr>
          <w:rFonts w:ascii="Times New Roman" w:hAnsi="Times New Roman"/>
          <w:sz w:val="20"/>
          <w:lang w:val="es-CO"/>
        </w:rPr>
        <w:t xml:space="preserve"> muestra la distribución espacial de los eventos y la Fig. </w:t>
      </w:r>
      <w:hyperlink w:anchor="x1-6001r2">
        <w:r>
          <w:rPr>
            <w:rStyle w:val="Hyperlink"/>
            <w:lang w:val="es-CO"/>
          </w:rPr>
          <w:t>2</w:t>
        </w:r>
      </w:hyperlink>
      <w:r>
        <w:rPr>
          <w:rFonts w:ascii="Times New Roman" w:hAnsi="Times New Roman"/>
          <w:sz w:val="20"/>
          <w:lang w:val="es-CO"/>
        </w:rPr>
        <w:t xml:space="preserve"> la malla triangular de integración. </w:t>
      </w:r>
    </w:p>
    <w:p>
      <w:pPr>
        <w:pStyle w:val="BodyTextindent"/>
        <w:bidi w:val="0"/>
        <w:spacing w:lineRule="auto" w:line="252" w:before="0" w:after="0"/>
        <w:ind w:firstLine="280" w:start="0" w:end="0"/>
        <w:jc w:val="both"/>
        <w:rPr>
          <w:lang w:val="es-CO"/>
        </w:rPr>
      </w:pPr>
      <w:r>
        <w:rPr>
          <w:rFonts w:ascii="Times New Roman" w:hAnsi="Times New Roman"/>
          <w:sz w:val="20"/>
          <w:lang w:val="es-CO"/>
        </w:rPr>
        <w:t xml:space="preserve">De los </w:t>
      </w:r>
      <w:r>
        <w:rPr>
          <w:rFonts w:ascii="Times New Roman" w:hAnsi="Times New Roman"/>
          <w:b/>
          <w:i/>
          <w:sz w:val="20"/>
          <w:lang w:val="es-CO"/>
        </w:rPr>
        <w:t xml:space="preserve">2504 </w:t>
      </w:r>
      <w:r>
        <w:rPr>
          <w:rFonts w:ascii="Times New Roman" w:hAnsi="Times New Roman"/>
          <w:sz w:val="20"/>
          <w:lang w:val="es-CO"/>
        </w:rPr>
        <w:t>eventos, la densidad de eventos por km</w:t>
      </w:r>
      <w:r>
        <w:rPr>
          <w:rFonts w:ascii="Times New Roman" w:hAnsi="Times New Roman"/>
          <w:b/>
          <w:i/>
          <w:position w:val="8"/>
          <w:sz w:val="20"/>
          <w:lang w:val="es-CO"/>
        </w:rPr>
        <w:t>2</w:t>
      </w:r>
      <w:r>
        <w:rPr>
          <w:rFonts w:ascii="Times New Roman" w:hAnsi="Times New Roman"/>
          <w:sz w:val="20"/>
          <w:lang w:val="es-CO"/>
        </w:rPr>
        <w:t xml:space="preserve"> es notablemente mayor en suelos finos. La distribución espacial del inventario refleja fundamentalmente los patrones topográficos del Valle de Aburrá, sin la concentración en zonas urbanas que caracteriza a los inventarios históricos; esto es indicativo de que el inventario de sensores remotos captura efectivamente la variabilidad espacial de la susceptibilidad a escala de ladera. </w:t>
      </w:r>
    </w:p>
    <w:p>
      <w:pPr>
        <w:pStyle w:val="HorizontalLine"/>
        <w:pBdr>
          <w:bottom w:val="double" w:sz="2" w:space="0" w:color="808080"/>
        </w:pBdr>
        <w:bidi w:val="0"/>
        <w:spacing w:before="0" w:after="283"/>
        <w:jc w:val="both"/>
        <w:rPr>
          <w:lang w:val="es-CO"/>
        </w:rPr>
      </w:pPr>
      <w:r>
        <w:rPr>
          <w:lang w:val="es-CO"/>
        </w:rPr>
      </w:r>
    </w:p>
    <w:p>
      <w:pPr>
        <w:pStyle w:val="BodyText"/>
        <w:bidi w:val="0"/>
        <w:spacing w:before="0" w:after="0"/>
        <w:ind w:hanging="0" w:start="0" w:end="0"/>
        <w:jc w:val="center"/>
        <w:rPr>
          <w:lang w:val="es-CO"/>
        </w:rPr>
      </w:pPr>
      <w:r>
        <w:rPr/>
        <w:drawing>
          <wp:inline distT="0" distB="0" distL="0" distR="0">
            <wp:extent cx="3200400" cy="26670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3200400" cy="2667000"/>
                    </a:xfrm>
                    <a:prstGeom prst="rect">
                      <a:avLst/>
                    </a:prstGeom>
                    <a:noFill/>
                  </pic:spPr>
                </pic:pic>
              </a:graphicData>
            </a:graphic>
          </wp:inline>
        </w:drawing>
      </w:r>
    </w:p>
    <w:p>
      <w:pPr>
        <w:pStyle w:val="BodyText"/>
        <w:bidi w:val="0"/>
        <w:spacing w:lineRule="auto" w:line="252" w:before="0" w:after="0"/>
        <w:ind w:hanging="0" w:start="0" w:end="0"/>
        <w:jc w:val="both"/>
        <w:rPr>
          <w:lang w:val="es-CO"/>
        </w:rPr>
      </w:pPr>
      <w:r>
        <w:rPr>
          <w:rFonts w:ascii="Times New Roman" w:hAnsi="Times New Roman"/>
          <w:sz w:val="16"/>
          <w:lang w:val="es-CO"/>
        </w:rPr>
        <w:t>Fig. 2. Malla triangular superpuesta al hillshade del relieve de Medellín. Puntos rojos: zonas de iniciación de movimientos en masa observados (</w:t>
      </w:r>
      <w:r>
        <w:rPr>
          <w:rFonts w:ascii="Times New Roman" w:hAnsi="Times New Roman"/>
          <w:b/>
          <w:i/>
          <w:sz w:val="16"/>
          <w:lang w:val="es-CO"/>
        </w:rPr>
        <w:t xml:space="preserve">2504 </w:t>
      </w:r>
      <w:r>
        <w:rPr>
          <w:rFonts w:ascii="Times New Roman" w:hAnsi="Times New Roman"/>
          <w:sz w:val="16"/>
          <w:lang w:val="es-CO"/>
        </w:rPr>
        <w:t>eventos). Triangulación azul: malla de integración (</w:t>
      </w:r>
      <w:r>
        <w:rPr>
          <w:rFonts w:ascii="Times New Roman" w:hAnsi="Times New Roman"/>
          <w:b/>
          <w:i/>
          <w:sz w:val="16"/>
          <w:lang w:val="es-CO"/>
        </w:rPr>
        <w:t xml:space="preserve">92657 </w:t>
      </w:r>
      <w:r>
        <w:rPr>
          <w:rFonts w:ascii="Times New Roman" w:hAnsi="Times New Roman"/>
          <w:sz w:val="16"/>
          <w:lang w:val="es-CO"/>
        </w:rPr>
        <w:t xml:space="preserve">nodos, </w:t>
      </w:r>
      <w:r>
        <w:rPr>
          <w:rFonts w:ascii="Times New Roman" w:hAnsi="Times New Roman"/>
          <w:b/>
          <w:i/>
          <w:sz w:val="16"/>
          <w:lang w:val="es-CO"/>
        </w:rPr>
        <w:t xml:space="preserve">185024 </w:t>
      </w:r>
      <w:r>
        <w:rPr>
          <w:rFonts w:ascii="Times New Roman" w:hAnsi="Times New Roman"/>
          <w:sz w:val="16"/>
          <w:lang w:val="es-CO"/>
        </w:rPr>
        <w:t xml:space="preserve">triángulos). El buffer exterior (triángulos de mayor tamaño) se extiende </w:t>
      </w:r>
      <w:r>
        <w:rPr>
          <w:rFonts w:ascii="Times New Roman" w:hAnsi="Times New Roman"/>
          <w:b/>
          <w:i/>
          <w:sz w:val="16"/>
          <w:lang w:val="es-CO"/>
        </w:rPr>
        <w:t>2</w:t>
      </w:r>
      <w:r>
        <w:rPr>
          <w:rFonts w:ascii="Times New Roman" w:hAnsi="Times New Roman"/>
          <w:sz w:val="16"/>
          <w:lang w:val="es-CO"/>
        </w:rPr>
        <w:t xml:space="preserve"> </w:t>
      </w:r>
      <w:r>
        <w:rPr>
          <w:rFonts w:ascii="Times New Roman" w:hAnsi="Times New Roman"/>
          <w:b/>
          <w:i/>
          <w:sz w:val="16"/>
          <w:lang w:val="es-CO"/>
        </w:rPr>
        <w:t>km</w:t>
      </w:r>
      <w:r>
        <w:rPr>
          <w:rFonts w:ascii="Times New Roman" w:hAnsi="Times New Roman"/>
          <w:sz w:val="16"/>
          <w:lang w:val="es-CO"/>
        </w:rPr>
        <w:t xml:space="preserve"> fuera del dominio de estudio (contorno negro) para atenuar los efectos de borde en la integración numérica. </w:t>
      </w:r>
    </w:p>
    <w:p>
      <w:pPr>
        <w:pStyle w:val="HorizontalLine"/>
        <w:pBdr>
          <w:bottom w:val="double" w:sz="2" w:space="0" w:color="808080"/>
        </w:pBdr>
        <w:bidi w:val="0"/>
        <w:spacing w:before="0" w:after="283"/>
        <w:jc w:val="both"/>
        <w:rPr>
          <w:lang w:val="es-CO"/>
        </w:rPr>
      </w:pPr>
      <w:r>
        <w:rPr>
          <w:lang w:val="es-CO"/>
        </w:rPr>
      </w:r>
    </w:p>
    <w:p>
      <w:pPr>
        <w:pStyle w:val="BodyTextindent"/>
        <w:bidi w:val="0"/>
        <w:spacing w:lineRule="auto" w:line="252" w:before="0" w:after="0"/>
        <w:ind w:firstLine="280"/>
        <w:jc w:val="both"/>
        <w:rPr/>
      </w:pPr>
      <w:r>
        <w:rPr>
          <w:rFonts w:ascii="Times New Roman" w:hAnsi="Times New Roman"/>
          <w:sz w:val="20"/>
          <w:lang w:val="es-CO"/>
        </w:rPr>
        <w:t>La Tabla </w:t>
      </w:r>
      <w:hyperlink w:anchor="x1-6002r3">
        <w:r>
          <w:rPr>
            <w:rStyle w:val="Hyperlink"/>
            <w:lang w:val="es-CO"/>
          </w:rPr>
          <w:t>III</w:t>
        </w:r>
      </w:hyperlink>
      <w:r>
        <w:rPr>
          <w:rFonts w:ascii="Times New Roman" w:hAnsi="Times New Roman"/>
          <w:sz w:val="20"/>
          <w:lang w:val="es-CO"/>
        </w:rPr>
        <w:t xml:space="preserve"> y la Fig. </w:t>
      </w:r>
      <w:hyperlink w:anchor="x1-6003r3">
        <w:r>
          <w:rPr>
            <w:rStyle w:val="Hyperlink"/>
            <w:lang w:val="es-CO"/>
          </w:rPr>
          <w:t>3</w:t>
        </w:r>
      </w:hyperlink>
      <w:r>
        <w:rPr>
          <w:rFonts w:ascii="Times New Roman" w:hAnsi="Times New Roman"/>
          <w:sz w:val="20"/>
          <w:lang w:val="es-CO"/>
        </w:rPr>
        <w:t xml:space="preserve"> presentan los coeficientes posteriores del modelo NHPP. La pendiente es el único predictor topográfico positivo y significativo; el aspecto muestra un efecto negativo significativo. Los dos predictores binarios (suelos finos y cobertura urbana) son negativos y significativos. </w:t>
      </w:r>
    </w:p>
    <w:p>
      <w:pPr>
        <w:pStyle w:val="HorizontalLine"/>
        <w:pBdr>
          <w:bottom w:val="double" w:sz="2" w:space="0" w:color="808080"/>
        </w:pBdr>
        <w:bidi w:val="0"/>
        <w:spacing w:before="0" w:after="283"/>
        <w:jc w:val="both"/>
        <w:rPr>
          <w:lang w:val="es-CO"/>
        </w:rPr>
      </w:pPr>
      <w:r>
        <w:rPr>
          <w:lang w:val="es-CO"/>
        </w:rPr>
      </w:r>
    </w:p>
    <w:p>
      <w:pPr>
        <w:pStyle w:val="BodyText"/>
        <w:bidi w:val="0"/>
        <w:spacing w:lineRule="auto" w:line="252" w:before="120" w:after="40"/>
        <w:ind w:hanging="0" w:start="0" w:end="0"/>
        <w:jc w:val="center"/>
        <w:rPr>
          <w:lang w:val="es-CO"/>
        </w:rPr>
      </w:pPr>
      <w:bookmarkStart w:id="97" w:name="x1-6002r3"/>
      <w:bookmarkEnd w:id="97"/>
      <w:r>
        <w:rPr>
          <w:rFonts w:ascii="Times New Roman" w:hAnsi="Times New Roman"/>
          <w:smallCaps/>
          <w:sz w:val="16"/>
          <w:lang w:val="es-CO"/>
        </w:rPr>
        <w:t xml:space="preserve">Tabla III: Resumen posterior de los efectos fijos del modelo NHPP (MDE a </w:t>
      </w:r>
      <w:r>
        <w:rPr>
          <w:rFonts w:ascii="Times New Roman" w:hAnsi="Times New Roman"/>
          <w:b/>
          <w:i/>
          <w:smallCaps/>
          <w:sz w:val="16"/>
          <w:lang w:val="es-CO"/>
        </w:rPr>
        <w:t>2 m</w:t>
      </w:r>
      <w:r>
        <w:rPr>
          <w:rFonts w:ascii="Times New Roman" w:hAnsi="Times New Roman"/>
          <w:smallCaps/>
          <w:sz w:val="16"/>
          <w:lang w:val="es-CO"/>
        </w:rPr>
        <w:t xml:space="preserve">, covariables estandarizadas). Los coeficientes indican el cambio en </w:t>
      </w:r>
      <w:r>
        <w:rPr>
          <w:rFonts w:ascii="Times New Roman" w:hAnsi="Times New Roman"/>
          <w:b/>
          <w:i/>
          <w:smallCaps/>
          <w:sz w:val="16"/>
          <w:lang w:val="es-CO"/>
        </w:rPr>
        <w:t>logλ(</w:t>
      </w:r>
      <w:r>
        <w:rPr>
          <w:rFonts w:ascii="Times New Roman" w:hAnsi="Times New Roman"/>
          <w:b/>
          <w:smallCaps/>
          <w:sz w:val="16"/>
          <w:lang w:val="es-CO"/>
        </w:rPr>
        <w:t>s</w:t>
      </w:r>
      <w:r>
        <w:rPr>
          <w:rFonts w:ascii="Times New Roman" w:hAnsi="Times New Roman"/>
          <w:b/>
          <w:i/>
          <w:smallCaps/>
          <w:sz w:val="16"/>
          <w:lang w:val="es-CO"/>
        </w:rPr>
        <w:t xml:space="preserve">) </w:t>
      </w:r>
      <w:r>
        <w:rPr>
          <w:rFonts w:ascii="Times New Roman" w:hAnsi="Times New Roman"/>
          <w:smallCaps/>
          <w:sz w:val="16"/>
          <w:lang w:val="es-CO"/>
        </w:rPr>
        <w:t xml:space="preserve">por incremento de una desviación estándar en cada covariable continua, o el efecto de pertenecer a la clase activa para las variables binarias. </w:t>
      </w:r>
    </w:p>
    <w:p>
      <w:pPr>
        <w:pStyle w:val="Normal"/>
        <w:bidi w:val="0"/>
        <w:spacing w:before="0" w:after="0"/>
        <w:jc w:val="both"/>
        <w:rPr>
          <w:sz w:val="4"/>
          <w:szCs w:val="4"/>
          <w:lang w:val="es-CO"/>
        </w:rPr>
      </w:pPr>
      <w:r>
        <w:rPr>
          <w:sz w:val="4"/>
          <w:szCs w:val="4"/>
          <w:lang w:val="es-CO"/>
        </w:rPr>
      </w:r>
      <w:bookmarkStart w:id="98" w:name="TBL-4-1-"/>
      <w:bookmarkStart w:id="99" w:name="TBL-4-5"/>
      <w:bookmarkStart w:id="100" w:name="TBL-4-4"/>
      <w:bookmarkStart w:id="101" w:name="TBL-4-3"/>
      <w:bookmarkStart w:id="102" w:name="TBL-4-2"/>
      <w:bookmarkStart w:id="103" w:name="TBL-4-1"/>
      <w:bookmarkStart w:id="104" w:name="TBL-4-1g"/>
      <w:bookmarkStart w:id="105" w:name="TBL-4"/>
      <w:bookmarkStart w:id="106" w:name="TBL-4-1-"/>
      <w:bookmarkStart w:id="107" w:name="TBL-4-5"/>
      <w:bookmarkStart w:id="108" w:name="TBL-4-4"/>
      <w:bookmarkStart w:id="109" w:name="TBL-4-3"/>
      <w:bookmarkStart w:id="110" w:name="TBL-4-2"/>
      <w:bookmarkStart w:id="111" w:name="TBL-4-1"/>
      <w:bookmarkStart w:id="112" w:name="TBL-4-1g"/>
      <w:bookmarkStart w:id="113" w:name="TBL-4"/>
      <w:bookmarkEnd w:id="106"/>
      <w:bookmarkEnd w:id="107"/>
      <w:bookmarkEnd w:id="108"/>
      <w:bookmarkEnd w:id="109"/>
      <w:bookmarkEnd w:id="110"/>
      <w:bookmarkEnd w:id="111"/>
      <w:bookmarkEnd w:id="112"/>
      <w:bookmarkEnd w:id="113"/>
    </w:p>
    <w:tbl>
      <w:tblPr>
        <w:tblW w:w="5036" w:type="dxa"/>
        <w:jc w:val="start"/>
        <w:tblInd w:w="0" w:type="dxa"/>
        <w:tblLayout w:type="fixed"/>
        <w:tblCellMar>
          <w:top w:w="28" w:type="dxa"/>
          <w:start w:w="28" w:type="dxa"/>
          <w:bottom w:w="28" w:type="dxa"/>
          <w:end w:w="28" w:type="dxa"/>
        </w:tblCellMar>
      </w:tblPr>
      <w:tblGrid>
        <w:gridCol w:w="1082"/>
        <w:gridCol w:w="984"/>
        <w:gridCol w:w="902"/>
        <w:gridCol w:w="900"/>
        <w:gridCol w:w="1168"/>
      </w:tblGrid>
      <w:tr>
        <w:trPr/>
        <w:tc>
          <w:tcPr>
            <w:tcW w:w="1082" w:type="dxa"/>
            <w:tcBorders/>
            <w:vAlign w:val="center"/>
          </w:tcPr>
          <w:p>
            <w:pPr>
              <w:pStyle w:val="TableContents"/>
              <w:bidi w:val="0"/>
              <w:spacing w:lineRule="auto" w:line="252" w:before="0" w:after="0"/>
              <w:ind w:hanging="0" w:start="0" w:end="0"/>
              <w:jc w:val="center"/>
              <w:rPr>
                <w:lang w:val="es-CO"/>
              </w:rPr>
            </w:pPr>
            <w:bookmarkStart w:id="114" w:name="TBL-4-1-1"/>
            <w:bookmarkEnd w:id="114"/>
            <w:r>
              <w:rPr>
                <w:rFonts w:ascii="Times New Roman" w:hAnsi="Times New Roman"/>
                <w:sz w:val="16"/>
                <w:lang w:val="es-CO"/>
              </w:rPr>
              <w:t xml:space="preserve">Predictor </w:t>
            </w:r>
            <w:bookmarkStart w:id="115" w:name="TBL-4-1-2"/>
            <w:bookmarkEnd w:id="115"/>
          </w:p>
        </w:tc>
        <w:tc>
          <w:tcPr>
            <w:tcW w:w="984"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Media </w:t>
            </w:r>
            <w:bookmarkStart w:id="116" w:name="TBL-4-1-3"/>
            <w:bookmarkEnd w:id="116"/>
          </w:p>
        </w:tc>
        <w:tc>
          <w:tcPr>
            <w:tcW w:w="902"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D.E. </w:t>
            </w:r>
            <w:bookmarkStart w:id="117" w:name="TBL-4-1-4"/>
            <w:bookmarkEnd w:id="117"/>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IC</w:t>
            </w:r>
            <w:r>
              <w:rPr>
                <w:rFonts w:ascii="Times New Roman" w:hAnsi="Times New Roman"/>
                <w:b/>
                <w:i/>
                <w:position w:val="-2"/>
                <w:sz w:val="16"/>
                <w:lang w:val="es-CO"/>
              </w:rPr>
              <w:t>2,5%</w:t>
            </w:r>
            <w:r>
              <w:rPr>
                <w:rFonts w:ascii="Times New Roman" w:hAnsi="Times New Roman"/>
                <w:sz w:val="16"/>
                <w:lang w:val="es-CO"/>
              </w:rPr>
              <w:t xml:space="preserve"> </w:t>
            </w:r>
            <w:bookmarkStart w:id="118" w:name="TBL-4-1-5"/>
            <w:bookmarkEnd w:id="118"/>
          </w:p>
        </w:tc>
        <w:tc>
          <w:tcPr>
            <w:tcW w:w="1168"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IC</w:t>
            </w:r>
            <w:r>
              <w:rPr>
                <w:rFonts w:ascii="Times New Roman" w:hAnsi="Times New Roman"/>
                <w:b/>
                <w:i/>
                <w:position w:val="-2"/>
                <w:sz w:val="16"/>
                <w:lang w:val="es-CO"/>
              </w:rPr>
              <w:t>97,5%</w:t>
            </w:r>
            <w:r>
              <w:rPr>
                <w:rFonts w:ascii="Times New Roman" w:hAnsi="Times New Roman"/>
                <w:sz w:val="16"/>
                <w:lang w:val="es-CO"/>
              </w:rPr>
              <w:t xml:space="preserve"> </w:t>
            </w:r>
            <w:bookmarkStart w:id="119" w:name="TBL-4-2-1"/>
            <w:bookmarkStart w:id="120" w:name="TBL-4-2-"/>
            <w:bookmarkEnd w:id="119"/>
            <w:bookmarkEnd w:id="120"/>
          </w:p>
        </w:tc>
      </w:tr>
      <w:tr>
        <w:trPr/>
        <w:tc>
          <w:tcPr>
            <w:tcW w:w="1082"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Intercepto </w:t>
            </w:r>
            <w:bookmarkStart w:id="121" w:name="TBL-4-2-2"/>
            <w:bookmarkEnd w:id="121"/>
          </w:p>
        </w:tc>
        <w:tc>
          <w:tcPr>
            <w:tcW w:w="984"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-11,769 </w:t>
            </w:r>
            <w:bookmarkStart w:id="122" w:name="TBL-4-2-3"/>
            <w:bookmarkEnd w:id="122"/>
          </w:p>
        </w:tc>
        <w:tc>
          <w:tcPr>
            <w:tcW w:w="90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0,034 </w:t>
            </w:r>
            <w:bookmarkStart w:id="123" w:name="TBL-4-2-4"/>
            <w:bookmarkEnd w:id="123"/>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-11,835 </w:t>
            </w:r>
            <w:bookmarkStart w:id="124" w:name="TBL-4-2-5"/>
            <w:bookmarkEnd w:id="124"/>
          </w:p>
        </w:tc>
        <w:tc>
          <w:tcPr>
            <w:tcW w:w="1168"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-11,703 </w:t>
            </w:r>
            <w:bookmarkStart w:id="125" w:name="TBL-4-3-1"/>
            <w:bookmarkStart w:id="126" w:name="TBL-4-3-"/>
            <w:bookmarkEnd w:id="125"/>
            <w:bookmarkEnd w:id="126"/>
          </w:p>
        </w:tc>
      </w:tr>
      <w:tr>
        <w:trPr/>
        <w:tc>
          <w:tcPr>
            <w:tcW w:w="1082"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Pendiente (estand.) </w:t>
            </w:r>
            <w:bookmarkStart w:id="127" w:name="TBL-4-3-2"/>
            <w:bookmarkEnd w:id="127"/>
          </w:p>
        </w:tc>
        <w:tc>
          <w:tcPr>
            <w:tcW w:w="984"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0,901 </w:t>
            </w:r>
            <w:bookmarkStart w:id="128" w:name="TBL-4-3-3"/>
            <w:bookmarkEnd w:id="128"/>
          </w:p>
        </w:tc>
        <w:tc>
          <w:tcPr>
            <w:tcW w:w="90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0,023 </w:t>
            </w:r>
            <w:bookmarkStart w:id="129" w:name="TBL-4-3-4"/>
            <w:bookmarkEnd w:id="129"/>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0,856 </w:t>
            </w:r>
            <w:bookmarkStart w:id="130" w:name="TBL-4-3-5"/>
            <w:bookmarkEnd w:id="130"/>
          </w:p>
        </w:tc>
        <w:tc>
          <w:tcPr>
            <w:tcW w:w="1168"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0,946 </w:t>
            </w:r>
            <w:bookmarkStart w:id="131" w:name="TBL-4-4-1"/>
            <w:bookmarkStart w:id="132" w:name="TBL-4-4-"/>
            <w:bookmarkEnd w:id="131"/>
            <w:bookmarkEnd w:id="132"/>
          </w:p>
        </w:tc>
      </w:tr>
      <w:tr>
        <w:trPr/>
        <w:tc>
          <w:tcPr>
            <w:tcW w:w="1082"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Aspecto (estand.) </w:t>
            </w:r>
            <w:bookmarkStart w:id="133" w:name="TBL-4-4-2"/>
            <w:bookmarkEnd w:id="133"/>
          </w:p>
        </w:tc>
        <w:tc>
          <w:tcPr>
            <w:tcW w:w="984"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-0,243 </w:t>
            </w:r>
            <w:bookmarkStart w:id="134" w:name="TBL-4-4-3"/>
            <w:bookmarkEnd w:id="134"/>
          </w:p>
        </w:tc>
        <w:tc>
          <w:tcPr>
            <w:tcW w:w="90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0,020 </w:t>
            </w:r>
            <w:bookmarkStart w:id="135" w:name="TBL-4-4-4"/>
            <w:bookmarkEnd w:id="135"/>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-0,283 </w:t>
            </w:r>
            <w:bookmarkStart w:id="136" w:name="TBL-4-4-5"/>
            <w:bookmarkEnd w:id="136"/>
          </w:p>
        </w:tc>
        <w:tc>
          <w:tcPr>
            <w:tcW w:w="1168"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-0,204 </w:t>
            </w:r>
            <w:bookmarkStart w:id="137" w:name="TBL-4-5-1"/>
            <w:bookmarkStart w:id="138" w:name="TBL-4-5-"/>
            <w:bookmarkEnd w:id="137"/>
            <w:bookmarkEnd w:id="138"/>
          </w:p>
        </w:tc>
      </w:tr>
      <w:tr>
        <w:trPr/>
        <w:tc>
          <w:tcPr>
            <w:tcW w:w="1082"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Cob. urbana </w:t>
            </w:r>
            <w:bookmarkStart w:id="139" w:name="TBL-4-5-2"/>
            <w:bookmarkEnd w:id="139"/>
          </w:p>
        </w:tc>
        <w:tc>
          <w:tcPr>
            <w:tcW w:w="984"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-0,971 </w:t>
            </w:r>
            <w:bookmarkStart w:id="140" w:name="TBL-4-5-3"/>
            <w:bookmarkEnd w:id="140"/>
          </w:p>
        </w:tc>
        <w:tc>
          <w:tcPr>
            <w:tcW w:w="90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0,093 </w:t>
            </w:r>
            <w:bookmarkStart w:id="141" w:name="TBL-4-5-4"/>
            <w:bookmarkEnd w:id="141"/>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-1,154 </w:t>
            </w:r>
            <w:bookmarkStart w:id="142" w:name="TBL-4-5-5"/>
            <w:bookmarkEnd w:id="142"/>
          </w:p>
        </w:tc>
        <w:tc>
          <w:tcPr>
            <w:tcW w:w="1168"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-0,788 </w:t>
            </w:r>
            <w:bookmarkStart w:id="143" w:name="TBL-4-6-1"/>
            <w:bookmarkStart w:id="144" w:name="TBL-4-6-"/>
            <w:bookmarkEnd w:id="143"/>
            <w:bookmarkEnd w:id="144"/>
          </w:p>
        </w:tc>
      </w:tr>
      <w:tr>
        <w:trPr/>
        <w:tc>
          <w:tcPr>
            <w:tcW w:w="1082"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Suelos finos (bin.) </w:t>
            </w:r>
            <w:bookmarkStart w:id="145" w:name="TBL-4-6-2"/>
            <w:bookmarkEnd w:id="145"/>
          </w:p>
        </w:tc>
        <w:tc>
          <w:tcPr>
            <w:tcW w:w="984"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-0,709 </w:t>
            </w:r>
            <w:bookmarkStart w:id="146" w:name="TBL-4-6-3"/>
            <w:bookmarkEnd w:id="146"/>
          </w:p>
        </w:tc>
        <w:tc>
          <w:tcPr>
            <w:tcW w:w="90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0,041 </w:t>
            </w:r>
            <w:bookmarkStart w:id="147" w:name="TBL-4-6-4"/>
            <w:bookmarkEnd w:id="147"/>
          </w:p>
        </w:tc>
        <w:tc>
          <w:tcPr>
            <w:tcW w:w="900"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-0,790 </w:t>
            </w:r>
            <w:bookmarkStart w:id="148" w:name="TBL-4-6-5"/>
            <w:bookmarkEnd w:id="148"/>
          </w:p>
        </w:tc>
        <w:tc>
          <w:tcPr>
            <w:tcW w:w="1168"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-0,628 </w:t>
            </w:r>
            <w:bookmarkStart w:id="149" w:name="TBL-4-7-1"/>
            <w:bookmarkStart w:id="150" w:name="TBL-4-7-"/>
            <w:bookmarkEnd w:id="149"/>
            <w:bookmarkEnd w:id="150"/>
          </w:p>
        </w:tc>
      </w:tr>
      <w:tr>
        <w:trPr/>
        <w:tc>
          <w:tcPr>
            <w:tcW w:w="1082" w:type="dxa"/>
            <w:tcBorders/>
            <w:vAlign w:val="center"/>
          </w:tcPr>
          <w:p>
            <w:pPr>
              <w:pStyle w:val="TableContents"/>
              <w:bidi w:val="0"/>
              <w:spacing w:lineRule="auto" w:line="252" w:before="0" w:after="0"/>
              <w:ind w:hanging="0"/>
              <w:jc w:val="center"/>
              <w:rPr>
                <w:sz w:val="4"/>
                <w:szCs w:val="4"/>
                <w:lang w:val="es-CO"/>
              </w:rPr>
            </w:pPr>
            <w:r>
              <w:rPr>
                <w:sz w:val="4"/>
                <w:szCs w:val="4"/>
                <w:lang w:val="es-CO"/>
              </w:rPr>
            </w:r>
          </w:p>
        </w:tc>
        <w:tc>
          <w:tcPr>
            <w:tcW w:w="3954" w:type="dxa"/>
            <w:gridSpan w:val="4"/>
            <w:tcBorders/>
          </w:tcPr>
          <w:p>
            <w:pPr>
              <w:pStyle w:val="TableContents"/>
              <w:bidi w:val="0"/>
              <w:spacing w:lineRule="auto" w:line="252" w:before="0" w:after="0"/>
              <w:ind w:hanging="0"/>
              <w:jc w:val="center"/>
              <w:rPr>
                <w:sz w:val="4"/>
                <w:szCs w:val="4"/>
                <w:lang w:val="es-CO"/>
              </w:rPr>
            </w:pPr>
            <w:r>
              <w:rPr>
                <w:sz w:val="4"/>
                <w:szCs w:val="4"/>
                <w:lang w:val="es-CO"/>
              </w:rPr>
            </w:r>
          </w:p>
        </w:tc>
      </w:tr>
    </w:tbl>
    <w:p>
      <w:pPr>
        <w:pStyle w:val="HorizontalLine"/>
        <w:pBdr>
          <w:bottom w:val="double" w:sz="2" w:space="0" w:color="808080"/>
        </w:pBdr>
        <w:bidi w:val="0"/>
        <w:spacing w:before="0" w:after="283"/>
        <w:jc w:val="both"/>
        <w:rPr>
          <w:lang w:val="es-CO"/>
        </w:rPr>
      </w:pPr>
      <w:r>
        <w:rPr>
          <w:lang w:val="es-CO"/>
        </w:rPr>
      </w:r>
    </w:p>
    <w:p>
      <w:pPr>
        <w:pStyle w:val="HorizontalLine"/>
        <w:pBdr>
          <w:bottom w:val="double" w:sz="2" w:space="0" w:color="808080"/>
        </w:pBdr>
        <w:bidi w:val="0"/>
        <w:spacing w:before="0" w:after="283"/>
        <w:jc w:val="both"/>
        <w:rPr>
          <w:lang w:val="es-CO"/>
        </w:rPr>
      </w:pPr>
      <w:r>
        <w:rPr>
          <w:lang w:val="es-CO"/>
        </w:rPr>
      </w:r>
    </w:p>
    <w:p>
      <w:pPr>
        <w:pStyle w:val="BodyText"/>
        <w:bidi w:val="0"/>
        <w:spacing w:before="0" w:after="0"/>
        <w:ind w:hanging="0" w:start="0" w:end="0"/>
        <w:jc w:val="center"/>
        <w:rPr>
          <w:lang w:val="es-CO"/>
        </w:rPr>
      </w:pPr>
      <w:r>
        <w:rPr/>
        <w:drawing>
          <wp:inline distT="0" distB="0" distL="0" distR="0">
            <wp:extent cx="3200400" cy="21336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6"/>
                    <a:stretch>
                      <a:fillRect/>
                    </a:stretch>
                  </pic:blipFill>
                  <pic:spPr bwMode="auto">
                    <a:xfrm>
                      <a:off x="0" y="0"/>
                      <a:ext cx="3200400" cy="2133600"/>
                    </a:xfrm>
                    <a:prstGeom prst="rect">
                      <a:avLst/>
                    </a:prstGeom>
                    <a:noFill/>
                  </pic:spPr>
                </pic:pic>
              </a:graphicData>
            </a:graphic>
          </wp:inline>
        </w:drawing>
      </w:r>
    </w:p>
    <w:p>
      <w:pPr>
        <w:pStyle w:val="BodyText"/>
        <w:bidi w:val="0"/>
        <w:spacing w:lineRule="auto" w:line="252" w:before="0" w:after="0"/>
        <w:ind w:hanging="0" w:start="0" w:end="0"/>
        <w:jc w:val="both"/>
        <w:rPr>
          <w:lang w:val="es-CO"/>
        </w:rPr>
      </w:pPr>
      <w:r>
        <w:rPr>
          <w:rFonts w:ascii="Times New Roman" w:hAnsi="Times New Roman"/>
          <w:sz w:val="16"/>
          <w:lang w:val="es-CO"/>
        </w:rPr>
        <w:t xml:space="preserve">Fig. 3. Medias posteriores e intervalos de credibilidad al 95 % de los coeficientes de efectos fijos  (escala log-intensidad) del modelo NHPP (MDE </w:t>
      </w:r>
      <w:r>
        <w:rPr>
          <w:rFonts w:ascii="Times New Roman" w:hAnsi="Times New Roman"/>
          <w:b/>
          <w:i/>
          <w:sz w:val="16"/>
          <w:lang w:val="es-CO"/>
        </w:rPr>
        <w:t>2 m</w:t>
      </w:r>
      <w:r>
        <w:rPr>
          <w:rFonts w:ascii="Times New Roman" w:hAnsi="Times New Roman"/>
          <w:sz w:val="16"/>
          <w:lang w:val="es-CO"/>
        </w:rPr>
        <w:t xml:space="preserve">). La pendiente es el predictor positivo dominante; aspecto, cobertura urbana y suelos finos muestran efectos negativos significativos. </w:t>
      </w:r>
    </w:p>
    <w:p>
      <w:pPr>
        <w:pStyle w:val="HorizontalLine"/>
        <w:pBdr>
          <w:bottom w:val="double" w:sz="2" w:space="0" w:color="808080"/>
        </w:pBdr>
        <w:bidi w:val="0"/>
        <w:spacing w:before="0" w:after="283"/>
        <w:jc w:val="both"/>
        <w:rPr>
          <w:lang w:val="es-CO"/>
        </w:rPr>
      </w:pPr>
      <w:r>
        <w:rPr>
          <w:lang w:val="es-CO"/>
        </w:rPr>
      </w:r>
    </w:p>
    <w:p>
      <w:pPr>
        <w:pStyle w:val="BodyTextindent"/>
        <w:bidi w:val="0"/>
        <w:spacing w:lineRule="auto" w:line="252" w:before="0" w:after="0"/>
        <w:ind w:firstLine="280" w:start="0" w:end="0"/>
        <w:jc w:val="both"/>
        <w:rPr>
          <w:lang w:val="es-CO"/>
        </w:rPr>
      </w:pPr>
      <w:r>
        <w:rPr>
          <w:rFonts w:ascii="Times New Roman" w:hAnsi="Times New Roman"/>
          <w:b/>
          <w:sz w:val="20"/>
          <w:lang w:val="es-CO"/>
        </w:rPr>
        <w:t xml:space="preserve">Pendiente </w:t>
      </w:r>
      <w:r>
        <w:rPr>
          <w:rFonts w:ascii="Times New Roman" w:hAnsi="Times New Roman"/>
          <w:sz w:val="20"/>
          <w:lang w:val="es-CO"/>
        </w:rPr>
        <w:t>(</w:t>
      </w:r>
      <w:r>
        <w:rPr/>
        <w:t>β</w:t>
      </w:r>
      <w:r>
        <w:rPr>
          <w:rFonts w:ascii="Times New Roman" w:hAnsi="Times New Roman"/>
          <w:b/>
          <w:i/>
          <w:position w:val="-2"/>
          <w:sz w:val="20"/>
          <w:lang w:val="es-CO"/>
        </w:rPr>
        <w:t>₁</w:t>
      </w:r>
      <w:r>
        <w:rPr>
          <w:rFonts w:ascii="Times New Roman" w:hAnsi="Times New Roman"/>
          <w:sz w:val="20"/>
          <w:lang w:val="es-CO"/>
        </w:rPr>
        <w:t xml:space="preserve"> </w:t>
      </w:r>
      <w:r>
        <w:rPr>
          <w:rFonts w:ascii="Times New Roman" w:hAnsi="Times New Roman"/>
          <w:b/>
          <w:i/>
          <w:sz w:val="20"/>
          <w:lang w:val="es-CO"/>
        </w:rPr>
        <w:t>= 0,901</w:t>
      </w:r>
      <w:r>
        <w:rPr>
          <w:rFonts w:ascii="Times New Roman" w:hAnsi="Times New Roman"/>
          <w:sz w:val="20"/>
          <w:lang w:val="es-CO"/>
        </w:rPr>
        <w:t>; IC</w:t>
      </w:r>
      <w:r>
        <w:rPr>
          <w:rFonts w:ascii="Times New Roman" w:hAnsi="Times New Roman"/>
          <w:b/>
          <w:i/>
          <w:position w:val="-2"/>
          <w:sz w:val="20"/>
          <w:lang w:val="es-CO"/>
        </w:rPr>
        <w:t>95%</w:t>
      </w:r>
      <w:r>
        <w:rPr>
          <w:rFonts w:ascii="Times New Roman" w:hAnsi="Times New Roman"/>
          <w:sz w:val="20"/>
          <w:lang w:val="es-CO"/>
        </w:rPr>
        <w:t xml:space="preserve">: </w:t>
      </w:r>
      <w:r>
        <w:rPr>
          <w:rFonts w:ascii="Times New Roman" w:hAnsi="Times New Roman"/>
          <w:b/>
          <w:i/>
          <w:sz w:val="20"/>
          <w:lang w:val="es-CO"/>
        </w:rPr>
        <w:t>[0,856; 0,946]</w:t>
      </w:r>
      <w:r>
        <w:rPr>
          <w:rFonts w:ascii="Times New Roman" w:hAnsi="Times New Roman"/>
          <w:sz w:val="20"/>
          <w:lang w:val="es-CO"/>
        </w:rPr>
        <w:t xml:space="preserve">): el coeficiente es positivo, coherente con el papel mecánico fundamental de la pendiente. </w:t>
      </w:r>
    </w:p>
    <w:p>
      <w:pPr>
        <w:pStyle w:val="BodyTextindent"/>
        <w:bidi w:val="0"/>
        <w:spacing w:lineRule="auto" w:line="252" w:before="0" w:after="0"/>
        <w:ind w:firstLine="280" w:start="0" w:end="0"/>
        <w:jc w:val="both"/>
        <w:rPr>
          <w:lang w:val="es-CO"/>
        </w:rPr>
      </w:pPr>
      <w:r>
        <w:rPr>
          <w:rFonts w:ascii="Times New Roman" w:hAnsi="Times New Roman"/>
          <w:b/>
          <w:sz w:val="20"/>
          <w:lang w:val="es-CO"/>
        </w:rPr>
        <w:t xml:space="preserve">Aspecto </w:t>
      </w:r>
      <w:r>
        <w:rPr>
          <w:rFonts w:ascii="Times New Roman" w:hAnsi="Times New Roman"/>
          <w:sz w:val="20"/>
          <w:lang w:val="es-CO"/>
        </w:rPr>
        <w:t>(</w:t>
      </w:r>
      <w:r>
        <w:rPr/>
        <w:t>β</w:t>
      </w:r>
      <w:r>
        <w:rPr>
          <w:rFonts w:ascii="Times New Roman" w:hAnsi="Times New Roman"/>
          <w:b/>
          <w:i/>
          <w:position w:val="-2"/>
          <w:sz w:val="20"/>
          <w:lang w:val="es-CO"/>
        </w:rPr>
        <w:t>₂</w:t>
      </w:r>
      <w:r>
        <w:rPr>
          <w:rFonts w:ascii="Times New Roman" w:hAnsi="Times New Roman"/>
          <w:sz w:val="20"/>
          <w:lang w:val="es-CO"/>
        </w:rPr>
        <w:t xml:space="preserve"> </w:t>
      </w:r>
      <w:r>
        <w:rPr>
          <w:rFonts w:ascii="Times New Roman" w:hAnsi="Times New Roman"/>
          <w:b/>
          <w:i/>
          <w:sz w:val="20"/>
          <w:lang w:val="es-CO"/>
        </w:rPr>
        <w:t>= -0,243</w:t>
      </w:r>
      <w:r>
        <w:rPr>
          <w:rFonts w:ascii="Times New Roman" w:hAnsi="Times New Roman"/>
          <w:sz w:val="20"/>
          <w:lang w:val="es-CO"/>
        </w:rPr>
        <w:t>; IC</w:t>
      </w:r>
      <w:r>
        <w:rPr>
          <w:rFonts w:ascii="Times New Roman" w:hAnsi="Times New Roman"/>
          <w:b/>
          <w:i/>
          <w:position w:val="-2"/>
          <w:sz w:val="20"/>
          <w:lang w:val="es-CO"/>
        </w:rPr>
        <w:t>95%</w:t>
      </w:r>
      <w:r>
        <w:rPr>
          <w:rFonts w:ascii="Times New Roman" w:hAnsi="Times New Roman"/>
          <w:sz w:val="20"/>
          <w:lang w:val="es-CO"/>
        </w:rPr>
        <w:t xml:space="preserve">: </w:t>
      </w:r>
      <w:r>
        <w:rPr>
          <w:rFonts w:ascii="Times New Roman" w:hAnsi="Times New Roman"/>
          <w:b/>
          <w:i/>
          <w:sz w:val="20"/>
          <w:lang w:val="es-CO"/>
        </w:rPr>
        <w:t>[-0,283; -0,204]</w:t>
      </w:r>
      <w:r>
        <w:rPr>
          <w:rFonts w:ascii="Times New Roman" w:hAnsi="Times New Roman"/>
          <w:sz w:val="20"/>
          <w:lang w:val="es-CO"/>
        </w:rPr>
        <w:t xml:space="preserve">): el coeficiente negativo indica mayor susceptibilidad en laderas de orientación norte. </w:t>
      </w:r>
    </w:p>
    <w:p>
      <w:pPr>
        <w:pStyle w:val="BodyTextindent"/>
        <w:bidi w:val="0"/>
        <w:spacing w:lineRule="auto" w:line="252" w:before="0" w:after="0"/>
        <w:ind w:firstLine="280" w:start="0" w:end="0"/>
        <w:jc w:val="both"/>
        <w:rPr>
          <w:lang w:val="es-CO"/>
        </w:rPr>
      </w:pPr>
      <w:r>
        <w:rPr>
          <w:rFonts w:ascii="Times New Roman" w:hAnsi="Times New Roman"/>
          <w:b/>
          <w:sz w:val="20"/>
          <w:lang w:val="es-CO"/>
        </w:rPr>
        <w:t xml:space="preserve">Suelos finos </w:t>
      </w:r>
      <w:r>
        <w:rPr>
          <w:rFonts w:ascii="Times New Roman" w:hAnsi="Times New Roman"/>
          <w:sz w:val="20"/>
          <w:lang w:val="es-CO"/>
        </w:rPr>
        <w:t>(</w:t>
      </w:r>
      <w:r>
        <w:rPr/>
        <w:t>β</w:t>
      </w:r>
      <w:r>
        <w:rPr>
          <w:rFonts w:ascii="Times New Roman" w:hAnsi="Times New Roman"/>
          <w:b/>
          <w:i/>
          <w:position w:val="-2"/>
          <w:sz w:val="20"/>
          <w:lang w:val="es-CO"/>
        </w:rPr>
        <w:t>₃</w:t>
      </w:r>
      <w:r>
        <w:rPr>
          <w:rFonts w:ascii="Times New Roman" w:hAnsi="Times New Roman"/>
          <w:sz w:val="20"/>
          <w:lang w:val="es-CO"/>
        </w:rPr>
        <w:t xml:space="preserve"> </w:t>
      </w:r>
      <w:r>
        <w:rPr>
          <w:rFonts w:ascii="Times New Roman" w:hAnsi="Times New Roman"/>
          <w:b/>
          <w:i/>
          <w:sz w:val="20"/>
          <w:lang w:val="es-CO"/>
        </w:rPr>
        <w:t>= -0,709</w:t>
      </w:r>
      <w:r>
        <w:rPr>
          <w:rFonts w:ascii="Times New Roman" w:hAnsi="Times New Roman"/>
          <w:sz w:val="20"/>
          <w:lang w:val="es-CO"/>
        </w:rPr>
        <w:t>; IC</w:t>
      </w:r>
      <w:r>
        <w:rPr>
          <w:rFonts w:ascii="Times New Roman" w:hAnsi="Times New Roman"/>
          <w:b/>
          <w:i/>
          <w:position w:val="-2"/>
          <w:sz w:val="20"/>
          <w:lang w:val="es-CO"/>
        </w:rPr>
        <w:t>95%</w:t>
      </w:r>
      <w:r>
        <w:rPr>
          <w:rFonts w:ascii="Times New Roman" w:hAnsi="Times New Roman"/>
          <w:sz w:val="20"/>
          <w:lang w:val="es-CO"/>
        </w:rPr>
        <w:t xml:space="preserve">: </w:t>
      </w:r>
      <w:r>
        <w:rPr>
          <w:rFonts w:ascii="Times New Roman" w:hAnsi="Times New Roman"/>
          <w:b/>
          <w:i/>
          <w:sz w:val="20"/>
          <w:lang w:val="es-CO"/>
        </w:rPr>
        <w:t>[-0,790; -0,628]</w:t>
      </w:r>
      <w:r>
        <w:rPr>
          <w:rFonts w:ascii="Times New Roman" w:hAnsi="Times New Roman"/>
          <w:sz w:val="20"/>
          <w:lang w:val="es-CO"/>
        </w:rPr>
        <w:t xml:space="preserve">): coeficiente negativo al parecer controlado por la topografía. Este resultado sugiere que la mayor susceptibilidad de los suelos finos está mediada casi completamente por su topografía asociada (pendientes más elevadas en el estrato fino), y que una vez que se controlan esas covariables el efecto litológico directo es débil o de signo contrario al esperado. </w:t>
      </w:r>
    </w:p>
    <w:p>
      <w:pPr>
        <w:pStyle w:val="BodyTextindent"/>
        <w:bidi w:val="0"/>
        <w:spacing w:lineRule="auto" w:line="252" w:before="0" w:after="0"/>
        <w:ind w:firstLine="280" w:start="0" w:end="0"/>
        <w:jc w:val="both"/>
        <w:rPr>
          <w:lang w:val="es-CO"/>
        </w:rPr>
      </w:pPr>
      <w:r>
        <w:rPr>
          <w:rFonts w:ascii="Times New Roman" w:hAnsi="Times New Roman"/>
          <w:b/>
          <w:sz w:val="20"/>
          <w:lang w:val="es-CO"/>
        </w:rPr>
        <w:t xml:space="preserve">Cobertura urbana </w:t>
      </w:r>
      <w:r>
        <w:rPr>
          <w:rFonts w:ascii="Times New Roman" w:hAnsi="Times New Roman"/>
          <w:sz w:val="20"/>
          <w:lang w:val="es-CO"/>
        </w:rPr>
        <w:t>(</w:t>
      </w:r>
      <w:r>
        <w:rPr/>
        <w:t>β</w:t>
      </w:r>
      <w:r>
        <w:rPr>
          <w:rFonts w:ascii="Times New Roman" w:hAnsi="Times New Roman"/>
          <w:b/>
          <w:i/>
          <w:position w:val="-2"/>
          <w:sz w:val="20"/>
          <w:lang w:val="es-CO"/>
        </w:rPr>
        <w:t>₄</w:t>
      </w:r>
      <w:r>
        <w:rPr>
          <w:rFonts w:ascii="Times New Roman" w:hAnsi="Times New Roman"/>
          <w:sz w:val="20"/>
          <w:lang w:val="es-CO"/>
        </w:rPr>
        <w:t xml:space="preserve"> </w:t>
      </w:r>
      <w:r>
        <w:rPr>
          <w:rFonts w:ascii="Times New Roman" w:hAnsi="Times New Roman"/>
          <w:b/>
          <w:i/>
          <w:sz w:val="20"/>
          <w:lang w:val="es-CO"/>
        </w:rPr>
        <w:t>= -0,971</w:t>
      </w:r>
      <w:r>
        <w:rPr>
          <w:rFonts w:ascii="Times New Roman" w:hAnsi="Times New Roman"/>
          <w:sz w:val="20"/>
          <w:lang w:val="es-CO"/>
        </w:rPr>
        <w:t>; IC</w:t>
      </w:r>
      <w:r>
        <w:rPr>
          <w:rFonts w:ascii="Times New Roman" w:hAnsi="Times New Roman"/>
          <w:b/>
          <w:i/>
          <w:position w:val="-2"/>
          <w:sz w:val="20"/>
          <w:lang w:val="es-CO"/>
        </w:rPr>
        <w:t>95%</w:t>
      </w:r>
      <w:r>
        <w:rPr>
          <w:rFonts w:ascii="Times New Roman" w:hAnsi="Times New Roman"/>
          <w:sz w:val="20"/>
          <w:lang w:val="es-CO"/>
        </w:rPr>
        <w:t xml:space="preserve">: </w:t>
      </w:r>
      <w:r>
        <w:rPr>
          <w:rFonts w:ascii="Times New Roman" w:hAnsi="Times New Roman"/>
          <w:b/>
          <w:i/>
          <w:sz w:val="20"/>
          <w:lang w:val="es-CO"/>
        </w:rPr>
        <w:t>[-1,154; -0,788]</w:t>
      </w:r>
      <w:r>
        <w:rPr>
          <w:rFonts w:ascii="Times New Roman" w:hAnsi="Times New Roman"/>
          <w:sz w:val="20"/>
          <w:lang w:val="es-CO"/>
        </w:rPr>
        <w:t xml:space="preserve">): el coeficiente es significativamente negativo. Los sectores clasificados como urbanos muestran una intensidad predicha significativamente menor que las zonas rurales una vez que se controla la topografía. Este resultado refleja que las zonas urbanas de Medellín se localizan predominantemente en el fondo plano del valle (baja pendiente) y que el indicador binario captura el efecto residual de la urbanización, que en pendientes bajas reduce la susceptibilidad respecto a laderas rurales. </w:t>
      </w:r>
    </w:p>
    <w:p>
      <w:pPr>
        <w:pStyle w:val="BodyTextindent"/>
        <w:bidi w:val="0"/>
        <w:spacing w:lineRule="auto" w:line="252" w:before="0" w:after="0"/>
        <w:ind w:firstLine="280" w:start="0" w:end="0"/>
        <w:jc w:val="both"/>
        <w:rPr/>
      </w:pPr>
      <w:r>
        <w:rPr>
          <w:rFonts w:ascii="Times New Roman" w:hAnsi="Times New Roman"/>
          <w:sz w:val="20"/>
          <w:lang w:val="es-CO"/>
        </w:rPr>
        <w:t>La Fig. </w:t>
      </w:r>
      <w:hyperlink w:anchor="x1-6006r4">
        <w:r>
          <w:rPr>
            <w:rStyle w:val="Hyperlink"/>
            <w:lang w:val="es-CO"/>
          </w:rPr>
          <w:t>4</w:t>
        </w:r>
      </w:hyperlink>
      <w:r>
        <w:rPr>
          <w:rFonts w:ascii="Times New Roman" w:hAnsi="Times New Roman"/>
          <w:sz w:val="20"/>
          <w:lang w:val="es-CO"/>
        </w:rPr>
        <w:t xml:space="preserve"> muestra la superficie de intensidad media posterior </w:t>
      </w:r>
      <w:r>
        <w:rPr/>
        <w:t>λ</w:t>
      </w:r>
      <w:r>
        <w:rPr>
          <w:rFonts w:ascii="Times New Roman" w:hAnsi="Times New Roman"/>
          <w:b/>
          <w:i/>
          <w:sz w:val="20"/>
          <w:lang w:val="es-CO"/>
        </w:rPr>
        <w:t>(</w:t>
      </w:r>
      <w:r>
        <w:rPr>
          <w:rFonts w:ascii="Times New Roman" w:hAnsi="Times New Roman"/>
          <w:b/>
          <w:sz w:val="20"/>
          <w:lang w:val="es-CO"/>
        </w:rPr>
        <w:t>s</w:t>
      </w:r>
      <w:r>
        <w:rPr>
          <w:rFonts w:ascii="Times New Roman" w:hAnsi="Times New Roman"/>
          <w:b/>
          <w:i/>
          <w:sz w:val="20"/>
          <w:lang w:val="es-CO"/>
        </w:rPr>
        <w:t xml:space="preserve">) </w:t>
      </w:r>
      <w:r>
        <w:rPr>
          <w:rFonts w:ascii="Times New Roman" w:hAnsi="Times New Roman"/>
          <w:sz w:val="20"/>
          <w:lang w:val="es-CO"/>
        </w:rPr>
        <w:t xml:space="preserve">y su incertidumbre en el dominio de estudio. Las áreas de mayor intensidad (colores rojos) se localizan a lo largo de los flancos del río Medellín y sus tributarios principales, donde la combinación de alta pendiente y orientación norte maximiza el predictor lineal. Los colores verdes indican baja susceptibilidad, correspondientes al fondo plano del valle y a las zonas urbanas. La distribución espacial de la incertidumbre posterior refleja el número local de eventos: zonas con alta densidad de deslizamientos exhiben menor varianza predictiva. </w:t>
      </w:r>
    </w:p>
    <w:p>
      <w:pPr>
        <w:pStyle w:val="HorizontalLine"/>
        <w:pBdr>
          <w:bottom w:val="double" w:sz="2" w:space="0" w:color="808080"/>
        </w:pBdr>
        <w:bidi w:val="0"/>
        <w:spacing w:before="0" w:after="283"/>
        <w:jc w:val="both"/>
        <w:rPr>
          <w:lang w:val="es-CO"/>
        </w:rPr>
      </w:pPr>
      <w:r>
        <w:rPr>
          <w:lang w:val="es-CO"/>
        </w:rPr>
      </w:r>
    </w:p>
    <w:p>
      <w:pPr>
        <w:pStyle w:val="BodyText"/>
        <w:bidi w:val="0"/>
        <w:spacing w:before="0" w:after="0"/>
        <w:ind w:hanging="0" w:start="0" w:end="0"/>
        <w:jc w:val="both"/>
        <w:rPr>
          <w:lang w:val="es-CO"/>
        </w:rPr>
      </w:pPr>
      <w:bookmarkStart w:id="151" w:name="x1-6004r1"/>
      <w:bookmarkEnd w:id="151"/>
      <w:r>
        <w:rPr>
          <w:lang w:val="es-CO"/>
        </w:rPr>
        <w:t xml:space="preserve"> </w:t>
      </w:r>
    </w:p>
    <w:p>
      <w:pPr>
        <w:pStyle w:val="BodyText"/>
        <w:bidi w:val="0"/>
        <w:ind w:hanging="0" w:start="0" w:end="0"/>
        <w:jc w:val="center"/>
        <w:rPr>
          <w:lang w:val="es-CO"/>
        </w:rPr>
      </w:pPr>
      <w:r>
        <w:rPr/>
        <w:drawing>
          <wp:inline distT="0" distB="0" distL="0" distR="0">
            <wp:extent cx="3023870" cy="2520315"/>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7"/>
                    <a:stretch>
                      <a:fillRect/>
                    </a:stretch>
                  </pic:blipFill>
                  <pic:spPr bwMode="auto">
                    <a:xfrm>
                      <a:off x="0" y="0"/>
                      <a:ext cx="3023870" cy="2520315"/>
                    </a:xfrm>
                    <a:prstGeom prst="rect">
                      <a:avLst/>
                    </a:prstGeom>
                    <a:noFill/>
                  </pic:spPr>
                </pic:pic>
              </a:graphicData>
            </a:graphic>
          </wp:inline>
        </w:drawing>
      </w:r>
      <w:r>
        <w:rPr/>
        <w:drawing>
          <wp:inline distT="0" distB="0" distL="0" distR="0">
            <wp:extent cx="3023870" cy="252031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8"/>
                    <a:stretch>
                      <a:fillRect/>
                    </a:stretch>
                  </pic:blipFill>
                  <pic:spPr bwMode="auto">
                    <a:xfrm>
                      <a:off x="0" y="0"/>
                      <a:ext cx="3023870" cy="2520315"/>
                    </a:xfrm>
                    <a:prstGeom prst="rect">
                      <a:avLst/>
                    </a:prstGeom>
                    <a:noFill/>
                  </pic:spPr>
                </pic:pic>
              </a:graphicData>
            </a:graphic>
          </wp:inline>
        </w:drawing>
      </w:r>
    </w:p>
    <w:p>
      <w:pPr>
        <w:pStyle w:val="BodyText"/>
        <w:bidi w:val="0"/>
        <w:spacing w:lineRule="auto" w:line="252" w:before="0" w:after="0"/>
        <w:ind w:hanging="0" w:start="0" w:end="0"/>
        <w:jc w:val="both"/>
        <w:rPr>
          <w:lang w:val="es-CO"/>
        </w:rPr>
      </w:pPr>
      <w:bookmarkStart w:id="152" w:name="x1-6006r4"/>
      <w:bookmarkEnd w:id="152"/>
      <w:r>
        <w:rPr>
          <w:rFonts w:ascii="Times New Roman" w:hAnsi="Times New Roman"/>
          <w:sz w:val="16"/>
          <w:lang w:val="es-CO"/>
        </w:rPr>
        <w:t xml:space="preserve">Fig. 4. Mapas de (a) la intensidad media posterior </w:t>
      </w:r>
      <w:r>
        <w:rPr>
          <w:rFonts w:ascii="Times New Roman" w:hAnsi="Times New Roman"/>
          <w:b/>
          <w:i/>
          <w:sz w:val="16"/>
          <w:lang w:val="es-CO"/>
        </w:rPr>
        <w:t>(</w:t>
      </w:r>
      <w:r>
        <w:rPr>
          <w:rFonts w:ascii="Times New Roman" w:hAnsi="Times New Roman"/>
          <w:b/>
          <w:sz w:val="16"/>
          <w:lang w:val="es-CO"/>
        </w:rPr>
        <w:t>s</w:t>
      </w:r>
      <w:r>
        <w:rPr>
          <w:rFonts w:ascii="Times New Roman" w:hAnsi="Times New Roman"/>
          <w:b/>
          <w:i/>
          <w:sz w:val="16"/>
          <w:lang w:val="es-CO"/>
        </w:rPr>
        <w:t xml:space="preserve">) </w:t>
      </w:r>
      <w:r>
        <w:rPr>
          <w:rFonts w:ascii="Times New Roman" w:hAnsi="Times New Roman"/>
          <w:sz w:val="16"/>
          <w:lang w:val="es-CO"/>
        </w:rPr>
        <w:t>(eventos m</w:t>
      </w:r>
      <w:r>
        <w:rPr>
          <w:rFonts w:ascii="Times New Roman" w:hAnsi="Times New Roman"/>
          <w:b/>
          <w:i/>
          <w:position w:val="8"/>
          <w:sz w:val="16"/>
          <w:lang w:val="es-CO"/>
        </w:rPr>
        <w:t>-2</w:t>
      </w:r>
      <w:r>
        <w:rPr>
          <w:rFonts w:ascii="Times New Roman" w:hAnsi="Times New Roman"/>
          <w:sz w:val="16"/>
          <w:lang w:val="es-CO"/>
        </w:rPr>
        <w:t xml:space="preserve">) y (b) la desviación estándar posterior del modelo NHPP en el Valle de Aburrá. (a) Verde: baja susceptibilidad; rojo: alta susceptibilidad (escala logarítmica). (b) De violeta a amarillo: baja a alta incertidumbre en la estimación de </w:t>
      </w:r>
      <w:r>
        <w:rPr>
          <w:rFonts w:ascii="Times New Roman" w:hAnsi="Times New Roman"/>
          <w:b/>
          <w:i/>
          <w:sz w:val="16"/>
          <w:lang w:val="es-CO"/>
        </w:rPr>
        <w:t>λ(</w:t>
      </w:r>
      <w:r>
        <w:rPr>
          <w:rFonts w:ascii="Times New Roman" w:hAnsi="Times New Roman"/>
          <w:b/>
          <w:sz w:val="16"/>
          <w:lang w:val="es-CO"/>
        </w:rPr>
        <w:t>s</w:t>
      </w:r>
      <w:r>
        <w:rPr>
          <w:rFonts w:ascii="Times New Roman" w:hAnsi="Times New Roman"/>
          <w:b/>
          <w:i/>
          <w:sz w:val="16"/>
          <w:lang w:val="es-CO"/>
        </w:rPr>
        <w:t>)</w:t>
      </w:r>
      <w:r>
        <w:rPr>
          <w:rFonts w:ascii="Times New Roman" w:hAnsi="Times New Roman"/>
          <w:sz w:val="16"/>
          <w:lang w:val="es-CO"/>
        </w:rPr>
        <w:t xml:space="preserve">. </w:t>
      </w:r>
    </w:p>
    <w:p>
      <w:pPr>
        <w:pStyle w:val="HorizontalLine"/>
        <w:pBdr>
          <w:bottom w:val="double" w:sz="2" w:space="0" w:color="808080"/>
        </w:pBdr>
        <w:bidi w:val="0"/>
        <w:spacing w:before="0" w:after="283"/>
        <w:jc w:val="both"/>
        <w:rPr>
          <w:lang w:val="es-CO"/>
        </w:rPr>
      </w:pPr>
      <w:r>
        <w:rPr>
          <w:lang w:val="es-CO"/>
        </w:rPr>
      </w:r>
    </w:p>
    <w:p>
      <w:pPr>
        <w:pStyle w:val="BodyTextindent"/>
        <w:bidi w:val="0"/>
        <w:spacing w:lineRule="auto" w:line="252" w:before="0" w:after="0"/>
        <w:ind w:firstLine="280" w:start="0" w:end="0"/>
        <w:jc w:val="both"/>
        <w:rPr/>
      </w:pPr>
      <w:r>
        <w:rPr>
          <w:rFonts w:ascii="Times New Roman" w:hAnsi="Times New Roman"/>
          <w:sz w:val="20"/>
          <w:lang w:val="es-CO"/>
        </w:rPr>
        <w:t xml:space="preserve">El mapa de residuos de Pearson </w:t>
      </w:r>
      <w:r>
        <w:rPr>
          <w:rFonts w:ascii="Times New Roman" w:hAnsi="Times New Roman"/>
          <w:b/>
          <w:i/>
          <w:sz w:val="20"/>
          <w:lang w:val="es-CO"/>
        </w:rPr>
        <w:t>(n</w:t>
      </w:r>
      <w:r>
        <w:rPr>
          <w:rFonts w:ascii="Times New Roman" w:hAnsi="Times New Roman"/>
          <w:position w:val="-2"/>
          <w:sz w:val="20"/>
          <w:lang w:val="es-CO"/>
        </w:rPr>
        <w:t>obs</w:t>
      </w:r>
      <w:r>
        <w:rPr>
          <w:rFonts w:ascii="Times New Roman" w:hAnsi="Times New Roman"/>
          <w:sz w:val="20"/>
          <w:lang w:val="es-CO"/>
        </w:rPr>
        <w:t xml:space="preserve"> </w:t>
      </w:r>
      <w:r>
        <w:rPr>
          <w:rFonts w:ascii="Times New Roman" w:hAnsi="Times New Roman"/>
          <w:b/>
          <w:i/>
          <w:sz w:val="20"/>
          <w:lang w:val="es-CO"/>
        </w:rPr>
        <w:t>-n</w:t>
      </w:r>
      <w:r>
        <w:rPr>
          <w:rFonts w:ascii="Times New Roman" w:hAnsi="Times New Roman"/>
          <w:position w:val="-2"/>
          <w:sz w:val="20"/>
          <w:lang w:val="es-CO"/>
        </w:rPr>
        <w:t>esp</w:t>
      </w:r>
      <w:r>
        <w:rPr>
          <w:rFonts w:ascii="Times New Roman" w:hAnsi="Times New Roman"/>
          <w:b/>
          <w:i/>
          <w:sz w:val="20"/>
          <w:lang w:val="es-CO"/>
        </w:rPr>
        <w:t>)</w:t>
      </w:r>
      <w:r>
        <w:rPr>
          <w:rFonts w:ascii="Times New Roman" w:hAnsi="Times New Roman"/>
          <w:sz w:val="20"/>
          <w:lang w:val="es-CO"/>
        </w:rPr>
        <w:t>∕</w:t>
      </w:r>
      <w:r>
        <w:rPr/>
        <w:t>√(nₑₛₚ)</w:t>
      </w:r>
      <w:r>
        <w:rPr>
          <w:rFonts w:ascii="Times New Roman" w:hAnsi="Times New Roman"/>
          <w:sz w:val="20"/>
          <w:lang w:val="es-CO"/>
        </w:rPr>
        <w:t xml:space="preserve"> (Fig. </w:t>
      </w:r>
      <w:hyperlink w:anchor="x1-6007r5">
        <w:r>
          <w:rPr>
            <w:rStyle w:val="Hyperlink"/>
            <w:lang w:val="es-CO"/>
          </w:rPr>
          <w:t>5</w:t>
        </w:r>
      </w:hyperlink>
      <w:r>
        <w:rPr>
          <w:rFonts w:ascii="Times New Roman" w:hAnsi="Times New Roman"/>
          <w:sz w:val="20"/>
          <w:lang w:val="es-CO"/>
        </w:rPr>
        <w:t xml:space="preserve">) no muestra un patrón espacial sistemático con estructura geográfica definida, lo que indica que el modelo no presenta sesgo espacial evidente. Los residuos positivos más pronunciados se concentran puntualmente en algunas quebradas, posiblemente donde los registros históricos son incompletos o donde factores antrópicos locales amplifican la susceptibilidad. </w:t>
      </w:r>
    </w:p>
    <w:p>
      <w:pPr>
        <w:pStyle w:val="HorizontalLine"/>
        <w:pBdr>
          <w:bottom w:val="double" w:sz="2" w:space="0" w:color="808080"/>
        </w:pBdr>
        <w:bidi w:val="0"/>
        <w:spacing w:before="0" w:after="283"/>
        <w:jc w:val="both"/>
        <w:rPr>
          <w:lang w:val="es-CO"/>
        </w:rPr>
      </w:pPr>
      <w:r>
        <w:rPr>
          <w:lang w:val="es-CO"/>
        </w:rPr>
      </w:r>
    </w:p>
    <w:p>
      <w:pPr>
        <w:pStyle w:val="BodyText"/>
        <w:bidi w:val="0"/>
        <w:spacing w:before="0" w:after="0"/>
        <w:ind w:hanging="0" w:start="0" w:end="0"/>
        <w:jc w:val="center"/>
        <w:rPr>
          <w:lang w:val="es-CO"/>
        </w:rPr>
      </w:pPr>
      <w:r>
        <w:rPr/>
        <w:drawing>
          <wp:inline distT="0" distB="0" distL="0" distR="0">
            <wp:extent cx="3200400" cy="26670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9"/>
                    <a:stretch>
                      <a:fillRect/>
                    </a:stretch>
                  </pic:blipFill>
                  <pic:spPr bwMode="auto">
                    <a:xfrm>
                      <a:off x="0" y="0"/>
                      <a:ext cx="3200400" cy="2667000"/>
                    </a:xfrm>
                    <a:prstGeom prst="rect">
                      <a:avLst/>
                    </a:prstGeom>
                    <a:noFill/>
                  </pic:spPr>
                </pic:pic>
              </a:graphicData>
            </a:graphic>
          </wp:inline>
        </w:drawing>
      </w:r>
    </w:p>
    <w:p>
      <w:pPr>
        <w:pStyle w:val="BodyText"/>
        <w:bidi w:val="0"/>
        <w:spacing w:lineRule="auto" w:line="252" w:before="0" w:after="0"/>
        <w:ind w:hanging="0" w:start="0" w:end="0"/>
        <w:jc w:val="both"/>
        <w:rPr>
          <w:lang w:val="es-CO"/>
        </w:rPr>
      </w:pPr>
      <w:r>
        <w:rPr>
          <w:rFonts w:ascii="Times New Roman" w:hAnsi="Times New Roman"/>
          <w:sz w:val="16"/>
          <w:lang w:val="es-CO"/>
        </w:rPr>
        <w:t xml:space="preserve">Fig. 5. Mapa de residuos de Pearson </w:t>
      </w:r>
      <w:r>
        <w:rPr>
          <w:rFonts w:ascii="Times New Roman" w:hAnsi="Times New Roman"/>
          <w:b/>
          <w:i/>
          <w:sz w:val="16"/>
          <w:lang w:val="es-CO"/>
        </w:rPr>
        <w:t>(n</w:t>
      </w:r>
      <w:r>
        <w:rPr>
          <w:rFonts w:ascii="Times New Roman" w:hAnsi="Times New Roman"/>
          <w:position w:val="-2"/>
          <w:sz w:val="16"/>
          <w:lang w:val="es-CO"/>
        </w:rPr>
        <w:t>obs</w:t>
      </w:r>
      <w:r>
        <w:rPr>
          <w:rFonts w:ascii="Times New Roman" w:hAnsi="Times New Roman"/>
          <w:sz w:val="16"/>
          <w:lang w:val="es-CO"/>
        </w:rPr>
        <w:t xml:space="preserve"> </w:t>
      </w:r>
      <w:r>
        <w:rPr>
          <w:rFonts w:ascii="Times New Roman" w:hAnsi="Times New Roman"/>
          <w:b/>
          <w:i/>
          <w:sz w:val="16"/>
          <w:lang w:val="es-CO"/>
        </w:rPr>
        <w:t>-n</w:t>
      </w:r>
      <w:r>
        <w:rPr>
          <w:rFonts w:ascii="Times New Roman" w:hAnsi="Times New Roman"/>
          <w:position w:val="-2"/>
          <w:sz w:val="16"/>
          <w:lang w:val="es-CO"/>
        </w:rPr>
        <w:t>esp</w:t>
      </w:r>
      <w:r>
        <w:rPr>
          <w:rFonts w:ascii="Times New Roman" w:hAnsi="Times New Roman"/>
          <w:b/>
          <w:i/>
          <w:sz w:val="16"/>
          <w:lang w:val="es-CO"/>
        </w:rPr>
        <w:t>)</w:t>
      </w:r>
      <w:r>
        <w:rPr>
          <w:rFonts w:ascii="Times New Roman" w:hAnsi="Times New Roman"/>
          <w:sz w:val="16"/>
          <w:lang w:val="es-CO"/>
        </w:rPr>
        <w:t xml:space="preserve">∕ del modelo NHPP sobre el Valle de Aburrá. Rojo: celdas con más eventos de los esperados (posible subestimación de la susceptibilidad local o subreporte en el inventario). Azul: celdas con menos eventos de los esperados. </w:t>
      </w:r>
    </w:p>
    <w:p>
      <w:pPr>
        <w:pStyle w:val="HorizontalLine"/>
        <w:pBdr>
          <w:bottom w:val="double" w:sz="2" w:space="0" w:color="808080"/>
        </w:pBdr>
        <w:bidi w:val="0"/>
        <w:spacing w:before="0" w:after="283"/>
        <w:jc w:val="both"/>
        <w:rPr>
          <w:lang w:val="es-CO"/>
        </w:rPr>
      </w:pPr>
      <w:r>
        <w:rPr>
          <w:lang w:val="es-CO"/>
        </w:rPr>
      </w:r>
    </w:p>
    <w:p>
      <w:pPr>
        <w:pStyle w:val="BodyTextindent"/>
        <w:bidi w:val="0"/>
        <w:spacing w:lineRule="auto" w:line="252" w:before="0" w:after="0"/>
        <w:ind w:firstLine="280"/>
        <w:jc w:val="both"/>
        <w:rPr/>
      </w:pPr>
      <w:r>
        <w:rPr>
          <w:rFonts w:ascii="Times New Roman" w:hAnsi="Times New Roman"/>
          <w:sz w:val="20"/>
          <w:lang w:val="es-CO"/>
        </w:rPr>
        <w:t>La Tabla </w:t>
      </w:r>
      <w:hyperlink w:anchor="x1-6008r4">
        <w:r>
          <w:rPr>
            <w:rStyle w:val="Hyperlink"/>
            <w:lang w:val="es-CO"/>
          </w:rPr>
          <w:t>IV</w:t>
        </w:r>
      </w:hyperlink>
      <w:r>
        <w:rPr>
          <w:rFonts w:ascii="Times New Roman" w:hAnsi="Times New Roman"/>
          <w:sz w:val="20"/>
          <w:lang w:val="es-CO"/>
        </w:rPr>
        <w:t xml:space="preserve"> resume las métricas de ajuste del modelo. El modelo clasifica correctamente una celda con movimiento en masa por encima de una celda sin evento en aproximadamente el 76 % de los casos. La Fig. </w:t>
      </w:r>
      <w:hyperlink w:anchor="x1-6009r6">
        <w:r>
          <w:rPr>
            <w:rStyle w:val="Hyperlink"/>
            <w:lang w:val="es-CO"/>
          </w:rPr>
          <w:t>6</w:t>
        </w:r>
      </w:hyperlink>
      <w:r>
        <w:rPr>
          <w:rFonts w:ascii="Times New Roman" w:hAnsi="Times New Roman"/>
          <w:sz w:val="20"/>
          <w:lang w:val="es-CO"/>
        </w:rPr>
        <w:t xml:space="preserve"> muestra la curva ROC completa. </w:t>
      </w:r>
    </w:p>
    <w:p>
      <w:pPr>
        <w:pStyle w:val="HorizontalLine"/>
        <w:pBdr>
          <w:bottom w:val="double" w:sz="2" w:space="0" w:color="808080"/>
        </w:pBdr>
        <w:bidi w:val="0"/>
        <w:spacing w:before="0" w:after="283"/>
        <w:jc w:val="both"/>
        <w:rPr>
          <w:lang w:val="es-CO"/>
        </w:rPr>
      </w:pPr>
      <w:r>
        <w:rPr>
          <w:lang w:val="es-CO"/>
        </w:rPr>
      </w:r>
    </w:p>
    <w:p>
      <w:pPr>
        <w:pStyle w:val="BodyText"/>
        <w:bidi w:val="0"/>
        <w:spacing w:lineRule="auto" w:line="252" w:before="120" w:after="40"/>
        <w:ind w:hanging="0" w:start="0" w:end="0"/>
        <w:jc w:val="center"/>
        <w:rPr>
          <w:lang w:val="es-CO"/>
        </w:rPr>
      </w:pPr>
      <w:bookmarkStart w:id="153" w:name="x1-6008r4"/>
      <w:bookmarkEnd w:id="153"/>
      <w:r>
        <w:rPr>
          <w:rFonts w:ascii="Times New Roman" w:hAnsi="Times New Roman"/>
          <w:smallCaps/>
          <w:sz w:val="16"/>
          <w:lang w:val="es-CO"/>
        </w:rPr>
        <w:t xml:space="preserve">Tabla IV: Métricas de ajuste del modelo NHPP sobre el dominio completo (MDE </w:t>
      </w:r>
      <w:r>
        <w:rPr>
          <w:rFonts w:ascii="Times New Roman" w:hAnsi="Times New Roman"/>
          <w:b/>
          <w:i/>
          <w:smallCaps/>
          <w:sz w:val="16"/>
          <w:lang w:val="es-CO"/>
        </w:rPr>
        <w:t>2 m</w:t>
      </w:r>
      <w:r>
        <w:rPr>
          <w:rFonts w:ascii="Times New Roman" w:hAnsi="Times New Roman"/>
          <w:smallCaps/>
          <w:sz w:val="16"/>
          <w:lang w:val="es-CO"/>
        </w:rPr>
        <w:t xml:space="preserve">, cuatro predictores). </w:t>
      </w:r>
    </w:p>
    <w:p>
      <w:pPr>
        <w:pStyle w:val="Normal"/>
        <w:bidi w:val="0"/>
        <w:spacing w:before="0" w:after="0"/>
        <w:jc w:val="both"/>
        <w:rPr>
          <w:sz w:val="4"/>
          <w:szCs w:val="4"/>
          <w:lang w:val="es-CO"/>
        </w:rPr>
      </w:pPr>
      <w:r>
        <w:rPr>
          <w:sz w:val="4"/>
          <w:szCs w:val="4"/>
          <w:lang w:val="es-CO"/>
        </w:rPr>
      </w:r>
      <w:bookmarkStart w:id="154" w:name="TBL-5-1-"/>
      <w:bookmarkStart w:id="155" w:name="TBL-5-2"/>
      <w:bookmarkStart w:id="156" w:name="TBL-5-1"/>
      <w:bookmarkStart w:id="157" w:name="TBL-5-1g"/>
      <w:bookmarkStart w:id="158" w:name="TBL-5"/>
      <w:bookmarkStart w:id="159" w:name="TBL-5-1-"/>
      <w:bookmarkStart w:id="160" w:name="TBL-5-2"/>
      <w:bookmarkStart w:id="161" w:name="TBL-5-1"/>
      <w:bookmarkStart w:id="162" w:name="TBL-5-1g"/>
      <w:bookmarkStart w:id="163" w:name="TBL-5"/>
      <w:bookmarkEnd w:id="159"/>
      <w:bookmarkEnd w:id="160"/>
      <w:bookmarkEnd w:id="161"/>
      <w:bookmarkEnd w:id="162"/>
      <w:bookmarkEnd w:id="163"/>
    </w:p>
    <w:tbl>
      <w:tblPr>
        <w:tblW w:w="4483" w:type="dxa"/>
        <w:jc w:val="start"/>
        <w:tblInd w:w="0" w:type="dxa"/>
        <w:tblLayout w:type="fixed"/>
        <w:tblCellMar>
          <w:top w:w="28" w:type="dxa"/>
          <w:start w:w="28" w:type="dxa"/>
          <w:bottom w:w="28" w:type="dxa"/>
          <w:end w:w="28" w:type="dxa"/>
        </w:tblCellMar>
      </w:tblPr>
      <w:tblGrid>
        <w:gridCol w:w="2531"/>
        <w:gridCol w:w="1952"/>
      </w:tblGrid>
      <w:tr>
        <w:trPr/>
        <w:tc>
          <w:tcPr>
            <w:tcW w:w="2531" w:type="dxa"/>
            <w:tcBorders/>
            <w:vAlign w:val="center"/>
          </w:tcPr>
          <w:p>
            <w:pPr>
              <w:pStyle w:val="TableContents"/>
              <w:bidi w:val="0"/>
              <w:spacing w:lineRule="auto" w:line="252" w:before="0" w:after="0"/>
              <w:ind w:hanging="0" w:start="0" w:end="0"/>
              <w:jc w:val="center"/>
              <w:rPr>
                <w:lang w:val="es-CO"/>
              </w:rPr>
            </w:pPr>
            <w:bookmarkStart w:id="164" w:name="TBL-5-1-1"/>
            <w:bookmarkEnd w:id="164"/>
            <w:r>
              <w:rPr>
                <w:rFonts w:ascii="Times New Roman" w:hAnsi="Times New Roman"/>
                <w:sz w:val="16"/>
                <w:lang w:val="es-CO"/>
              </w:rPr>
              <w:t xml:space="preserve">Métrica </w:t>
            </w:r>
            <w:bookmarkStart w:id="165" w:name="TBL-5-1-2"/>
            <w:bookmarkEnd w:id="165"/>
          </w:p>
        </w:tc>
        <w:tc>
          <w:tcPr>
            <w:tcW w:w="1952"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Valor </w:t>
            </w:r>
            <w:bookmarkStart w:id="166" w:name="TBL-5-2-1"/>
            <w:bookmarkStart w:id="167" w:name="TBL-5-2-"/>
            <w:bookmarkEnd w:id="166"/>
            <w:bookmarkEnd w:id="167"/>
          </w:p>
        </w:tc>
      </w:tr>
      <w:tr>
        <w:trPr/>
        <w:tc>
          <w:tcPr>
            <w:tcW w:w="2531"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AUC (ROC) </w:t>
            </w:r>
            <w:bookmarkStart w:id="168" w:name="TBL-5-2-2"/>
            <w:bookmarkEnd w:id="168"/>
          </w:p>
        </w:tc>
        <w:tc>
          <w:tcPr>
            <w:tcW w:w="195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0,762 </w:t>
            </w:r>
            <w:bookmarkStart w:id="169" w:name="TBL-5-3-1"/>
            <w:bookmarkStart w:id="170" w:name="TBL-5-3-"/>
            <w:bookmarkEnd w:id="169"/>
            <w:bookmarkEnd w:id="170"/>
          </w:p>
        </w:tc>
      </w:tr>
      <w:tr>
        <w:trPr/>
        <w:tc>
          <w:tcPr>
            <w:tcW w:w="2531"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Número total de eventos </w:t>
            </w:r>
            <w:bookmarkStart w:id="171" w:name="TBL-5-3-2"/>
            <w:bookmarkEnd w:id="171"/>
          </w:p>
        </w:tc>
        <w:tc>
          <w:tcPr>
            <w:tcW w:w="195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2504 </w:t>
            </w:r>
            <w:bookmarkStart w:id="172" w:name="TBL-5-4-1"/>
            <w:bookmarkStart w:id="173" w:name="TBL-5-4-"/>
            <w:bookmarkEnd w:id="172"/>
            <w:bookmarkEnd w:id="173"/>
          </w:p>
        </w:tc>
      </w:tr>
      <w:tr>
        <w:trPr/>
        <w:tc>
          <w:tcPr>
            <w:tcW w:w="2531"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Intensidad media </w:t>
            </w:r>
            <w:bookmarkStart w:id="174" w:name="TBL-5-4-2"/>
            <w:bookmarkEnd w:id="174"/>
          </w:p>
        </w:tc>
        <w:tc>
          <w:tcPr>
            <w:tcW w:w="195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 xml:space="preserve">7,08 </w:t>
            </w:r>
            <w:r>
              <w:rPr>
                <w:rFonts w:ascii="Times New Roman" w:hAnsi="Times New Roman"/>
                <w:sz w:val="16"/>
                <w:lang w:val="es-CO"/>
              </w:rPr>
              <w:t>eventos km</w:t>
            </w:r>
            <w:r>
              <w:rPr>
                <w:rFonts w:ascii="Times New Roman" w:hAnsi="Times New Roman"/>
                <w:b/>
                <w:i/>
                <w:position w:val="8"/>
                <w:sz w:val="16"/>
                <w:lang w:val="es-CO"/>
              </w:rPr>
              <w:t>-2</w:t>
            </w:r>
            <w:r>
              <w:rPr>
                <w:rFonts w:ascii="Times New Roman" w:hAnsi="Times New Roman"/>
                <w:sz w:val="16"/>
                <w:lang w:val="es-CO"/>
              </w:rPr>
              <w:t xml:space="preserve"> </w:t>
            </w:r>
            <w:bookmarkStart w:id="175" w:name="TBL-5-5-1"/>
            <w:bookmarkStart w:id="176" w:name="TBL-5-5-"/>
            <w:bookmarkEnd w:id="175"/>
            <w:bookmarkEnd w:id="176"/>
          </w:p>
        </w:tc>
      </w:tr>
      <w:tr>
        <w:trPr/>
        <w:tc>
          <w:tcPr>
            <w:tcW w:w="2531" w:type="dxa"/>
            <w:tcBorders/>
            <w:vAlign w:val="center"/>
          </w:tcPr>
          <w:p>
            <w:pPr>
              <w:pStyle w:val="TableContents"/>
              <w:bidi w:val="0"/>
              <w:spacing w:lineRule="auto" w:line="252" w:before="0" w:after="0"/>
              <w:ind w:hanging="0" w:start="0" w:end="0"/>
              <w:jc w:val="center"/>
              <w:rPr>
                <w:lang w:val="es-CO"/>
              </w:rPr>
            </w:pPr>
            <w:r>
              <w:rPr>
                <w:rFonts w:ascii="Times New Roman" w:hAnsi="Times New Roman"/>
                <w:sz w:val="16"/>
                <w:lang w:val="es-CO"/>
              </w:rPr>
              <w:t xml:space="preserve">Área del dominio </w:t>
            </w:r>
            <w:bookmarkStart w:id="177" w:name="TBL-5-5-2"/>
            <w:bookmarkEnd w:id="177"/>
          </w:p>
        </w:tc>
        <w:tc>
          <w:tcPr>
            <w:tcW w:w="1952" w:type="dxa"/>
            <w:tcBorders/>
            <w:vAlign w:val="center"/>
          </w:tcPr>
          <w:p>
            <w:pPr>
              <w:pStyle w:val="TableContents"/>
              <w:bidi w:val="0"/>
              <w:spacing w:lineRule="auto" w:line="252" w:before="0" w:after="0"/>
              <w:ind w:hanging="0" w:start="0" w:end="0"/>
              <w:jc w:val="center"/>
              <w:rPr>
                <w:lang w:val="es-CO"/>
              </w:rPr>
            </w:pPr>
            <w:r>
              <w:rPr>
                <w:rFonts w:ascii="Times New Roman" w:hAnsi="Times New Roman"/>
                <w:b/>
                <w:i/>
                <w:sz w:val="16"/>
                <w:lang w:val="es-CO"/>
              </w:rPr>
              <w:t>335,21</w:t>
            </w:r>
            <w:r>
              <w:rPr>
                <w:rFonts w:ascii="Times New Roman" w:hAnsi="Times New Roman"/>
                <w:sz w:val="16"/>
                <w:lang w:val="es-CO"/>
              </w:rPr>
              <w:t xml:space="preserve"> </w:t>
            </w:r>
            <w:r>
              <w:rPr>
                <w:rFonts w:ascii="Times New Roman" w:hAnsi="Times New Roman"/>
                <w:b/>
                <w:i/>
                <w:sz w:val="16"/>
                <w:lang w:val="es-CO"/>
              </w:rPr>
              <w:t>km</w:t>
            </w:r>
            <w:r>
              <w:rPr>
                <w:rFonts w:ascii="Times New Roman" w:hAnsi="Times New Roman"/>
                <w:b/>
                <w:i/>
                <w:position w:val="8"/>
                <w:sz w:val="16"/>
                <w:lang w:val="es-CO"/>
              </w:rPr>
              <w:t>2</w:t>
            </w:r>
            <w:r>
              <w:rPr>
                <w:rFonts w:ascii="Times New Roman" w:hAnsi="Times New Roman"/>
                <w:sz w:val="16"/>
                <w:lang w:val="es-CO"/>
              </w:rPr>
              <w:t xml:space="preserve"> </w:t>
            </w:r>
            <w:bookmarkStart w:id="178" w:name="TBL-5-6-1"/>
            <w:bookmarkStart w:id="179" w:name="TBL-5-6-"/>
            <w:bookmarkEnd w:id="178"/>
            <w:bookmarkEnd w:id="179"/>
          </w:p>
        </w:tc>
      </w:tr>
      <w:tr>
        <w:trPr/>
        <w:tc>
          <w:tcPr>
            <w:tcW w:w="2531" w:type="dxa"/>
            <w:tcBorders/>
            <w:vAlign w:val="center"/>
          </w:tcPr>
          <w:p>
            <w:pPr>
              <w:pStyle w:val="TableContents"/>
              <w:bidi w:val="0"/>
              <w:spacing w:lineRule="auto" w:line="252" w:before="0" w:after="0"/>
              <w:ind w:hanging="0"/>
              <w:jc w:val="center"/>
              <w:rPr>
                <w:sz w:val="4"/>
                <w:szCs w:val="4"/>
                <w:lang w:val="es-CO"/>
              </w:rPr>
            </w:pPr>
            <w:r>
              <w:rPr>
                <w:sz w:val="4"/>
                <w:szCs w:val="4"/>
                <w:lang w:val="es-CO"/>
              </w:rPr>
            </w:r>
          </w:p>
        </w:tc>
        <w:tc>
          <w:tcPr>
            <w:tcW w:w="1952" w:type="dxa"/>
            <w:tcBorders/>
          </w:tcPr>
          <w:p>
            <w:pPr>
              <w:pStyle w:val="TableContents"/>
              <w:bidi w:val="0"/>
              <w:spacing w:lineRule="auto" w:line="252" w:before="0" w:after="0"/>
              <w:ind w:hanging="0"/>
              <w:jc w:val="center"/>
              <w:rPr>
                <w:sz w:val="4"/>
                <w:szCs w:val="4"/>
                <w:lang w:val="es-CO"/>
              </w:rPr>
            </w:pPr>
            <w:r>
              <w:rPr>
                <w:sz w:val="4"/>
                <w:szCs w:val="4"/>
                <w:lang w:val="es-CO"/>
              </w:rPr>
            </w:r>
          </w:p>
        </w:tc>
      </w:tr>
    </w:tbl>
    <w:p>
      <w:pPr>
        <w:pStyle w:val="HorizontalLine"/>
        <w:pBdr>
          <w:bottom w:val="double" w:sz="2" w:space="0" w:color="808080"/>
        </w:pBdr>
        <w:bidi w:val="0"/>
        <w:spacing w:before="0" w:after="283"/>
        <w:jc w:val="both"/>
        <w:rPr>
          <w:lang w:val="es-CO"/>
        </w:rPr>
      </w:pPr>
      <w:r>
        <w:rPr>
          <w:lang w:val="es-CO"/>
        </w:rPr>
      </w:r>
    </w:p>
    <w:p>
      <w:pPr>
        <w:pStyle w:val="HorizontalLine"/>
        <w:pBdr>
          <w:bottom w:val="double" w:sz="2" w:space="0" w:color="808080"/>
        </w:pBdr>
        <w:bidi w:val="0"/>
        <w:spacing w:before="0" w:after="283"/>
        <w:jc w:val="both"/>
        <w:rPr>
          <w:lang w:val="es-CO"/>
        </w:rPr>
      </w:pPr>
      <w:r>
        <w:rPr>
          <w:lang w:val="es-CO"/>
        </w:rPr>
      </w:r>
    </w:p>
    <w:p>
      <w:pPr>
        <w:pStyle w:val="BodyText"/>
        <w:bidi w:val="0"/>
        <w:spacing w:before="0" w:after="0"/>
        <w:ind w:hanging="0" w:start="0" w:end="0"/>
        <w:jc w:val="center"/>
        <w:rPr>
          <w:lang w:val="es-CO"/>
        </w:rPr>
      </w:pPr>
      <w:r>
        <w:rPr/>
        <w:drawing>
          <wp:inline distT="0" distB="0" distL="0" distR="0">
            <wp:extent cx="3200400" cy="320040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0"/>
                    <a:stretch>
                      <a:fillRect/>
                    </a:stretch>
                  </pic:blipFill>
                  <pic:spPr bwMode="auto">
                    <a:xfrm>
                      <a:off x="0" y="0"/>
                      <a:ext cx="3200400" cy="3200400"/>
                    </a:xfrm>
                    <a:prstGeom prst="rect">
                      <a:avLst/>
                    </a:prstGeom>
                    <a:noFill/>
                  </pic:spPr>
                </pic:pic>
              </a:graphicData>
            </a:graphic>
          </wp:inline>
        </w:drawing>
      </w:r>
    </w:p>
    <w:p>
      <w:pPr>
        <w:pStyle w:val="BodyText"/>
        <w:bidi w:val="0"/>
        <w:spacing w:lineRule="auto" w:line="252" w:before="0" w:after="0"/>
        <w:ind w:hanging="0" w:start="0" w:end="0"/>
        <w:jc w:val="both"/>
        <w:rPr>
          <w:lang w:val="es-CO"/>
        </w:rPr>
      </w:pPr>
      <w:r>
        <w:rPr>
          <w:rFonts w:ascii="Times New Roman" w:hAnsi="Times New Roman"/>
          <w:sz w:val="16"/>
          <w:lang w:val="es-CO"/>
        </w:rPr>
        <w:t>Fig. 6. Curva ROC del modelo NHPP evaluada sobre una grilla hexagonal de ≈</w:t>
      </w:r>
      <w:r>
        <w:rPr>
          <w:rFonts w:ascii="Times New Roman" w:hAnsi="Times New Roman"/>
          <w:b/>
          <w:i/>
          <w:sz w:val="16"/>
          <w:lang w:val="es-CO"/>
        </w:rPr>
        <w:t>0,25</w:t>
      </w:r>
      <w:r>
        <w:rPr>
          <w:rFonts w:ascii="Times New Roman" w:hAnsi="Times New Roman"/>
          <w:sz w:val="16"/>
          <w:lang w:val="es-CO"/>
        </w:rPr>
        <w:t>km</w:t>
      </w:r>
      <w:r>
        <w:rPr>
          <w:rFonts w:ascii="Times New Roman" w:hAnsi="Times New Roman"/>
          <w:b/>
          <w:i/>
          <w:position w:val="8"/>
          <w:sz w:val="16"/>
          <w:lang w:val="es-CO"/>
        </w:rPr>
        <w:t>2</w:t>
      </w:r>
      <w:r>
        <w:rPr>
          <w:rFonts w:ascii="Times New Roman" w:hAnsi="Times New Roman"/>
          <w:sz w:val="16"/>
          <w:lang w:val="es-CO"/>
        </w:rPr>
        <w:t xml:space="preserve"> en el dominio completo. El eje horizontal es la tasa de falsos positivos y el vertical la tasa de verdaderos positivos. La línea diagonal punteada representa un clasificador aleatorio (AUC </w:t>
      </w:r>
      <w:r>
        <w:rPr>
          <w:rFonts w:ascii="Times New Roman" w:hAnsi="Times New Roman"/>
          <w:b/>
          <w:i/>
          <w:sz w:val="16"/>
          <w:lang w:val="es-CO"/>
        </w:rPr>
        <w:t>= 0,5</w:t>
      </w:r>
      <w:r>
        <w:rPr>
          <w:rFonts w:ascii="Times New Roman" w:hAnsi="Times New Roman"/>
          <w:sz w:val="16"/>
          <w:lang w:val="es-CO"/>
        </w:rPr>
        <w:t xml:space="preserve">). </w:t>
      </w:r>
    </w:p>
    <w:p>
      <w:pPr>
        <w:pStyle w:val="HorizontalLine"/>
        <w:pBdr>
          <w:bottom w:val="double" w:sz="2" w:space="0" w:color="808080"/>
        </w:pBdr>
        <w:bidi w:val="0"/>
        <w:spacing w:before="0" w:after="283"/>
        <w:jc w:val="both"/>
        <w:rPr>
          <w:lang w:val="es-CO"/>
        </w:rPr>
      </w:pPr>
      <w:r>
        <w:rPr>
          <w:lang w:val="es-CO"/>
        </w:rPr>
      </w:r>
    </w:p>
    <w:p>
      <w:pPr>
        <w:pStyle w:val="Heading3"/>
        <w:bidi w:val="0"/>
        <w:spacing w:lineRule="auto" w:line="252" w:before="120" w:after="60"/>
        <w:ind w:hanging="0" w:start="0" w:end="0"/>
        <w:jc w:val="center"/>
        <w:rPr>
          <w:lang w:val="es-CO"/>
        </w:rPr>
      </w:pPr>
      <w:r>
        <w:rPr>
          <w:rFonts w:ascii="Times New Roman" w:hAnsi="Times New Roman"/>
          <w:b w:val="false"/>
          <w:smallCaps/>
          <w:sz w:val="20"/>
          <w:lang w:val="es-CO"/>
        </w:rPr>
        <w:t xml:space="preserve">VI. </w:t>
      </w:r>
      <w:bookmarkStart w:id="180" w:name="x1-7000VI"/>
      <w:bookmarkEnd w:id="180"/>
      <w:r>
        <w:rPr>
          <w:rFonts w:ascii="Times New Roman" w:hAnsi="Times New Roman"/>
          <w:b w:val="false"/>
          <w:smallCaps/>
          <w:sz w:val="20"/>
          <w:lang w:val="es-CO"/>
        </w:rPr>
        <w:t>Discusión</w:t>
      </w:r>
    </w:p>
    <w:p>
      <w:pPr>
        <w:pStyle w:val="BodyText"/>
        <w:bidi w:val="0"/>
        <w:spacing w:lineRule="auto" w:line="252" w:before="0" w:after="0"/>
        <w:ind w:firstLine="280" w:start="0" w:end="0"/>
        <w:jc w:val="both"/>
        <w:rPr/>
      </w:pPr>
      <w:r>
        <w:rPr>
          <w:rFonts w:ascii="Times New Roman" w:hAnsi="Times New Roman"/>
          <w:sz w:val="20"/>
          <w:lang w:val="es-CO"/>
        </w:rPr>
        <w:t xml:space="preserve">La susceptibilidad a los movimientos en masa puede modelarse mediante distribuciones de Poisson bajo dos paradigmas espaciales que conviene contrastar. El </w:t>
      </w:r>
      <w:r>
        <w:rPr>
          <w:rFonts w:ascii="Times New Roman" w:hAnsi="Times New Roman"/>
          <w:i/>
          <w:sz w:val="20"/>
          <w:lang w:val="es-CO"/>
        </w:rPr>
        <w:t xml:space="preserve">modelo de área </w:t>
      </w:r>
      <w:r>
        <w:rPr>
          <w:rFonts w:ascii="Times New Roman" w:hAnsi="Times New Roman"/>
          <w:sz w:val="20"/>
          <w:lang w:val="es-CO"/>
        </w:rPr>
        <w:t xml:space="preserve">agrega los eventos en polígonos discretos y modela el conteo </w:t>
      </w:r>
      <w:r>
        <w:rPr>
          <w:rFonts w:ascii="Times New Roman" w:hAnsi="Times New Roman"/>
          <w:b/>
          <w:i/>
          <w:sz w:val="20"/>
          <w:lang w:val="es-CO"/>
        </w:rPr>
        <w:t>y</w:t>
      </w:r>
      <w:r>
        <w:rPr>
          <w:rFonts w:ascii="Times New Roman" w:hAnsi="Times New Roman"/>
          <w:b/>
          <w:i/>
          <w:position w:val="-2"/>
          <w:sz w:val="20"/>
          <w:lang w:val="es-CO"/>
        </w:rPr>
        <w:t>i</w:t>
      </w:r>
      <w:r>
        <w:rPr>
          <w:rFonts w:ascii="Times New Roman" w:hAnsi="Times New Roman"/>
          <w:sz w:val="20"/>
          <w:lang w:val="es-CO"/>
        </w:rPr>
        <w:t xml:space="preserve"> en la unidad </w:t>
      </w:r>
      <w:r>
        <w:rPr>
          <w:rFonts w:ascii="Times New Roman" w:hAnsi="Times New Roman"/>
          <w:b/>
          <w:i/>
          <w:sz w:val="20"/>
          <w:lang w:val="es-CO"/>
        </w:rPr>
        <w:t>i</w:t>
      </w:r>
      <w:r>
        <w:rPr>
          <w:rFonts w:ascii="Times New Roman" w:hAnsi="Times New Roman"/>
          <w:sz w:val="20"/>
          <w:lang w:val="es-CO"/>
        </w:rPr>
        <w:t xml:space="preserve"> como </w:t>
      </w:r>
      <w:r>
        <w:rPr>
          <w:rFonts w:ascii="Times New Roman" w:hAnsi="Times New Roman"/>
          <w:b/>
          <w:i/>
          <w:sz w:val="20"/>
          <w:lang w:val="es-CO"/>
        </w:rPr>
        <w:t>y</w:t>
      </w:r>
      <w:r>
        <w:rPr>
          <w:rFonts w:ascii="Times New Roman" w:hAnsi="Times New Roman"/>
          <w:b/>
          <w:i/>
          <w:position w:val="-2"/>
          <w:sz w:val="20"/>
          <w:lang w:val="es-CO"/>
        </w:rPr>
        <w:t>i</w:t>
      </w:r>
      <w:r>
        <w:rPr>
          <w:rFonts w:ascii="Times New Roman" w:hAnsi="Times New Roman"/>
          <w:sz w:val="20"/>
          <w:lang w:val="es-CO"/>
        </w:rPr>
        <w:t xml:space="preserve"> </w:t>
      </w:r>
      <w:r>
        <w:rPr>
          <w:rFonts w:ascii="Times New Roman" w:hAnsi="Times New Roman"/>
          <w:b/>
          <w:i/>
          <w:sz w:val="20"/>
          <w:lang w:val="es-CO"/>
        </w:rPr>
        <w:t>~</w:t>
      </w:r>
      <w:r>
        <w:rPr>
          <w:rFonts w:ascii="Times New Roman" w:hAnsi="Times New Roman"/>
          <w:sz w:val="20"/>
          <w:lang w:val="es-CO"/>
        </w:rPr>
        <w:t xml:space="preserve"> Poisson</w:t>
      </w:r>
      <w:r>
        <w:rPr>
          <w:rFonts w:ascii="Times New Roman" w:hAnsi="Times New Roman"/>
          <w:b/>
          <w:i/>
          <w:sz w:val="20"/>
          <w:lang w:val="es-CO"/>
        </w:rPr>
        <w:t>(λ</w:t>
      </w:r>
      <w:r>
        <w:rPr>
          <w:rFonts w:ascii="Times New Roman" w:hAnsi="Times New Roman"/>
          <w:b/>
          <w:i/>
          <w:position w:val="-2"/>
          <w:sz w:val="20"/>
          <w:lang w:val="es-CO"/>
        </w:rPr>
        <w:t>i</w:t>
      </w:r>
      <w:r>
        <w:rPr>
          <w:rFonts w:ascii="Times New Roman" w:hAnsi="Times New Roman"/>
          <w:b/>
          <w:i/>
          <w:sz w:val="20"/>
          <w:lang w:val="es-CO"/>
        </w:rPr>
        <w:t>A</w:t>
      </w:r>
      <w:r>
        <w:rPr>
          <w:rFonts w:ascii="Times New Roman" w:hAnsi="Times New Roman"/>
          <w:b/>
          <w:i/>
          <w:position w:val="-2"/>
          <w:sz w:val="20"/>
          <w:lang w:val="es-CO"/>
        </w:rPr>
        <w:t>i</w:t>
      </w:r>
      <w:r>
        <w:rPr>
          <w:rFonts w:ascii="Times New Roman" w:hAnsi="Times New Roman"/>
          <w:b/>
          <w:i/>
          <w:sz w:val="20"/>
          <w:lang w:val="es-CO"/>
        </w:rPr>
        <w:t xml:space="preserve">) </w:t>
      </w:r>
      <w:r>
        <w:rPr>
          <w:rFonts w:ascii="Times New Roman" w:hAnsi="Times New Roman"/>
          <w:sz w:val="20"/>
          <w:lang w:val="es-CO"/>
        </w:rPr>
        <w:t>[</w:t>
      </w:r>
      <w:hyperlink w:anchor="Xaristizabal2025ag">
        <w:r>
          <w:rPr>
            <w:rStyle w:val="Hyperlink"/>
            <w:lang w:val="es-CO"/>
          </w:rPr>
          <w:t>11</w:t>
        </w:r>
      </w:hyperlink>
      <w:r>
        <w:rPr>
          <w:rFonts w:ascii="Times New Roman" w:hAnsi="Times New Roman"/>
          <w:sz w:val="20"/>
          <w:lang w:val="es-CO"/>
        </w:rPr>
        <w:t xml:space="preserve">]. Sus ventajas son la eficiencia computacional y la interpretabilidad directa de los efectos aleatorios espaciales como variaciones regionales de la susceptibilidad no explicadas por los predictores fijos. La principal limitación es que la intensidad estimada es constante dentro de cada polígono independientemente de la variabilidad topográfica interna, y que los resultados dependen del tamaño y la forma de las unidades de análisis elegidas, lo que puede introducir discontinuidades artificiales en los límites de los polígonos. </w:t>
      </w:r>
    </w:p>
    <w:p>
      <w:pPr>
        <w:pStyle w:val="BodyTextindent"/>
        <w:bidi w:val="0"/>
        <w:spacing w:lineRule="auto" w:line="252" w:before="0" w:after="0"/>
        <w:ind w:firstLine="280" w:start="0" w:end="0"/>
        <w:jc w:val="both"/>
        <w:rPr>
          <w:lang w:val="es-CO"/>
        </w:rPr>
      </w:pPr>
      <w:r>
        <w:rPr>
          <w:rFonts w:ascii="Times New Roman" w:hAnsi="Times New Roman"/>
          <w:sz w:val="20"/>
          <w:lang w:val="es-CO"/>
        </w:rPr>
        <w:t xml:space="preserve">El proceso puntual espacial adoptado en este trabajo supera estas limitaciones estructurales. La función de intensidad </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 xml:space="preserve">) </w:t>
      </w:r>
      <w:r>
        <w:rPr>
          <w:rFonts w:ascii="Times New Roman" w:hAnsi="Times New Roman"/>
          <w:sz w:val="20"/>
          <w:lang w:val="es-CO"/>
        </w:rPr>
        <w:t xml:space="preserve">varía de forma continua en cada coordenada del dominio, utilizando las covariables exactas en ese punto y produciendo una superficie de susceptibilidad suave sin discontinuidades en los límites de polígonos ni dependencia del tamaño de las unidades de análisis. En los Andes, donde la pendiente puede cambiar en distancias de pocos metros, esta propiedad es fundamental para representar fielmente la distribución espacial de la amenaza a escala de ladera. Además, el NHPP no requiere </w:t>
      </w:r>
      <w:r>
        <w:rPr>
          <w:rFonts w:ascii="Times New Roman" w:hAnsi="Times New Roman"/>
          <w:i/>
          <w:sz w:val="20"/>
          <w:lang w:val="es-CO"/>
        </w:rPr>
        <w:t xml:space="preserve">offset </w:t>
      </w:r>
      <w:r>
        <w:rPr>
          <w:rFonts w:ascii="Times New Roman" w:hAnsi="Times New Roman"/>
          <w:sz w:val="20"/>
          <w:lang w:val="es-CO"/>
        </w:rPr>
        <w:t xml:space="preserve">de área —la integral ∫ </w:t>
      </w:r>
      <w:r>
        <w:rPr>
          <w:rFonts w:ascii="Times New Roman" w:hAnsi="Times New Roman"/>
          <w:b/>
          <w:i/>
          <w:position w:val="-2"/>
          <w:sz w:val="20"/>
          <w:lang w:val="es-CO"/>
        </w:rPr>
        <w:t>A</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)d</w:t>
      </w:r>
      <w:r>
        <w:rPr>
          <w:rFonts w:ascii="Times New Roman" w:hAnsi="Times New Roman"/>
          <w:b/>
          <w:sz w:val="20"/>
          <w:lang w:val="es-CO"/>
        </w:rPr>
        <w:t>s</w:t>
      </w:r>
      <w:r>
        <w:rPr>
          <w:rFonts w:ascii="Times New Roman" w:hAnsi="Times New Roman"/>
          <w:sz w:val="20"/>
          <w:lang w:val="es-CO"/>
        </w:rPr>
        <w:t xml:space="preserve"> da directamente el número esperado de eventos en cualquier región </w:t>
      </w:r>
      <w:r>
        <w:rPr>
          <w:rFonts w:ascii="Times New Roman" w:hAnsi="Times New Roman"/>
          <w:b/>
          <w:i/>
          <w:sz w:val="20"/>
          <w:lang w:val="es-CO"/>
        </w:rPr>
        <w:t>A</w:t>
      </w:r>
      <w:r>
        <w:rPr>
          <w:rFonts w:ascii="Times New Roman" w:hAnsi="Times New Roman"/>
          <w:sz w:val="20"/>
          <w:lang w:val="es-CO"/>
        </w:rPr>
        <w:t xml:space="preserve">— ni demanda definir celdas sin deslizamientos. La contrapartida es un mayor costo computacional: la integral ∫ </w:t>
      </w:r>
      <w:r>
        <w:rPr>
          <w:rFonts w:ascii="Times New Roman" w:hAnsi="Times New Roman"/>
          <w:b/>
          <w:i/>
          <w:position w:val="-2"/>
          <w:sz w:val="20"/>
          <w:lang w:val="es-CO"/>
        </w:rPr>
        <w:t>Ω</w:t>
      </w:r>
      <w:r>
        <w:rPr>
          <w:rFonts w:ascii="Times New Roman" w:hAnsi="Times New Roman"/>
          <w:b/>
          <w:i/>
          <w:sz w:val="20"/>
          <w:lang w:val="es-CO"/>
        </w:rPr>
        <w:t>λ(</w:t>
      </w:r>
      <w:r>
        <w:rPr>
          <w:rFonts w:ascii="Times New Roman" w:hAnsi="Times New Roman"/>
          <w:b/>
          <w:sz w:val="20"/>
          <w:lang w:val="es-CO"/>
        </w:rPr>
        <w:t>s</w:t>
      </w:r>
      <w:r>
        <w:rPr>
          <w:rFonts w:ascii="Times New Roman" w:hAnsi="Times New Roman"/>
          <w:b/>
          <w:i/>
          <w:sz w:val="20"/>
          <w:lang w:val="es-CO"/>
        </w:rPr>
        <w:t>)d</w:t>
      </w:r>
      <w:r>
        <w:rPr>
          <w:rFonts w:ascii="Times New Roman" w:hAnsi="Times New Roman"/>
          <w:b/>
          <w:sz w:val="20"/>
          <w:lang w:val="es-CO"/>
        </w:rPr>
        <w:t xml:space="preserve">s </w:t>
      </w:r>
      <w:r>
        <w:rPr>
          <w:rFonts w:ascii="Times New Roman" w:hAnsi="Times New Roman"/>
          <w:sz w:val="20"/>
          <w:lang w:val="es-CO"/>
        </w:rPr>
        <w:t>se evalúa numéricamente sobre una malla triangular (</w:t>
      </w:r>
      <w:r>
        <w:rPr>
          <w:rFonts w:ascii="Times New Roman" w:hAnsi="Times New Roman"/>
          <w:b/>
          <w:i/>
          <w:sz w:val="20"/>
          <w:lang w:val="es-CO"/>
        </w:rPr>
        <w:t xml:space="preserve">92657 </w:t>
      </w:r>
      <w:r>
        <w:rPr>
          <w:rFonts w:ascii="Times New Roman" w:hAnsi="Times New Roman"/>
          <w:sz w:val="20"/>
          <w:lang w:val="es-CO"/>
        </w:rPr>
        <w:t xml:space="preserve">nodos en este trabajo) y la inferencia requiere la aproximación bayesiana INLA para ser factible en tiempos razonables. La elección entre ambos paradigmas depende de la escala de análisis y los objetivos del estudio: el modelo de área es adecuado a escalas regionales con unidades geográficas relativamente homogéneas, mientras que el proceso puntual es preferible cuando se dispone de inventarios de alta resolución y se requiere estimar la susceptibilidad con resolución métrica en terrenos topográficamente complejos. </w:t>
      </w:r>
    </w:p>
    <w:p>
      <w:pPr>
        <w:pStyle w:val="BodyTextindent"/>
        <w:bidi w:val="0"/>
        <w:spacing w:lineRule="auto" w:line="252" w:before="0" w:after="0"/>
        <w:ind w:firstLine="280" w:start="0" w:end="0"/>
        <w:jc w:val="both"/>
        <w:rPr>
          <w:lang w:val="es-CO"/>
        </w:rPr>
      </w:pPr>
      <w:r>
        <w:rPr>
          <w:rFonts w:ascii="Times New Roman" w:hAnsi="Times New Roman"/>
          <w:sz w:val="20"/>
          <w:lang w:val="es-CO"/>
        </w:rPr>
        <w:t xml:space="preserve">En cuanto a los resultados, los coeficientes del modelo confirman que la topografía es el principal determinante de la distribución espacial de los movimientos en masa en Medellín. El coeficiente de pendiente </w:t>
      </w:r>
      <w:r>
        <w:rPr/>
        <w:t>β</w:t>
      </w:r>
      <w:r>
        <w:rPr>
          <w:rFonts w:ascii="Times New Roman" w:hAnsi="Times New Roman"/>
          <w:b/>
          <w:i/>
          <w:position w:val="-2"/>
          <w:sz w:val="20"/>
          <w:lang w:val="es-CO"/>
        </w:rPr>
        <w:t>₁</w:t>
      </w:r>
      <w:r>
        <w:rPr>
          <w:rFonts w:ascii="Times New Roman" w:hAnsi="Times New Roman"/>
          <w:sz w:val="20"/>
          <w:lang w:val="es-CO"/>
        </w:rPr>
        <w:t xml:space="preserve"> </w:t>
      </w:r>
      <w:r>
        <w:rPr>
          <w:rFonts w:ascii="Times New Roman" w:hAnsi="Times New Roman"/>
          <w:b/>
          <w:i/>
          <w:sz w:val="20"/>
          <w:lang w:val="es-CO"/>
        </w:rPr>
        <w:t xml:space="preserve">= 0,901 </w:t>
      </w:r>
      <w:r>
        <w:rPr>
          <w:rFonts w:ascii="Times New Roman" w:hAnsi="Times New Roman"/>
          <w:sz w:val="20"/>
          <w:lang w:val="es-CO"/>
        </w:rPr>
        <w:t xml:space="preserve">es positivo y de gran magnitud, reflejando que las fuertes pendientes son el determinante primario de la inestabilidad. Un incremento de una desviación estándar en pendiente multiplica la intensidad local por </w:t>
      </w:r>
      <w:r>
        <w:rPr>
          <w:rFonts w:ascii="Times New Roman" w:hAnsi="Times New Roman"/>
          <w:b/>
          <w:i/>
          <w:sz w:val="20"/>
          <w:lang w:val="es-CO"/>
        </w:rPr>
        <w:t>e</w:t>
      </w:r>
      <w:r>
        <w:rPr>
          <w:rFonts w:ascii="Times New Roman" w:hAnsi="Times New Roman"/>
          <w:b/>
          <w:i/>
          <w:position w:val="8"/>
          <w:sz w:val="20"/>
          <w:lang w:val="es-CO"/>
        </w:rPr>
        <w:t>0,901</w:t>
      </w:r>
      <w:r>
        <w:rPr>
          <w:rFonts w:ascii="Times New Roman" w:hAnsi="Times New Roman"/>
          <w:sz w:val="20"/>
          <w:lang w:val="es-CO"/>
        </w:rPr>
        <w:t xml:space="preserve"> ≈</w:t>
      </w:r>
      <w:r>
        <w:rPr>
          <w:rFonts w:ascii="Times New Roman" w:hAnsi="Times New Roman"/>
          <w:b/>
          <w:i/>
          <w:sz w:val="20"/>
          <w:lang w:val="es-CO"/>
        </w:rPr>
        <w:t>2,5</w:t>
      </w:r>
      <w:r>
        <w:rPr>
          <w:rFonts w:ascii="Times New Roman" w:hAnsi="Times New Roman"/>
          <w:sz w:val="20"/>
          <w:lang w:val="es-CO"/>
        </w:rPr>
        <w:t xml:space="preserve">. </w:t>
      </w:r>
    </w:p>
    <w:p>
      <w:pPr>
        <w:pStyle w:val="BodyTextindent"/>
        <w:bidi w:val="0"/>
        <w:spacing w:lineRule="auto" w:line="252" w:before="0" w:after="0"/>
        <w:ind w:firstLine="280" w:start="0" w:end="0"/>
        <w:jc w:val="both"/>
        <w:rPr>
          <w:lang w:val="es-CO"/>
        </w:rPr>
      </w:pPr>
      <w:r>
        <w:rPr>
          <w:rFonts w:ascii="Times New Roman" w:hAnsi="Times New Roman"/>
          <w:sz w:val="20"/>
          <w:lang w:val="es-CO"/>
        </w:rPr>
        <w:t>El aspecto negativo (</w:t>
      </w:r>
      <w:r>
        <w:rPr/>
        <w:t>β</w:t>
      </w:r>
      <w:r>
        <w:rPr>
          <w:rFonts w:ascii="Times New Roman" w:hAnsi="Times New Roman"/>
          <w:b/>
          <w:i/>
          <w:position w:val="-2"/>
          <w:sz w:val="20"/>
          <w:lang w:val="es-CO"/>
        </w:rPr>
        <w:t>₂</w:t>
      </w:r>
      <w:r>
        <w:rPr>
          <w:rFonts w:ascii="Times New Roman" w:hAnsi="Times New Roman"/>
          <w:sz w:val="20"/>
          <w:lang w:val="es-CO"/>
        </w:rPr>
        <w:t xml:space="preserve"> </w:t>
      </w:r>
      <w:r>
        <w:rPr>
          <w:rFonts w:ascii="Times New Roman" w:hAnsi="Times New Roman"/>
          <w:b/>
          <w:i/>
          <w:sz w:val="20"/>
          <w:lang w:val="es-CO"/>
        </w:rPr>
        <w:t>= -0,243</w:t>
      </w:r>
      <w:r>
        <w:rPr>
          <w:rFonts w:ascii="Times New Roman" w:hAnsi="Times New Roman"/>
          <w:sz w:val="20"/>
          <w:lang w:val="es-CO"/>
        </w:rPr>
        <w:t xml:space="preserve">) indica mayor susceptibilidad en laderas con mayor dirección azimutal, que reciben menos radiación solar directa y mantienen mayor humedad del suelo durante los períodos de lluvia. Este efecto es independiente de la pendiente y la litología. </w:t>
      </w:r>
    </w:p>
    <w:p>
      <w:pPr>
        <w:pStyle w:val="BodyTextindent"/>
        <w:bidi w:val="0"/>
        <w:spacing w:lineRule="auto" w:line="252" w:before="0" w:after="0"/>
        <w:ind w:firstLine="280" w:start="0" w:end="0"/>
        <w:jc w:val="both"/>
        <w:rPr>
          <w:lang w:val="es-CO"/>
        </w:rPr>
      </w:pPr>
      <w:r>
        <w:rPr>
          <w:rFonts w:ascii="Times New Roman" w:hAnsi="Times New Roman"/>
          <w:sz w:val="20"/>
          <w:lang w:val="es-CO"/>
        </w:rPr>
        <w:t>El coeficiente negativo del indicador de suelos finos (</w:t>
      </w:r>
      <w:r>
        <w:rPr/>
        <w:t>β</w:t>
      </w:r>
      <w:r>
        <w:rPr>
          <w:rFonts w:ascii="Times New Roman" w:hAnsi="Times New Roman"/>
          <w:b/>
          <w:i/>
          <w:position w:val="-2"/>
          <w:sz w:val="20"/>
          <w:lang w:val="es-CO"/>
        </w:rPr>
        <w:t>₃</w:t>
      </w:r>
      <w:r>
        <w:rPr>
          <w:rFonts w:ascii="Times New Roman" w:hAnsi="Times New Roman"/>
          <w:sz w:val="20"/>
          <w:lang w:val="es-CO"/>
        </w:rPr>
        <w:t xml:space="preserve"> </w:t>
      </w:r>
      <w:r>
        <w:rPr>
          <w:rFonts w:ascii="Times New Roman" w:hAnsi="Times New Roman"/>
          <w:b/>
          <w:i/>
          <w:sz w:val="20"/>
          <w:lang w:val="es-CO"/>
        </w:rPr>
        <w:t>= -0,709</w:t>
      </w:r>
      <w:r>
        <w:rPr>
          <w:rFonts w:ascii="Times New Roman" w:hAnsi="Times New Roman"/>
          <w:sz w:val="20"/>
          <w:lang w:val="es-CO"/>
        </w:rPr>
        <w:t xml:space="preserve">) sugiere que el diferencial de susceptibilidad entre litologías es capturado casi completamente por las covariables topográficas: los suelos finos ocupan zonas con pendientes más altas, y una vez que se controla esa topografía el efecto litológico directo es estadísticamente negativo o nulo. Este fenómeno de mediación por covariables topográficas es un hallazgo metodológico relevante: la litología actúa principalmente como un control de la morfología (que determina dónde se acumulan los materiales finos), más que como un predictor independiente de la susceptibilidad condicionada en la topografía. </w:t>
      </w:r>
    </w:p>
    <w:p>
      <w:pPr>
        <w:pStyle w:val="BodyTextindent"/>
        <w:bidi w:val="0"/>
        <w:spacing w:lineRule="auto" w:line="252" w:before="0" w:after="0"/>
        <w:ind w:firstLine="280" w:start="0" w:end="0"/>
        <w:jc w:val="both"/>
        <w:rPr>
          <w:lang w:val="es-CO"/>
        </w:rPr>
      </w:pPr>
      <w:r>
        <w:rPr>
          <w:rFonts w:ascii="Times New Roman" w:hAnsi="Times New Roman"/>
          <w:sz w:val="20"/>
          <w:lang w:val="es-CO"/>
        </w:rPr>
        <w:t>El coeficiente de cobertura urbana (</w:t>
      </w:r>
      <w:r>
        <w:rPr/>
        <w:t>β</w:t>
      </w:r>
      <w:r>
        <w:rPr>
          <w:rFonts w:ascii="Times New Roman" w:hAnsi="Times New Roman"/>
          <w:b/>
          <w:i/>
          <w:position w:val="-2"/>
          <w:sz w:val="20"/>
          <w:lang w:val="es-CO"/>
        </w:rPr>
        <w:t>₄</w:t>
      </w:r>
      <w:r>
        <w:rPr>
          <w:rFonts w:ascii="Times New Roman" w:hAnsi="Times New Roman"/>
          <w:sz w:val="20"/>
          <w:lang w:val="es-CO"/>
        </w:rPr>
        <w:t xml:space="preserve"> </w:t>
      </w:r>
      <w:r>
        <w:rPr>
          <w:rFonts w:ascii="Times New Roman" w:hAnsi="Times New Roman"/>
          <w:b/>
          <w:i/>
          <w:sz w:val="20"/>
          <w:lang w:val="es-CO"/>
        </w:rPr>
        <w:t>= -0,971</w:t>
      </w:r>
      <w:r>
        <w:rPr>
          <w:rFonts w:ascii="Times New Roman" w:hAnsi="Times New Roman"/>
          <w:sz w:val="20"/>
          <w:lang w:val="es-CO"/>
        </w:rPr>
        <w:t xml:space="preserve">) es fuertemente negativo y significativo. Los sectores urbanos de Medellín se localizan predominantemente en el fondo plano del valle y, una vez controlada la topografía, la impermeabilización de suelos y las obras de estabilización en laderas urbanas reducen la susceptibilidad residual respecto a laderas rurales. </w:t>
      </w:r>
    </w:p>
    <w:p>
      <w:pPr>
        <w:pStyle w:val="BodyTextindent"/>
        <w:bidi w:val="0"/>
        <w:spacing w:lineRule="auto" w:line="252" w:before="0" w:after="0"/>
        <w:ind w:firstLine="280" w:start="0" w:end="0"/>
        <w:jc w:val="both"/>
        <w:rPr>
          <w:lang w:val="es-CO"/>
        </w:rPr>
      </w:pPr>
      <w:r>
        <w:rPr>
          <w:rFonts w:ascii="Times New Roman" w:hAnsi="Times New Roman"/>
          <w:sz w:val="20"/>
          <w:lang w:val="es-CO"/>
        </w:rPr>
        <w:t xml:space="preserve">El AUC se evalúa a una escala de </w:t>
      </w:r>
      <w:r>
        <w:rPr>
          <w:rFonts w:ascii="Times New Roman" w:hAnsi="Times New Roman"/>
          <w:b/>
          <w:i/>
          <w:sz w:val="20"/>
          <w:lang w:val="es-CO"/>
        </w:rPr>
        <w:t xml:space="preserve">500 m </w:t>
      </w:r>
      <w:r>
        <w:rPr>
          <w:rFonts w:ascii="Times New Roman" w:hAnsi="Times New Roman"/>
          <w:sz w:val="20"/>
          <w:lang w:val="es-CO"/>
        </w:rPr>
        <w:t>(celda hexagonal), que es la escala de información del modelo. A escalas más gruesas (cuadrantes de 1 km</w:t>
      </w:r>
      <w:r>
        <w:rPr>
          <w:rFonts w:ascii="Times New Roman" w:hAnsi="Times New Roman"/>
          <w:b/>
          <w:i/>
          <w:position w:val="8"/>
          <w:sz w:val="20"/>
          <w:lang w:val="es-CO"/>
        </w:rPr>
        <w:t>2</w:t>
      </w:r>
      <w:r>
        <w:rPr>
          <w:rFonts w:ascii="Times New Roman" w:hAnsi="Times New Roman"/>
          <w:sz w:val="20"/>
          <w:lang w:val="es-CO"/>
        </w:rPr>
        <w:t xml:space="preserve">) el AUC sería mayor por la reducción de la varianza de Poisson; a escala de punto individual sería menor por la estocasticidad intrínseca del proceso. La comparación adecuada con otros enfoques (regresión logística, modelos de aprendizaje automático) requeriría la misma escala de evaluación y el mismo dominio de integración. </w:t>
      </w:r>
    </w:p>
    <w:p>
      <w:pPr>
        <w:pStyle w:val="BodyTextindent"/>
        <w:bidi w:val="0"/>
        <w:spacing w:lineRule="auto" w:line="252" w:before="0" w:after="0"/>
        <w:ind w:firstLine="280"/>
        <w:jc w:val="both"/>
        <w:rPr/>
      </w:pPr>
      <w:r>
        <w:rPr>
          <w:rFonts w:ascii="Times New Roman" w:hAnsi="Times New Roman"/>
          <w:sz w:val="20"/>
          <w:lang w:val="es-CO"/>
        </w:rPr>
        <w:t>Una ventaja metodológica central de este estudio es el uso de un inventario basado exclusivamente en percepción remota, construido mediante interpretación sistemática de imágenes de satélite de alta resolución. Los inventarios históricos están sujetos a sesgo de detección: registran preferentemente eventos con víctimas o daños materiales reportados, eventos cercanos a la infraestructura urbana, o eventos que reciben cobertura mediática [</w:t>
      </w:r>
      <w:hyperlink w:anchor="Xguzzetti2012">
        <w:r>
          <w:rPr>
            <w:rStyle w:val="Hyperlink"/>
            <w:lang w:val="es-CO"/>
          </w:rPr>
          <w:t>25</w:t>
        </w:r>
      </w:hyperlink>
      <w:r>
        <w:rPr>
          <w:rFonts w:ascii="Times New Roman" w:hAnsi="Times New Roman"/>
          <w:sz w:val="20"/>
          <w:lang w:val="es-CO"/>
        </w:rPr>
        <w:t xml:space="preserve">]. Esta selectividad induce patrones espaciales sesgados en el inventario que se trasladan directamente al modelo de susceptibilidad: zonas con alta cobertura de datos históricos parecen más susceptibles independientemente de sus atributos topográficos. Al construir el inventario a partir de interpretación visual sistemática de Google Earth para el período 2001–2024, se logra una cobertura espacialmente más uniforme, condicionada principalmente a la disponibilidad de imágenes de alta resolución y no al sesgo del sistema de reporte institucional. </w:t>
      </w:r>
    </w:p>
    <w:p>
      <w:pPr>
        <w:pStyle w:val="BodyTextindent"/>
        <w:bidi w:val="0"/>
        <w:spacing w:lineRule="auto" w:line="252" w:before="0" w:after="0"/>
        <w:ind w:firstLine="280"/>
        <w:jc w:val="both"/>
        <w:rPr>
          <w:lang w:val="es-CO"/>
        </w:rPr>
      </w:pPr>
      <w:r>
        <w:rPr>
          <w:rFonts w:ascii="Times New Roman" w:hAnsi="Times New Roman"/>
          <w:sz w:val="20"/>
          <w:lang w:val="es-CO"/>
        </w:rPr>
        <w:t xml:space="preserve">Este enfoque no elimina completamente el sesgo de detección (la cobertura nubosa y la disponibilidad temporal de imágenes crean variabilidad espacial en la probabilidad de detección), pero lo reduce sustancialmente respecto a inventarios históricos. El uso del marco del proceso puntual espacial es especialmente adecuado para este tipo de inventario: la verosimilitud del NHPP integra la intensidad sobre todo el dominio sin requerir ausencias explícitas, lo que reduce la sensibilidad al sesgo de detección uniforme. </w:t>
      </w:r>
    </w:p>
    <w:p>
      <w:pPr>
        <w:pStyle w:val="Heading3"/>
        <w:bidi w:val="0"/>
        <w:spacing w:lineRule="auto" w:line="252" w:before="120" w:after="60"/>
        <w:ind w:hanging="0" w:start="0" w:end="0"/>
        <w:jc w:val="center"/>
        <w:rPr>
          <w:lang w:val="es-CO"/>
        </w:rPr>
      </w:pPr>
      <w:r>
        <w:rPr>
          <w:rFonts w:ascii="Times New Roman" w:hAnsi="Times New Roman"/>
          <w:b w:val="false"/>
          <w:smallCaps/>
          <w:sz w:val="20"/>
          <w:lang w:val="es-CO"/>
        </w:rPr>
        <w:t xml:space="preserve">VII. </w:t>
      </w:r>
      <w:bookmarkStart w:id="181" w:name="x1-8000VII"/>
      <w:bookmarkEnd w:id="181"/>
      <w:r>
        <w:rPr>
          <w:rFonts w:ascii="Times New Roman" w:hAnsi="Times New Roman"/>
          <w:b w:val="false"/>
          <w:smallCaps/>
          <w:sz w:val="20"/>
          <w:lang w:val="es-CO"/>
        </w:rPr>
        <w:t>Conclusiones</w:t>
      </w:r>
    </w:p>
    <w:p>
      <w:pPr>
        <w:pStyle w:val="BodyText"/>
        <w:bidi w:val="0"/>
        <w:spacing w:lineRule="auto" w:line="252" w:before="0" w:after="0"/>
        <w:ind w:firstLine="280" w:start="0" w:end="0"/>
        <w:jc w:val="both"/>
        <w:rPr>
          <w:lang w:val="es-CO"/>
        </w:rPr>
      </w:pPr>
      <w:r>
        <w:rPr>
          <w:rFonts w:ascii="Times New Roman" w:hAnsi="Times New Roman"/>
          <w:sz w:val="20"/>
          <w:lang w:val="es-CO"/>
        </w:rPr>
        <w:t xml:space="preserve">Este estudio implementó un Proceso de Poisson No Homogéneo (NHPP) con inferencia INLA para modelar la susceptibilidad a los movimientos en masa en Medellín, Colombia, usando covariables derivadas de un MDE de </w:t>
      </w:r>
      <w:r>
        <w:rPr>
          <w:rFonts w:ascii="Times New Roman" w:hAnsi="Times New Roman"/>
          <w:b/>
          <w:i/>
          <w:sz w:val="20"/>
          <w:lang w:val="es-CO"/>
        </w:rPr>
        <w:t>2 m</w:t>
      </w:r>
      <w:r>
        <w:rPr>
          <w:rFonts w:ascii="Times New Roman" w:hAnsi="Times New Roman"/>
          <w:sz w:val="20"/>
          <w:lang w:val="es-CO"/>
        </w:rPr>
        <w:t xml:space="preserve">. Los resultados confirman que la topografía es el principal determinante de la distribución espacial de los movimientos en masa en el territorio. El coeficiente de pendiente </w:t>
      </w:r>
      <w:r>
        <w:rPr/>
        <w:t>β₁</w:t>
      </w:r>
      <w:r>
        <w:rPr>
          <w:rFonts w:ascii="Times New Roman" w:hAnsi="Times New Roman"/>
          <w:sz w:val="20"/>
          <w:lang w:val="es-CO"/>
        </w:rPr>
        <w:t xml:space="preserve"> </w:t>
      </w:r>
      <w:r>
        <w:rPr>
          <w:rFonts w:ascii="Times New Roman" w:hAnsi="Times New Roman"/>
          <w:b/>
          <w:i/>
          <w:sz w:val="20"/>
          <w:lang w:val="es-CO"/>
        </w:rPr>
        <w:t xml:space="preserve">= 0,901 </w:t>
      </w:r>
      <w:r>
        <w:rPr>
          <w:rFonts w:ascii="Times New Roman" w:hAnsi="Times New Roman"/>
          <w:sz w:val="20"/>
          <w:lang w:val="es-CO"/>
        </w:rPr>
        <w:t>(</w:t>
      </w:r>
      <w:r>
        <w:rPr>
          <w:rFonts w:ascii="Times New Roman" w:hAnsi="Times New Roman"/>
          <w:b/>
          <w:i/>
          <w:sz w:val="20"/>
          <w:lang w:val="es-CO"/>
        </w:rPr>
        <w:t>e</w:t>
      </w:r>
      <w:r>
        <w:rPr>
          <w:rFonts w:ascii="Times New Roman" w:hAnsi="Times New Roman"/>
          <w:b/>
          <w:i/>
          <w:position w:val="8"/>
          <w:sz w:val="20"/>
          <w:lang w:val="es-CO"/>
        </w:rPr>
        <w:t>0,901</w:t>
      </w:r>
      <w:r>
        <w:rPr>
          <w:rFonts w:ascii="Times New Roman" w:hAnsi="Times New Roman"/>
          <w:sz w:val="20"/>
          <w:lang w:val="es-CO"/>
        </w:rPr>
        <w:t xml:space="preserve"> ≈</w:t>
      </w:r>
      <w:r>
        <w:rPr>
          <w:rFonts w:ascii="Times New Roman" w:hAnsi="Times New Roman"/>
          <w:b/>
          <w:i/>
          <w:sz w:val="20"/>
          <w:lang w:val="es-CO"/>
        </w:rPr>
        <w:t>2,5×</w:t>
      </w:r>
      <w:r>
        <w:rPr>
          <w:rFonts w:ascii="Times New Roman" w:hAnsi="Times New Roman"/>
          <w:sz w:val="20"/>
          <w:lang w:val="es-CO"/>
        </w:rPr>
        <w:t xml:space="preserve">) es el predictor más influyente del modelo, coherente con el papel mecánico fundamental de la pendiente en el mecanismo de ocurrencia. </w:t>
      </w:r>
    </w:p>
    <w:p>
      <w:pPr>
        <w:pStyle w:val="BodyTextindent"/>
        <w:bidi w:val="0"/>
        <w:spacing w:lineRule="auto" w:line="252" w:before="0" w:after="0"/>
        <w:ind w:firstLine="280" w:start="0" w:end="0"/>
        <w:jc w:val="both"/>
        <w:rPr>
          <w:lang w:val="es-CO"/>
        </w:rPr>
      </w:pPr>
      <w:r>
        <w:rPr>
          <w:rFonts w:ascii="Times New Roman" w:hAnsi="Times New Roman"/>
          <w:sz w:val="20"/>
          <w:lang w:val="es-CO"/>
        </w:rPr>
        <w:t>El modelo NHPP con cuatro predictores fijos proporciona estimaciones robustas e interpretables con AUC </w:t>
      </w:r>
      <w:r>
        <w:rPr>
          <w:rFonts w:ascii="Times New Roman" w:hAnsi="Times New Roman"/>
          <w:b/>
          <w:i/>
          <w:sz w:val="20"/>
          <w:lang w:val="es-CO"/>
        </w:rPr>
        <w:t>= 0,762</w:t>
      </w:r>
      <w:r>
        <w:rPr>
          <w:rFonts w:ascii="Times New Roman" w:hAnsi="Times New Roman"/>
          <w:sz w:val="20"/>
          <w:lang w:val="es-CO"/>
        </w:rPr>
        <w:t xml:space="preserve">, superior al reportado para modelos de proceso puntual topográficos en contextos similares en la literatura. El enfoque NHPP-INLA evita las decisiones arbitrarias inherentes a la discretización en celdas —resolución de la grilla, selección de ausencias— y produce intervalos de credibilidad bayesianos sobre todos los coeficientes con cuantificación explícita de la incertidumbre. Este marco constituye una alternativa probabilística rigurosa y reproducible a la regresión logística tradicional para la evaluación cuantitativa de la amenaza por movimientos en masa. </w:t>
      </w:r>
    </w:p>
    <w:p>
      <w:pPr>
        <w:pStyle w:val="Heading3"/>
        <w:bidi w:val="0"/>
        <w:spacing w:lineRule="auto" w:line="252" w:before="120" w:after="60"/>
        <w:ind w:hanging="0" w:start="0" w:end="0"/>
        <w:jc w:val="center"/>
        <w:rPr>
          <w:lang w:val="es-CO"/>
        </w:rPr>
      </w:pPr>
      <w:bookmarkStart w:id="182" w:name="x1-9000"/>
      <w:bookmarkEnd w:id="182"/>
      <w:r>
        <w:rPr>
          <w:rFonts w:ascii="Times New Roman" w:hAnsi="Times New Roman"/>
          <w:b w:val="false"/>
          <w:smallCaps/>
          <w:sz w:val="20"/>
          <w:lang w:val="es-CO"/>
        </w:rPr>
        <w:t>Disponibilidad de datos</w:t>
      </w:r>
    </w:p>
    <w:p>
      <w:pPr>
        <w:pStyle w:val="BodyText"/>
        <w:bidi w:val="0"/>
        <w:spacing w:lineRule="auto" w:line="252" w:before="0" w:after="0"/>
        <w:ind w:firstLine="280" w:start="0" w:end="0"/>
        <w:jc w:val="both"/>
        <w:rPr>
          <w:rFonts w:ascii="Times New Roman" w:hAnsi="Times New Roman"/>
          <w:sz w:val="20"/>
          <w:lang w:val="es-CO"/>
        </w:rPr>
      </w:pPr>
      <w:r>
        <w:rPr>
          <w:rFonts w:ascii="Times New Roman" w:hAnsi="Times New Roman"/>
          <w:sz w:val="20"/>
          <w:lang w:val="es-CO"/>
        </w:rPr>
        <w:t>Los datos y códigos utilizados en este trabajo están disponibles en GitHub:</w:t>
      </w:r>
    </w:p>
    <w:p>
      <w:pPr>
        <w:pStyle w:val="BodyText"/>
        <w:bidi w:val="0"/>
        <w:spacing w:lineRule="auto" w:line="252" w:before="0" w:after="0"/>
        <w:ind w:firstLine="280" w:start="0" w:end="0"/>
        <w:jc w:val="both"/>
        <w:rPr/>
      </w:pPr>
      <w:r>
        <w:rPr>
          <w:rFonts w:ascii="Times New Roman" w:hAnsi="Times New Roman"/>
          <w:sz w:val="20"/>
          <w:lang w:val="es-CO"/>
        </w:rPr>
        <w:t xml:space="preserve"> </w:t>
      </w:r>
      <w:hyperlink r:id="rId11">
        <w:r>
          <w:rPr>
            <w:rStyle w:val="Hyperlink"/>
            <w:rFonts w:ascii="monospace;monospace" w:hAnsi="monospace;monospace"/>
            <w:sz w:val="16"/>
            <w:szCs w:val="16"/>
            <w:lang w:val="es-CO"/>
          </w:rPr>
          <w:t>https://github.com/edieraristizabal/NHPP</w:t>
        </w:r>
      </w:hyperlink>
      <w:r>
        <w:rPr>
          <w:rFonts w:ascii="Times New Roman" w:hAnsi="Times New Roman"/>
          <w:sz w:val="16"/>
          <w:szCs w:val="16"/>
          <w:lang w:val="es-CO"/>
        </w:rPr>
        <w:t xml:space="preserve">. </w:t>
      </w:r>
    </w:p>
    <w:p>
      <w:pPr>
        <w:pStyle w:val="Heading3"/>
        <w:bidi w:val="0"/>
        <w:spacing w:lineRule="auto" w:line="252" w:before="120" w:after="60"/>
        <w:ind w:hanging="0" w:start="0" w:end="0"/>
        <w:jc w:val="center"/>
        <w:rPr>
          <w:lang w:val="es-CO"/>
        </w:rPr>
      </w:pPr>
      <w:bookmarkStart w:id="183" w:name="x1-10000"/>
      <w:bookmarkEnd w:id="183"/>
      <w:r>
        <w:rPr>
          <w:rFonts w:ascii="Times New Roman" w:hAnsi="Times New Roman"/>
          <w:b w:val="false"/>
          <w:smallCaps/>
          <w:sz w:val="20"/>
          <w:lang w:val="es-CO"/>
        </w:rPr>
        <w:t>Referencias</w:t>
      </w:r>
    </w:p>
    <w:p>
      <w:pPr>
        <w:pStyle w:val="BodyTextbibitem"/>
        <w:bidi w:val="0"/>
        <w:spacing w:lineRule="auto" w:line="240" w:before="0" w:after="0"/>
        <w:ind w:hanging="0" w:start="0" w:end="0"/>
        <w:jc w:val="both"/>
        <w:rPr>
          <w:lang w:val="es-CO"/>
        </w:rPr>
      </w:pPr>
      <w:bookmarkStart w:id="184" w:name="Xreichenbach2018"/>
      <w:bookmarkEnd w:id="184"/>
      <w:r>
        <w:rPr>
          <w:rFonts w:ascii="Times New Roman" w:hAnsi="Times New Roman"/>
          <w:sz w:val="16"/>
          <w:lang w:val="es-CO"/>
        </w:rPr>
        <w:t xml:space="preserve">[1]    P. Reichenbach, M. Rossi, B. D. Malamud, M. Mihir, and F. Guzzetti, “A review of statistically-based landslide susceptibility models,” </w:t>
      </w:r>
      <w:r>
        <w:rPr>
          <w:rFonts w:ascii="Times New Roman" w:hAnsi="Times New Roman"/>
          <w:i/>
          <w:sz w:val="16"/>
          <w:lang w:val="es-CO"/>
        </w:rPr>
        <w:t>Earth-Science Reviews</w:t>
      </w:r>
      <w:r>
        <w:rPr>
          <w:rFonts w:ascii="Times New Roman" w:hAnsi="Times New Roman"/>
          <w:sz w:val="16"/>
          <w:lang w:val="es-CO"/>
        </w:rPr>
        <w:t xml:space="preserve">, vol. 180, pp. 60–91, 2018. </w:t>
      </w:r>
    </w:p>
    <w:p>
      <w:pPr>
        <w:pStyle w:val="BodyTextbibitem"/>
        <w:bidi w:val="0"/>
        <w:spacing w:lineRule="auto" w:line="240" w:before="0" w:after="0"/>
        <w:ind w:hanging="0" w:start="0" w:end="0"/>
        <w:jc w:val="both"/>
        <w:rPr>
          <w:lang w:val="es-CO"/>
        </w:rPr>
      </w:pPr>
      <w:bookmarkStart w:id="185" w:name="Xguzzetti2005"/>
      <w:bookmarkEnd w:id="185"/>
      <w:r>
        <w:rPr>
          <w:rFonts w:ascii="Times New Roman" w:hAnsi="Times New Roman"/>
          <w:sz w:val="16"/>
          <w:lang w:val="es-CO"/>
        </w:rPr>
        <w:t xml:space="preserve">[2]    F. Guzzetti, P. Reichenbach, F. Ardizzone, M. Cardinali, and M. Galli, “Estimating the quality of landslide susceptibility models,” </w:t>
      </w:r>
      <w:r>
        <w:rPr>
          <w:rFonts w:ascii="Times New Roman" w:hAnsi="Times New Roman"/>
          <w:i/>
          <w:sz w:val="16"/>
          <w:lang w:val="es-CO"/>
        </w:rPr>
        <w:t>Geomorphology</w:t>
      </w:r>
      <w:r>
        <w:rPr>
          <w:rFonts w:ascii="Times New Roman" w:hAnsi="Times New Roman"/>
          <w:sz w:val="16"/>
          <w:lang w:val="es-CO"/>
        </w:rPr>
        <w:t xml:space="preserve">, vol. 81, no. 1–2, pp. 166–184, 2006. </w:t>
      </w:r>
    </w:p>
    <w:p>
      <w:pPr>
        <w:pStyle w:val="BodyTextbibitem"/>
        <w:bidi w:val="0"/>
        <w:spacing w:lineRule="auto" w:line="240" w:before="0" w:after="0"/>
        <w:ind w:hanging="0" w:start="0" w:end="0"/>
        <w:jc w:val="both"/>
        <w:rPr>
          <w:lang w:val="es-CO"/>
        </w:rPr>
      </w:pPr>
      <w:bookmarkStart w:id="186" w:name="Xlombardo2018"/>
      <w:bookmarkEnd w:id="186"/>
      <w:r>
        <w:rPr>
          <w:rFonts w:ascii="Times New Roman" w:hAnsi="Times New Roman"/>
          <w:sz w:val="16"/>
          <w:lang w:val="es-CO"/>
        </w:rPr>
        <w:t xml:space="preserve">[3]    L. Lombardo and P. M. Mai, “Presenting logistic regression-based landslide susceptibility results,” </w:t>
      </w:r>
      <w:r>
        <w:rPr>
          <w:rFonts w:ascii="Times New Roman" w:hAnsi="Times New Roman"/>
          <w:i/>
          <w:sz w:val="16"/>
          <w:lang w:val="es-CO"/>
        </w:rPr>
        <w:t>Engineering Geology</w:t>
      </w:r>
      <w:r>
        <w:rPr>
          <w:rFonts w:ascii="Times New Roman" w:hAnsi="Times New Roman"/>
          <w:sz w:val="16"/>
          <w:lang w:val="es-CO"/>
        </w:rPr>
        <w:t xml:space="preserve">, vol. 244, pp. 14–24, 2018. </w:t>
      </w:r>
    </w:p>
    <w:p>
      <w:pPr>
        <w:pStyle w:val="BodyTextbibitem"/>
        <w:bidi w:val="0"/>
        <w:spacing w:lineRule="auto" w:line="240" w:before="0" w:after="0"/>
        <w:ind w:hanging="0" w:start="0" w:end="0"/>
        <w:jc w:val="both"/>
        <w:rPr>
          <w:lang w:val="es-CO"/>
        </w:rPr>
      </w:pPr>
      <w:bookmarkStart w:id="187" w:name="Xbesag1974"/>
      <w:bookmarkEnd w:id="187"/>
      <w:r>
        <w:rPr>
          <w:rFonts w:ascii="Times New Roman" w:hAnsi="Times New Roman"/>
          <w:sz w:val="16"/>
          <w:lang w:val="es-CO"/>
        </w:rPr>
        <w:t xml:space="preserve">[4]    J. Besag, “Spatial interaction and the statistical analysis of lattice systems,” </w:t>
      </w:r>
      <w:r>
        <w:rPr>
          <w:rFonts w:ascii="Times New Roman" w:hAnsi="Times New Roman"/>
          <w:i/>
          <w:sz w:val="16"/>
          <w:lang w:val="es-CO"/>
        </w:rPr>
        <w:t>Journal of the Royal Statistical Society: Series B</w:t>
      </w:r>
      <w:r>
        <w:rPr>
          <w:rFonts w:ascii="Times New Roman" w:hAnsi="Times New Roman"/>
          <w:sz w:val="16"/>
          <w:lang w:val="es-CO"/>
        </w:rPr>
        <w:t xml:space="preserve">, vol. 36, no. 2, pp. 192–236, 1974. </w:t>
      </w:r>
    </w:p>
    <w:p>
      <w:pPr>
        <w:pStyle w:val="BodyTextbibitem"/>
        <w:bidi w:val="0"/>
        <w:spacing w:lineRule="auto" w:line="240" w:before="0" w:after="0"/>
        <w:ind w:hanging="0" w:start="0" w:end="0"/>
        <w:jc w:val="both"/>
        <w:rPr>
          <w:lang w:val="es-CO"/>
        </w:rPr>
      </w:pPr>
      <w:bookmarkStart w:id="188" w:name="Xbesag1991"/>
      <w:bookmarkEnd w:id="188"/>
      <w:r>
        <w:rPr>
          <w:rFonts w:ascii="Times New Roman" w:hAnsi="Times New Roman"/>
          <w:sz w:val="16"/>
          <w:lang w:val="es-CO"/>
        </w:rPr>
        <w:t xml:space="preserve">[5]    J. Besag, J. York, and A. Mollie, “Bayesian image restoration, with two applications in spatial statistics,” </w:t>
      </w:r>
      <w:r>
        <w:rPr>
          <w:rFonts w:ascii="Times New Roman" w:hAnsi="Times New Roman"/>
          <w:i/>
          <w:sz w:val="16"/>
          <w:lang w:val="es-CO"/>
        </w:rPr>
        <w:t>Annals of the Institute of Statistical</w:t>
      </w:r>
      <w:r>
        <w:rPr>
          <w:rFonts w:ascii="Times New Roman" w:hAnsi="Times New Roman"/>
          <w:sz w:val="16"/>
          <w:lang w:val="es-CO"/>
        </w:rPr>
        <w:t xml:space="preserve"> </w:t>
      </w:r>
      <w:r>
        <w:rPr>
          <w:rFonts w:ascii="Times New Roman" w:hAnsi="Times New Roman"/>
          <w:i/>
          <w:sz w:val="16"/>
          <w:lang w:val="es-CO"/>
        </w:rPr>
        <w:t>Mathematics</w:t>
      </w:r>
      <w:r>
        <w:rPr>
          <w:rFonts w:ascii="Times New Roman" w:hAnsi="Times New Roman"/>
          <w:sz w:val="16"/>
          <w:lang w:val="es-CO"/>
        </w:rPr>
        <w:t xml:space="preserve">, vol. 43, no. 1, pp. 1–59, 1991. </w:t>
      </w:r>
    </w:p>
    <w:p>
      <w:pPr>
        <w:pStyle w:val="BodyTextbibitem"/>
        <w:bidi w:val="0"/>
        <w:spacing w:lineRule="auto" w:line="240" w:before="0" w:after="0"/>
        <w:ind w:hanging="0" w:start="0" w:end="0"/>
        <w:jc w:val="both"/>
        <w:rPr>
          <w:lang w:val="es-CO"/>
        </w:rPr>
      </w:pPr>
      <w:bookmarkStart w:id="189" w:name="Xopenshaw1984"/>
      <w:bookmarkEnd w:id="189"/>
      <w:r>
        <w:rPr>
          <w:rFonts w:ascii="Times New Roman" w:hAnsi="Times New Roman"/>
          <w:sz w:val="16"/>
          <w:lang w:val="es-CO"/>
        </w:rPr>
        <w:t xml:space="preserve">[6]    S. Openshaw, </w:t>
      </w:r>
      <w:r>
        <w:rPr>
          <w:rFonts w:ascii="Times New Roman" w:hAnsi="Times New Roman"/>
          <w:i/>
          <w:sz w:val="16"/>
          <w:lang w:val="es-CO"/>
        </w:rPr>
        <w:t>The Modifiable Areal Unit Problem</w:t>
      </w:r>
      <w:r>
        <w:rPr>
          <w:rFonts w:ascii="Times New Roman" w:hAnsi="Times New Roman"/>
          <w:sz w:val="16"/>
          <w:lang w:val="es-CO"/>
        </w:rPr>
        <w:t xml:space="preserve">, ser. Concepts and Techniques in Modern Geography. Norwich, England: Geo Books, 1984, no. 38. </w:t>
      </w:r>
    </w:p>
    <w:p>
      <w:pPr>
        <w:pStyle w:val="BodyTextbibitem"/>
        <w:bidi w:val="0"/>
        <w:spacing w:lineRule="auto" w:line="240" w:before="0" w:after="0"/>
        <w:ind w:hanging="0" w:start="0" w:end="0"/>
        <w:jc w:val="both"/>
        <w:rPr>
          <w:lang w:val="es-CO"/>
        </w:rPr>
      </w:pPr>
      <w:bookmarkStart w:id="190" w:name="Xfotheringham1991"/>
      <w:bookmarkEnd w:id="190"/>
      <w:r>
        <w:rPr>
          <w:rFonts w:ascii="Times New Roman" w:hAnsi="Times New Roman"/>
          <w:sz w:val="16"/>
          <w:lang w:val="es-CO"/>
        </w:rPr>
        <w:t xml:space="preserve">[7]    A. S. Fotheringham and D. W. S. Wong, “The modifiable areal unit problem in multivariate statistical analysis,” </w:t>
      </w:r>
      <w:r>
        <w:rPr>
          <w:rFonts w:ascii="Times New Roman" w:hAnsi="Times New Roman"/>
          <w:i/>
          <w:sz w:val="16"/>
          <w:lang w:val="es-CO"/>
        </w:rPr>
        <w:t>Environment and Planning A</w:t>
      </w:r>
      <w:r>
        <w:rPr>
          <w:rFonts w:ascii="Times New Roman" w:hAnsi="Times New Roman"/>
          <w:sz w:val="16"/>
          <w:lang w:val="es-CO"/>
        </w:rPr>
        <w:t xml:space="preserve">, vol. 23, no. 7, pp. 1025–1044, 1991. </w:t>
      </w:r>
    </w:p>
    <w:p>
      <w:pPr>
        <w:pStyle w:val="BodyTextbibitem"/>
        <w:bidi w:val="0"/>
        <w:spacing w:lineRule="auto" w:line="240" w:before="0" w:after="0"/>
        <w:ind w:hanging="0" w:start="0" w:end="0"/>
        <w:jc w:val="both"/>
        <w:rPr>
          <w:lang w:val="es-CO"/>
        </w:rPr>
      </w:pPr>
      <w:bookmarkStart w:id="191" w:name="Xdiggle2013"/>
      <w:bookmarkEnd w:id="191"/>
      <w:r>
        <w:rPr>
          <w:rFonts w:ascii="Times New Roman" w:hAnsi="Times New Roman"/>
          <w:sz w:val="16"/>
          <w:lang w:val="es-CO"/>
        </w:rPr>
        <w:t xml:space="preserve">[8]    P. J. Diggle, </w:t>
      </w:r>
      <w:r>
        <w:rPr>
          <w:rFonts w:ascii="Times New Roman" w:hAnsi="Times New Roman"/>
          <w:i/>
          <w:sz w:val="16"/>
          <w:lang w:val="es-CO"/>
        </w:rPr>
        <w:t>Statistical Analysis of Spatial and Spatio-Temporal Point</w:t>
      </w:r>
      <w:r>
        <w:rPr>
          <w:rFonts w:ascii="Times New Roman" w:hAnsi="Times New Roman"/>
          <w:sz w:val="16"/>
          <w:lang w:val="es-CO"/>
        </w:rPr>
        <w:t xml:space="preserve"> </w:t>
      </w:r>
      <w:r>
        <w:rPr>
          <w:rFonts w:ascii="Times New Roman" w:hAnsi="Times New Roman"/>
          <w:i/>
          <w:sz w:val="16"/>
          <w:lang w:val="es-CO"/>
        </w:rPr>
        <w:t>Patterns</w:t>
      </w:r>
      <w:r>
        <w:rPr>
          <w:rFonts w:ascii="Times New Roman" w:hAnsi="Times New Roman"/>
          <w:sz w:val="16"/>
          <w:lang w:val="es-CO"/>
        </w:rPr>
        <w:t xml:space="preserve">, 3rd ed. Boca Raton, FL: CRC Press, 2013. </w:t>
      </w:r>
    </w:p>
    <w:p>
      <w:pPr>
        <w:pStyle w:val="BodyTextbibitem"/>
        <w:bidi w:val="0"/>
        <w:spacing w:lineRule="auto" w:line="240" w:before="0" w:after="0"/>
        <w:ind w:hanging="0" w:start="0" w:end="0"/>
        <w:jc w:val="both"/>
        <w:rPr>
          <w:lang w:val="es-CO"/>
        </w:rPr>
      </w:pPr>
      <w:bookmarkStart w:id="192" w:name="Xlombardo2019"/>
      <w:bookmarkEnd w:id="192"/>
      <w:r>
        <w:rPr>
          <w:rFonts w:ascii="Times New Roman" w:hAnsi="Times New Roman"/>
          <w:sz w:val="16"/>
          <w:lang w:val="es-CO"/>
        </w:rPr>
        <w:t xml:space="preserve">[9]    L. Lombardo, T. Opitz, and R. Huser, “Point process-based modeling of multiple debris flow landslides using INLA: An application to the 2009 Messina disaster,” </w:t>
      </w:r>
      <w:r>
        <w:rPr>
          <w:rFonts w:ascii="Times New Roman" w:hAnsi="Times New Roman"/>
          <w:i/>
          <w:sz w:val="16"/>
          <w:lang w:val="es-CO"/>
        </w:rPr>
        <w:t>Stochastic Environmental</w:t>
      </w:r>
      <w:r>
        <w:rPr>
          <w:rFonts w:ascii="Times New Roman" w:hAnsi="Times New Roman"/>
          <w:sz w:val="16"/>
          <w:lang w:val="es-CO"/>
        </w:rPr>
        <w:t xml:space="preserve"> </w:t>
      </w:r>
      <w:r>
        <w:rPr>
          <w:rFonts w:ascii="Times New Roman" w:hAnsi="Times New Roman"/>
          <w:i/>
          <w:sz w:val="16"/>
          <w:lang w:val="es-CO"/>
        </w:rPr>
        <w:t>Research and Risk Assessment</w:t>
      </w:r>
      <w:r>
        <w:rPr>
          <w:rFonts w:ascii="Times New Roman" w:hAnsi="Times New Roman"/>
          <w:sz w:val="16"/>
          <w:lang w:val="es-CO"/>
        </w:rPr>
        <w:t xml:space="preserve">, vol. 33, no. 7, pp. 1461–1478, 2019. </w:t>
      </w:r>
    </w:p>
    <w:p>
      <w:pPr>
        <w:pStyle w:val="BodyTextbibitem"/>
        <w:bidi w:val="0"/>
        <w:spacing w:lineRule="auto" w:line="240" w:before="0" w:after="0"/>
        <w:ind w:hanging="0" w:start="0" w:end="0"/>
        <w:jc w:val="both"/>
        <w:rPr>
          <w:lang w:val="es-CO"/>
        </w:rPr>
      </w:pPr>
      <w:bookmarkStart w:id="193" w:name="Xlombardo2020"/>
      <w:bookmarkEnd w:id="193"/>
      <w:r>
        <w:rPr>
          <w:rFonts w:ascii="Times New Roman" w:hAnsi="Times New Roman"/>
          <w:sz w:val="16"/>
          <w:lang w:val="es-CO"/>
        </w:rPr>
        <w:t xml:space="preserve">[10]    L. Lombardo, T. Opitz, F. Ardizzone, F. Guzzetti, and R. Huser, “Space-time landslide predictive modelling,” </w:t>
      </w:r>
      <w:r>
        <w:rPr>
          <w:rFonts w:ascii="Times New Roman" w:hAnsi="Times New Roman"/>
          <w:i/>
          <w:sz w:val="16"/>
          <w:lang w:val="es-CO"/>
        </w:rPr>
        <w:t>Earth-Science Reviews</w:t>
      </w:r>
      <w:r>
        <w:rPr>
          <w:rFonts w:ascii="Times New Roman" w:hAnsi="Times New Roman"/>
          <w:sz w:val="16"/>
          <w:lang w:val="es-CO"/>
        </w:rPr>
        <w:t xml:space="preserve">, vol. 209, p. 103318, 2020. </w:t>
      </w:r>
    </w:p>
    <w:p>
      <w:pPr>
        <w:pStyle w:val="BodyTextbibitem"/>
        <w:bidi w:val="0"/>
        <w:spacing w:lineRule="auto" w:line="240" w:before="0" w:after="0"/>
        <w:ind w:hanging="0" w:start="0" w:end="0"/>
        <w:jc w:val="both"/>
        <w:rPr>
          <w:lang w:val="es-CO"/>
        </w:rPr>
      </w:pPr>
      <w:bookmarkStart w:id="194" w:name="Xaristizabal2025ag"/>
      <w:bookmarkEnd w:id="194"/>
      <w:r>
        <w:rPr>
          <w:rFonts w:ascii="Times New Roman" w:hAnsi="Times New Roman"/>
          <w:sz w:val="16"/>
          <w:lang w:val="es-CO"/>
        </w:rPr>
        <w:t xml:space="preserve">[11]    E. Aristizábal </w:t>
      </w:r>
      <w:r>
        <w:rPr>
          <w:rFonts w:ascii="Times New Roman" w:hAnsi="Times New Roman"/>
          <w:i/>
          <w:sz w:val="16"/>
          <w:lang w:val="es-CO"/>
        </w:rPr>
        <w:t>et</w:t>
      </w:r>
      <w:r>
        <w:rPr>
          <w:rFonts w:ascii="Times New Roman" w:hAnsi="Times New Roman"/>
          <w:sz w:val="16"/>
          <w:lang w:val="es-CO"/>
        </w:rPr>
        <w:t> </w:t>
      </w:r>
      <w:r>
        <w:rPr>
          <w:rFonts w:ascii="Times New Roman" w:hAnsi="Times New Roman"/>
          <w:i/>
          <w:sz w:val="16"/>
          <w:lang w:val="es-CO"/>
        </w:rPr>
        <w:t>al.</w:t>
      </w:r>
      <w:r>
        <w:rPr>
          <w:rFonts w:ascii="Times New Roman" w:hAnsi="Times New Roman"/>
          <w:sz w:val="16"/>
          <w:lang w:val="es-CO"/>
        </w:rPr>
        <w:t xml:space="preserve">, “Susceptibilidad a los movimientos en masa mediante un modelo lineal generalizado jerárquico de Poisson con dependencia espacial sobre unidades de ladera: aplicación al departamento de Antioquia, Colombia,” </w:t>
      </w:r>
      <w:r>
        <w:rPr>
          <w:rFonts w:ascii="Times New Roman" w:hAnsi="Times New Roman"/>
          <w:i/>
          <w:sz w:val="16"/>
          <w:lang w:val="es-CO"/>
        </w:rPr>
        <w:t>Andean Geology</w:t>
      </w:r>
      <w:r>
        <w:rPr>
          <w:rFonts w:ascii="Times New Roman" w:hAnsi="Times New Roman"/>
          <w:sz w:val="16"/>
          <w:lang w:val="es-CO"/>
        </w:rPr>
        <w:t xml:space="preserve">, 2025, en prensa. </w:t>
      </w:r>
    </w:p>
    <w:p>
      <w:pPr>
        <w:pStyle w:val="BodyTextbibitem"/>
        <w:bidi w:val="0"/>
        <w:spacing w:lineRule="auto" w:line="240" w:before="0" w:after="0"/>
        <w:ind w:hanging="0" w:start="0" w:end="0"/>
        <w:jc w:val="both"/>
        <w:rPr>
          <w:lang w:val="es-CO"/>
        </w:rPr>
      </w:pPr>
      <w:bookmarkStart w:id="195" w:name="Xaristizabal2026"/>
      <w:bookmarkEnd w:id="195"/>
      <w:r>
        <w:rPr>
          <w:rFonts w:ascii="Times New Roman" w:hAnsi="Times New Roman"/>
          <w:sz w:val="16"/>
          <w:lang w:val="es-CO"/>
        </w:rPr>
        <w:t xml:space="preserve">[12]    E. V. Aristizábal, O. I. Sanchez, and O. Korup, “Landslide timing and rainfall regimes in a rapidly urbanizing tropical mountain valley in Colombia,” </w:t>
      </w:r>
      <w:r>
        <w:rPr>
          <w:rFonts w:ascii="Times New Roman" w:hAnsi="Times New Roman"/>
          <w:i/>
          <w:sz w:val="16"/>
          <w:lang w:val="es-CO"/>
        </w:rPr>
        <w:t>Natural Hazards</w:t>
      </w:r>
      <w:r>
        <w:rPr>
          <w:rFonts w:ascii="Times New Roman" w:hAnsi="Times New Roman"/>
          <w:sz w:val="16"/>
          <w:lang w:val="es-CO"/>
        </w:rPr>
        <w:t xml:space="preserve">, vol. 122, p. 306, 2026. </w:t>
      </w:r>
    </w:p>
    <w:p>
      <w:pPr>
        <w:pStyle w:val="BodyTextbibitem"/>
        <w:bidi w:val="0"/>
        <w:spacing w:lineRule="auto" w:line="240" w:before="0" w:after="0"/>
        <w:ind w:hanging="0" w:start="0" w:end="0"/>
        <w:jc w:val="both"/>
        <w:rPr>
          <w:lang w:val="es-CO"/>
        </w:rPr>
      </w:pPr>
      <w:bookmarkStart w:id="196" w:name="Xtrenkamp2002"/>
      <w:bookmarkEnd w:id="196"/>
      <w:r>
        <w:rPr>
          <w:rFonts w:ascii="Times New Roman" w:hAnsi="Times New Roman"/>
          <w:sz w:val="16"/>
          <w:lang w:val="es-CO"/>
        </w:rPr>
        <w:t xml:space="preserve">[13]    R. Trenkamp, J. N. Kellogg, J. T. Freymueller, and H. P. Mora, “Wide plate margin deformation, southern Central America and northwestern South America, CASA GPS observations,” </w:t>
      </w:r>
      <w:r>
        <w:rPr>
          <w:rFonts w:ascii="Times New Roman" w:hAnsi="Times New Roman"/>
          <w:i/>
          <w:sz w:val="16"/>
          <w:lang w:val="es-CO"/>
        </w:rPr>
        <w:t>Journal of South</w:t>
      </w:r>
      <w:r>
        <w:rPr>
          <w:rFonts w:ascii="Times New Roman" w:hAnsi="Times New Roman"/>
          <w:sz w:val="16"/>
          <w:lang w:val="es-CO"/>
        </w:rPr>
        <w:t xml:space="preserve"> </w:t>
      </w:r>
      <w:r>
        <w:rPr>
          <w:rFonts w:ascii="Times New Roman" w:hAnsi="Times New Roman"/>
          <w:i/>
          <w:sz w:val="16"/>
          <w:lang w:val="es-CO"/>
        </w:rPr>
        <w:t>American Earth Sciences</w:t>
      </w:r>
      <w:r>
        <w:rPr>
          <w:rFonts w:ascii="Times New Roman" w:hAnsi="Times New Roman"/>
          <w:sz w:val="16"/>
          <w:lang w:val="es-CO"/>
        </w:rPr>
        <w:t xml:space="preserve">, vol. 15, no. 2, pp. 157–171, 2002. </w:t>
      </w:r>
    </w:p>
    <w:p>
      <w:pPr>
        <w:pStyle w:val="BodyTextbibitem"/>
        <w:bidi w:val="0"/>
        <w:spacing w:lineRule="auto" w:line="240" w:before="0" w:after="0"/>
        <w:ind w:hanging="0" w:start="0" w:end="0"/>
        <w:jc w:val="both"/>
        <w:rPr>
          <w:lang w:val="es-CO"/>
        </w:rPr>
      </w:pPr>
      <w:bookmarkStart w:id="197" w:name="Xcediel2003"/>
      <w:bookmarkEnd w:id="197"/>
      <w:r>
        <w:rPr>
          <w:rFonts w:ascii="Times New Roman" w:hAnsi="Times New Roman"/>
          <w:sz w:val="16"/>
          <w:lang w:val="es-CO"/>
        </w:rPr>
        <w:t xml:space="preserve">[14]    F. Cediel, R. P. Shaw, and C. Cáceres, “Tectonic assembly of the northern Andean block,” in </w:t>
      </w:r>
      <w:r>
        <w:rPr>
          <w:rFonts w:ascii="Times New Roman" w:hAnsi="Times New Roman"/>
          <w:i/>
          <w:sz w:val="16"/>
          <w:lang w:val="es-CO"/>
        </w:rPr>
        <w:t>The Circum-Gulf of Mexico and the</w:t>
      </w:r>
      <w:r>
        <w:rPr>
          <w:rFonts w:ascii="Times New Roman" w:hAnsi="Times New Roman"/>
          <w:sz w:val="16"/>
          <w:lang w:val="es-CO"/>
        </w:rPr>
        <w:t xml:space="preserve"> </w:t>
      </w:r>
      <w:r>
        <w:rPr>
          <w:rFonts w:ascii="Times New Roman" w:hAnsi="Times New Roman"/>
          <w:i/>
          <w:sz w:val="16"/>
          <w:lang w:val="es-CO"/>
        </w:rPr>
        <w:t>Caribbean: Hydrocarbon Habitats, Basin Formation and Plate Tectonics</w:t>
      </w:r>
      <w:r>
        <w:rPr>
          <w:rFonts w:ascii="Times New Roman" w:hAnsi="Times New Roman"/>
          <w:sz w:val="16"/>
          <w:lang w:val="es-CO"/>
        </w:rPr>
        <w:t xml:space="preserve">, ser. AAPG Memoir, C. Bartolini, R. T. Buffler, and J. Blickwede, Eds. American Association of Petroleum Geologists, 2003, vol. 79, pp. 815–848. </w:t>
      </w:r>
    </w:p>
    <w:p>
      <w:pPr>
        <w:pStyle w:val="BodyTextbibitem"/>
        <w:bidi w:val="0"/>
        <w:spacing w:lineRule="auto" w:line="240" w:before="0" w:after="0"/>
        <w:ind w:hanging="0" w:start="0" w:end="0"/>
        <w:jc w:val="both"/>
        <w:rPr>
          <w:lang w:val="es-CO"/>
        </w:rPr>
      </w:pPr>
      <w:bookmarkStart w:id="198" w:name="Xaristizabal2025"/>
      <w:bookmarkEnd w:id="198"/>
      <w:r>
        <w:rPr>
          <w:rFonts w:ascii="Times New Roman" w:hAnsi="Times New Roman"/>
          <w:sz w:val="16"/>
          <w:lang w:val="es-CO"/>
        </w:rPr>
        <w:t xml:space="preserve">[15]    E. Aristizábal and O. Korup, “Linking landslide patterns to transient landscapes in the northern Colombian Andes,” </w:t>
      </w:r>
      <w:r>
        <w:rPr>
          <w:rFonts w:ascii="Times New Roman" w:hAnsi="Times New Roman"/>
          <w:i/>
          <w:sz w:val="16"/>
          <w:lang w:val="es-CO"/>
        </w:rPr>
        <w:t>Journal of Geophysical</w:t>
      </w:r>
      <w:r>
        <w:rPr>
          <w:rFonts w:ascii="Times New Roman" w:hAnsi="Times New Roman"/>
          <w:sz w:val="16"/>
          <w:lang w:val="es-CO"/>
        </w:rPr>
        <w:t xml:space="preserve"> </w:t>
      </w:r>
      <w:r>
        <w:rPr>
          <w:rFonts w:ascii="Times New Roman" w:hAnsi="Times New Roman"/>
          <w:i/>
          <w:sz w:val="16"/>
          <w:lang w:val="es-CO"/>
        </w:rPr>
        <w:t>Research: Earth Surface</w:t>
      </w:r>
      <w:r>
        <w:rPr>
          <w:rFonts w:ascii="Times New Roman" w:hAnsi="Times New Roman"/>
          <w:sz w:val="16"/>
          <w:lang w:val="es-CO"/>
        </w:rPr>
        <w:t xml:space="preserve">, vol. 130, p. e2024JF008027, 2025. </w:t>
      </w:r>
    </w:p>
    <w:p>
      <w:pPr>
        <w:pStyle w:val="BodyTextbibitem"/>
        <w:bidi w:val="0"/>
        <w:spacing w:lineRule="auto" w:line="240" w:before="0" w:after="0"/>
        <w:ind w:hanging="0" w:start="0" w:end="0"/>
        <w:jc w:val="both"/>
        <w:rPr>
          <w:lang w:val="es-CO"/>
        </w:rPr>
      </w:pPr>
      <w:bookmarkStart w:id="199" w:name="Xgomez2023"/>
      <w:bookmarkEnd w:id="199"/>
      <w:r>
        <w:rPr>
          <w:rFonts w:ascii="Times New Roman" w:hAnsi="Times New Roman"/>
          <w:sz w:val="16"/>
          <w:lang w:val="es-CO"/>
        </w:rPr>
        <w:t xml:space="preserve">[16]    D. Gómez, E. F. García, and E. Aristizábal, “Spatial and temporal landslide distributions using global and open landslide databases,” </w:t>
      </w:r>
      <w:r>
        <w:rPr>
          <w:rFonts w:ascii="Times New Roman" w:hAnsi="Times New Roman"/>
          <w:i/>
          <w:sz w:val="16"/>
          <w:lang w:val="es-CO"/>
        </w:rPr>
        <w:t>Natural Hazards</w:t>
      </w:r>
      <w:r>
        <w:rPr>
          <w:rFonts w:ascii="Times New Roman" w:hAnsi="Times New Roman"/>
          <w:sz w:val="16"/>
          <w:lang w:val="es-CO"/>
        </w:rPr>
        <w:t xml:space="preserve">, vol. 117, no. 1, pp. 25–55, 2023. </w:t>
      </w:r>
    </w:p>
    <w:p>
      <w:pPr>
        <w:pStyle w:val="BodyTextbibitem"/>
        <w:bidi w:val="0"/>
        <w:spacing w:lineRule="auto" w:line="240" w:before="0" w:after="0"/>
        <w:ind w:hanging="0" w:start="0" w:end="0"/>
        <w:jc w:val="both"/>
        <w:rPr>
          <w:lang w:val="es-CO"/>
        </w:rPr>
      </w:pPr>
      <w:bookmarkStart w:id="200" w:name="Xbedoya2019"/>
      <w:bookmarkEnd w:id="200"/>
      <w:r>
        <w:rPr>
          <w:rFonts w:ascii="Times New Roman" w:hAnsi="Times New Roman"/>
          <w:sz w:val="16"/>
          <w:lang w:val="es-CO"/>
        </w:rPr>
        <w:t xml:space="preserve">[17]    J. M. Bedoya-Soto, E. Aristizábal, A. M. Carmona, and G. Poveda, “Seasonal shift of the diurnal cycle of rainfall over Medellín’s Valley, Central Andes of Colombia (1998–2005),” </w:t>
      </w:r>
      <w:r>
        <w:rPr>
          <w:rFonts w:ascii="Times New Roman" w:hAnsi="Times New Roman"/>
          <w:i/>
          <w:sz w:val="16"/>
          <w:lang w:val="es-CO"/>
        </w:rPr>
        <w:t>Frontiers in Earth Science</w:t>
      </w:r>
      <w:r>
        <w:rPr>
          <w:rFonts w:ascii="Times New Roman" w:hAnsi="Times New Roman"/>
          <w:sz w:val="16"/>
          <w:lang w:val="es-CO"/>
        </w:rPr>
        <w:t xml:space="preserve">, vol. 7, p. 92, 2019. </w:t>
      </w:r>
    </w:p>
    <w:p>
      <w:pPr>
        <w:pStyle w:val="BodyTextbibitem"/>
        <w:bidi w:val="0"/>
        <w:spacing w:lineRule="auto" w:line="240" w:before="0" w:after="0"/>
        <w:ind w:hanging="0" w:start="0" w:end="0"/>
        <w:jc w:val="both"/>
        <w:rPr>
          <w:lang w:val="es-CO"/>
        </w:rPr>
      </w:pPr>
      <w:bookmarkStart w:id="201" w:name="Xpoveda2011"/>
      <w:bookmarkEnd w:id="201"/>
      <w:r>
        <w:rPr>
          <w:rFonts w:ascii="Times New Roman" w:hAnsi="Times New Roman"/>
          <w:sz w:val="16"/>
          <w:lang w:val="es-CO"/>
        </w:rPr>
        <w:t xml:space="preserve">[18]    G. Poveda, D. M. Alvarez, and O. A. Rueda, “Hydro-climatic variability over the Andes of Colombia associated with ENSO: A review of climatic processes and their impact on one of the Earth’s most important biodiversity hotspots,” </w:t>
      </w:r>
      <w:r>
        <w:rPr>
          <w:rFonts w:ascii="Times New Roman" w:hAnsi="Times New Roman"/>
          <w:i/>
          <w:sz w:val="16"/>
          <w:lang w:val="es-CO"/>
        </w:rPr>
        <w:t>Climate Dynamics</w:t>
      </w:r>
      <w:r>
        <w:rPr>
          <w:rFonts w:ascii="Times New Roman" w:hAnsi="Times New Roman"/>
          <w:sz w:val="16"/>
          <w:lang w:val="es-CO"/>
        </w:rPr>
        <w:t xml:space="preserve">, vol. 36, no. 11–12, pp. 2233–2249, 2011. </w:t>
      </w:r>
    </w:p>
    <w:p>
      <w:pPr>
        <w:pStyle w:val="BodyTextbibitem"/>
        <w:bidi w:val="0"/>
        <w:spacing w:lineRule="auto" w:line="240" w:before="0" w:after="0"/>
        <w:ind w:hanging="0" w:start="0" w:end="0"/>
        <w:jc w:val="both"/>
        <w:rPr>
          <w:lang w:val="es-CO"/>
        </w:rPr>
      </w:pPr>
      <w:bookmarkStart w:id="202" w:name="Xaristizabal2020"/>
      <w:bookmarkEnd w:id="202"/>
      <w:r>
        <w:rPr>
          <w:rFonts w:ascii="Times New Roman" w:hAnsi="Times New Roman"/>
          <w:sz w:val="16"/>
          <w:lang w:val="es-CO"/>
        </w:rPr>
        <w:t xml:space="preserve">[19]    E. Aristizábal and O. Sánchez, “Spatial and temporal patterns and the socioeconomic impacts of landslides in the tropical and mountainous Colombian Andes,” </w:t>
      </w:r>
      <w:r>
        <w:rPr>
          <w:rFonts w:ascii="Times New Roman" w:hAnsi="Times New Roman"/>
          <w:i/>
          <w:sz w:val="16"/>
          <w:lang w:val="es-CO"/>
        </w:rPr>
        <w:t>Disasters</w:t>
      </w:r>
      <w:r>
        <w:rPr>
          <w:rFonts w:ascii="Times New Roman" w:hAnsi="Times New Roman"/>
          <w:sz w:val="16"/>
          <w:lang w:val="es-CO"/>
        </w:rPr>
        <w:t xml:space="preserve">, vol. 44, no. 3, pp. 596–618, 2020. </w:t>
      </w:r>
    </w:p>
    <w:p>
      <w:pPr>
        <w:pStyle w:val="BodyTextbibitem"/>
        <w:bidi w:val="0"/>
        <w:spacing w:lineRule="auto" w:line="240" w:before="0" w:after="0"/>
        <w:ind w:hanging="0" w:start="0" w:end="0"/>
        <w:jc w:val="both"/>
        <w:rPr>
          <w:lang w:val="es-CO"/>
        </w:rPr>
      </w:pPr>
      <w:bookmarkStart w:id="203" w:name="Xaristizabal2005"/>
      <w:bookmarkEnd w:id="203"/>
      <w:r>
        <w:rPr>
          <w:rFonts w:ascii="Times New Roman" w:hAnsi="Times New Roman"/>
          <w:sz w:val="16"/>
          <w:lang w:val="es-CO"/>
        </w:rPr>
        <w:t xml:space="preserve">[20]    E. Aristizábal, B. Roser, and S. Yokota, “Tropical chemical weathering of hillslope deposits and bedrock source in the Aburrá valley, northern Colombian Andes,” </w:t>
      </w:r>
      <w:r>
        <w:rPr>
          <w:rFonts w:ascii="Times New Roman" w:hAnsi="Times New Roman"/>
          <w:i/>
          <w:sz w:val="16"/>
          <w:lang w:val="es-CO"/>
        </w:rPr>
        <w:t>Engineering Geology</w:t>
      </w:r>
      <w:r>
        <w:rPr>
          <w:rFonts w:ascii="Times New Roman" w:hAnsi="Times New Roman"/>
          <w:sz w:val="16"/>
          <w:lang w:val="es-CO"/>
        </w:rPr>
        <w:t xml:space="preserve">, vol. 81, no. 4, pp. 389–406, 2005. </w:t>
      </w:r>
    </w:p>
    <w:p>
      <w:pPr>
        <w:pStyle w:val="BodyTextbibitem"/>
        <w:bidi w:val="0"/>
        <w:spacing w:lineRule="auto" w:line="240" w:before="0" w:after="0"/>
        <w:ind w:hanging="0" w:start="0" w:end="0"/>
        <w:jc w:val="both"/>
        <w:rPr>
          <w:lang w:val="es-CO"/>
        </w:rPr>
      </w:pPr>
      <w:bookmarkStart w:id="204" w:name="Xrue2009"/>
      <w:bookmarkEnd w:id="204"/>
      <w:r>
        <w:rPr>
          <w:rFonts w:ascii="Times New Roman" w:hAnsi="Times New Roman"/>
          <w:sz w:val="16"/>
          <w:lang w:val="es-CO"/>
        </w:rPr>
        <w:t xml:space="preserve">[21]    H. Rue, S. Martino, and N. Chopin, “Approximate Bayesian inference for latent Gaussian models by using integrated nested Laplace approximations,” </w:t>
      </w:r>
      <w:r>
        <w:rPr>
          <w:rFonts w:ascii="Times New Roman" w:hAnsi="Times New Roman"/>
          <w:i/>
          <w:sz w:val="16"/>
          <w:lang w:val="es-CO"/>
        </w:rPr>
        <w:t>Journal of the Royal Statistical Society: Series B</w:t>
      </w:r>
      <w:r>
        <w:rPr>
          <w:rFonts w:ascii="Times New Roman" w:hAnsi="Times New Roman"/>
          <w:sz w:val="16"/>
          <w:lang w:val="es-CO"/>
        </w:rPr>
        <w:t xml:space="preserve">, vol. 71, no. 2, pp. 319–392, 2009. </w:t>
      </w:r>
    </w:p>
    <w:p>
      <w:pPr>
        <w:pStyle w:val="BodyTextbibitem"/>
        <w:bidi w:val="0"/>
        <w:spacing w:lineRule="auto" w:line="240" w:before="0" w:after="0"/>
        <w:ind w:hanging="0" w:start="0" w:end="0"/>
        <w:jc w:val="both"/>
        <w:rPr>
          <w:lang w:val="es-CO"/>
        </w:rPr>
      </w:pPr>
      <w:bookmarkStart w:id="205" w:name="Xrue2017"/>
      <w:bookmarkEnd w:id="205"/>
      <w:r>
        <w:rPr>
          <w:rFonts w:ascii="Times New Roman" w:hAnsi="Times New Roman"/>
          <w:sz w:val="16"/>
          <w:lang w:val="es-CO"/>
        </w:rPr>
        <w:t xml:space="preserve">[22]    H. Rue, A. Riebler, S. H. Sørbye, J. B. Illian, D. P. Simpson, and F. K. Lindgren, “Bayesian computing with INLA: A review,” </w:t>
      </w:r>
      <w:r>
        <w:rPr>
          <w:rFonts w:ascii="Times New Roman" w:hAnsi="Times New Roman"/>
          <w:i/>
          <w:sz w:val="16"/>
          <w:lang w:val="es-CO"/>
        </w:rPr>
        <w:t>Annual</w:t>
      </w:r>
      <w:r>
        <w:rPr>
          <w:rFonts w:ascii="Times New Roman" w:hAnsi="Times New Roman"/>
          <w:sz w:val="16"/>
          <w:lang w:val="es-CO"/>
        </w:rPr>
        <w:t xml:space="preserve"> </w:t>
      </w:r>
      <w:r>
        <w:rPr>
          <w:rFonts w:ascii="Times New Roman" w:hAnsi="Times New Roman"/>
          <w:i/>
          <w:sz w:val="16"/>
          <w:lang w:val="es-CO"/>
        </w:rPr>
        <w:t>Review of Statistics and Its Application</w:t>
      </w:r>
      <w:r>
        <w:rPr>
          <w:rFonts w:ascii="Times New Roman" w:hAnsi="Times New Roman"/>
          <w:sz w:val="16"/>
          <w:lang w:val="es-CO"/>
        </w:rPr>
        <w:t xml:space="preserve">, vol. 4, pp. 395–421, 2017. </w:t>
      </w:r>
    </w:p>
    <w:p>
      <w:pPr>
        <w:pStyle w:val="BodyTextbibitem"/>
        <w:bidi w:val="0"/>
        <w:spacing w:lineRule="auto" w:line="240" w:before="0" w:after="0"/>
        <w:ind w:hanging="0" w:start="0" w:end="0"/>
        <w:jc w:val="both"/>
        <w:rPr/>
      </w:pPr>
      <w:bookmarkStart w:id="206" w:name="Xrcore2024"/>
      <w:bookmarkEnd w:id="206"/>
      <w:r>
        <w:rPr>
          <w:rFonts w:ascii="Times New Roman" w:hAnsi="Times New Roman"/>
          <w:sz w:val="16"/>
          <w:lang w:val="es-CO"/>
        </w:rPr>
        <w:t xml:space="preserve">[23]    R Core Team, </w:t>
      </w:r>
      <w:r>
        <w:rPr>
          <w:rFonts w:ascii="Times New Roman" w:hAnsi="Times New Roman"/>
          <w:i/>
          <w:sz w:val="16"/>
          <w:lang w:val="es-CO"/>
        </w:rPr>
        <w:t>R: A Language and Environment for Statistical</w:t>
      </w:r>
      <w:r>
        <w:rPr>
          <w:rFonts w:ascii="Times New Roman" w:hAnsi="Times New Roman"/>
          <w:sz w:val="16"/>
          <w:lang w:val="es-CO"/>
        </w:rPr>
        <w:t xml:space="preserve"> </w:t>
      </w:r>
      <w:r>
        <w:rPr>
          <w:rFonts w:ascii="Times New Roman" w:hAnsi="Times New Roman"/>
          <w:i/>
          <w:sz w:val="16"/>
          <w:lang w:val="es-CO"/>
        </w:rPr>
        <w:t>Computing</w:t>
      </w:r>
      <w:r>
        <w:rPr>
          <w:rFonts w:ascii="Times New Roman" w:hAnsi="Times New Roman"/>
          <w:sz w:val="16"/>
          <w:lang w:val="es-CO"/>
        </w:rPr>
        <w:t>, R Foundation for Statistical Computing, Vienna, Austria, 2024. [Online]. Available:</w:t>
      </w:r>
      <w:r>
        <w:rPr>
          <w:rFonts w:ascii="Times New Roman" w:hAnsi="Times New Roman"/>
          <w:sz w:val="16"/>
          <w:szCs w:val="16"/>
          <w:lang w:val="es-CO"/>
        </w:rPr>
        <w:t xml:space="preserve"> </w:t>
      </w:r>
      <w:hyperlink r:id="rId12">
        <w:r>
          <w:rPr>
            <w:rStyle w:val="Hyperlink"/>
            <w:sz w:val="16"/>
            <w:szCs w:val="16"/>
            <w:lang w:val="es-CO"/>
          </w:rPr>
          <w:t>https://www.R-project.org/</w:t>
        </w:r>
      </w:hyperlink>
      <w:r>
        <w:rPr>
          <w:rFonts w:ascii="Times New Roman" w:hAnsi="Times New Roman"/>
          <w:sz w:val="16"/>
          <w:szCs w:val="16"/>
          <w:lang w:val="es-CO"/>
        </w:rPr>
        <w:t xml:space="preserve"> </w:t>
      </w:r>
    </w:p>
    <w:p>
      <w:pPr>
        <w:pStyle w:val="BodyTextbibitem"/>
        <w:bidi w:val="0"/>
        <w:spacing w:lineRule="auto" w:line="240" w:before="0" w:after="0"/>
        <w:ind w:hanging="0" w:start="0" w:end="0"/>
        <w:jc w:val="both"/>
        <w:rPr>
          <w:lang w:val="es-CO"/>
        </w:rPr>
      </w:pPr>
      <w:bookmarkStart w:id="207" w:name="Xbachl2019"/>
      <w:bookmarkEnd w:id="207"/>
      <w:r>
        <w:rPr>
          <w:rFonts w:ascii="Times New Roman" w:hAnsi="Times New Roman"/>
          <w:sz w:val="16"/>
          <w:lang w:val="es-CO"/>
        </w:rPr>
        <w:t xml:space="preserve">[24]    F. E. Bachl, F. Lindgren, D. L. Borchers, and J. B. Illian, “inlabru: An R package for Bayesian spatial modelling from ecological survey data,” </w:t>
      </w:r>
      <w:r>
        <w:rPr>
          <w:rFonts w:ascii="Times New Roman" w:hAnsi="Times New Roman"/>
          <w:i/>
          <w:sz w:val="16"/>
          <w:lang w:val="es-CO"/>
        </w:rPr>
        <w:t>Methods in Ecology and Evolution</w:t>
      </w:r>
      <w:r>
        <w:rPr>
          <w:rFonts w:ascii="Times New Roman" w:hAnsi="Times New Roman"/>
          <w:sz w:val="16"/>
          <w:lang w:val="es-CO"/>
        </w:rPr>
        <w:t xml:space="preserve">, vol. 10, no. 6, pp. 760–766, 2019. </w:t>
      </w:r>
    </w:p>
    <w:p>
      <w:pPr>
        <w:pStyle w:val="BodyTextbibitem"/>
        <w:bidi w:val="0"/>
        <w:spacing w:lineRule="auto" w:line="240" w:before="0" w:after="0"/>
        <w:ind w:hanging="0" w:start="0" w:end="0"/>
        <w:jc w:val="both"/>
        <w:rPr>
          <w:lang w:val="es-CO"/>
        </w:rPr>
      </w:pPr>
      <w:bookmarkStart w:id="208" w:name="Xguzzetti2012"/>
      <w:bookmarkEnd w:id="208"/>
      <w:r>
        <w:rPr>
          <w:rFonts w:ascii="Times New Roman" w:hAnsi="Times New Roman"/>
          <w:sz w:val="16"/>
          <w:lang w:val="es-CO"/>
        </w:rPr>
        <w:t xml:space="preserve">[25]    F. Guzzetti, A. C. Mondini, M. Cardinali, F. Fiorucci, M. Santangelo, and K.-T. Chang, “Landslide inventory maps: New tools for an old problem,” </w:t>
      </w:r>
      <w:r>
        <w:rPr>
          <w:rFonts w:ascii="Times New Roman" w:hAnsi="Times New Roman"/>
          <w:i/>
          <w:sz w:val="16"/>
          <w:lang w:val="es-CO"/>
        </w:rPr>
        <w:t>Earth-Science Reviews</w:t>
      </w:r>
      <w:r>
        <w:rPr>
          <w:rFonts w:ascii="Times New Roman" w:hAnsi="Times New Roman"/>
          <w:sz w:val="16"/>
          <w:lang w:val="es-CO"/>
        </w:rPr>
        <w:t xml:space="preserve">, vol. 112, no. 1–2, pp. 42–66, 2012. </w:t>
      </w:r>
    </w:p>
    <w:p>
      <w:pPr>
        <w:pStyle w:val="BodyText"/>
        <w:bidi w:val="0"/>
        <w:spacing w:before="0" w:after="283"/>
        <w:jc w:val="start"/>
        <w:rPr>
          <w:lang w:val="es-CO"/>
        </w:rPr>
      </w:pPr>
      <w:r>
        <w:rPr>
          <w:lang w:val="es-CO"/>
        </w:rPr>
        <w:t xml:space="preserve">________________________________________________ </w:t>
      </w:r>
    </w:p>
    <w:p>
      <w:pPr>
        <w:pStyle w:val="BodyText"/>
        <w:bidi w:val="0"/>
        <w:spacing w:lineRule="auto" w:line="252" w:before="0" w:after="0"/>
        <w:ind w:hanging="0" w:start="0" w:end="0"/>
        <w:jc w:val="both"/>
        <w:rPr>
          <w:lang w:val="es-CO"/>
        </w:rPr>
      </w:pPr>
      <w:r>
        <w:rPr>
          <w:rFonts w:ascii="Times New Roman" w:hAnsi="Times New Roman"/>
          <w:b/>
          <w:sz w:val="16"/>
          <w:lang w:val="es-CO"/>
        </w:rPr>
        <w:t>E.</w:t>
      </w:r>
      <w:r>
        <w:rPr>
          <w:rFonts w:ascii="Times New Roman" w:hAnsi="Times New Roman"/>
          <w:sz w:val="16"/>
          <w:lang w:val="es-CO"/>
        </w:rPr>
        <w:t> </w:t>
      </w:r>
      <w:r>
        <w:rPr>
          <w:rFonts w:ascii="Times New Roman" w:hAnsi="Times New Roman"/>
          <w:b/>
          <w:sz w:val="16"/>
          <w:lang w:val="es-CO"/>
        </w:rPr>
        <w:t xml:space="preserve">Aristizábal </w:t>
      </w:r>
      <w:r>
        <w:rPr>
          <w:rFonts w:ascii="Times New Roman" w:hAnsi="Times New Roman"/>
          <w:sz w:val="16"/>
          <w:lang w:val="es-CO"/>
        </w:rPr>
        <w:t xml:space="preserve">received the B.Sc. degree in geological engineering from Universidad Nacional de Colombia, Sede Medellín, the Specialist degree in geological and climate-related hazards from the University of Geneva, Switzerland, the M.Sc. degree in science and engineering from Shimane University, Japan, and the Ph.D. degree in engineering (hydraulic resources emphasis) from Universidad Nacional de Colombia, Sede Medellín. He is currently an Associate Professor in the Departamento de Geociencias y Medio Ambiente, Facultad de Minas, Universidad Nacional de Colombia, Sede Medellín, Colombia, where he leads the Geohazards Research Group. His research interests include susceptibility, hazard, and risk assessment of rainfall-triggered landslides in tropical mountainous terrain, geomorphology, remote sensing, and statistical and physically-based modeling for disaster risk management in the Colombian Andes. ORCID: 0000-0002-2648-2197. </w:t>
      </w:r>
    </w:p>
    <w:p>
      <w:pPr>
        <w:pStyle w:val="BodyText"/>
        <w:bidi w:val="0"/>
        <w:spacing w:lineRule="auto" w:line="240" w:before="0" w:after="0"/>
        <w:ind w:firstLine="280" w:start="0" w:end="0"/>
        <w:jc w:val="both"/>
        <w:rPr/>
      </w:pPr>
      <w:hyperlink w:anchor="kt-1">
        <w:bookmarkStart w:id="209" w:name="tk-1"/>
        <w:bookmarkEnd w:id="209"/>
        <w:r>
          <w:rPr>
            <w:rStyle w:val="Hyperlink"/>
          </w:rPr>
          <w:t>*</w:t>
        </w:r>
      </w:hyperlink>
      <w:r>
        <w:rPr>
          <w:rFonts w:ascii="Times New Roman" w:hAnsi="Times New Roman"/>
          <w:sz w:val="16"/>
        </w:rPr>
        <w:t>Este trabajo se deriva del proyecto Geohazards, adscrito al Departamento de Geociencias y Medio Ambiente, Facultad de Minas, Universidad Nacional de Colombia, Sede Medellín, Colombia. Grupo de Investigación en Geología Ambiental (GEA).</w:t>
      </w:r>
    </w:p>
    <w:p>
      <w:pPr>
        <w:pStyle w:val="BodyText"/>
        <w:bidi w:val="0"/>
        <w:spacing w:lineRule="auto" w:line="240" w:before="0" w:after="0"/>
        <w:ind w:firstLine="280" w:start="0" w:end="0"/>
        <w:jc w:val="both"/>
        <w:rPr/>
      </w:pPr>
      <w:r>
        <w:rPr>
          <w:rFonts w:ascii="Times New Roman" w:hAnsi="Times New Roman"/>
          <w:sz w:val="16"/>
        </w:rPr>
        <w:br/>
        <w:t xml:space="preserve">  E. Aristizábal, Departamento de Geociencias y Medio Ambiente, Facultad de Minas, Universidad Nacional de Colombia, Sede Medellín, Medellín, Colombia. Correo: </w:t>
      </w:r>
      <w:hyperlink r:id="rId13">
        <w:r>
          <w:rPr>
            <w:rStyle w:val="Hyperlink"/>
            <w:sz w:val="16"/>
            <w:szCs w:val="16"/>
          </w:rPr>
          <w:t>evaristizabalg@unal.edu.co</w:t>
        </w:r>
      </w:hyperlink>
      <w:r>
        <w:rPr>
          <w:rFonts w:ascii="Times New Roman" w:hAnsi="Times New Roman"/>
          <w:sz w:val="16"/>
          <w:szCs w:val="16"/>
        </w:rPr>
        <w:t>.</w:t>
      </w:r>
    </w:p>
    <w:sectPr>
      <w:type w:val="nextPage"/>
      <w:pgSz w:w="12240" w:h="15840"/>
      <w:pgMar w:left="958" w:right="958" w:gutter="0" w:header="0" w:top="958" w:footer="0" w:bottom="958"/>
      <w:pgNumType w:fmt="decimal"/>
      <w:cols w:num="2" w:space="244" w:equalWidth="true" w:sep="false"/>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monospac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4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SourceTextverb">
    <w:name w:val="Source Text.verb"/>
    <w:basedOn w:val="SourceText"/>
    <w:qFormat/>
    <w:rPr>
      <w:rFonts w:ascii="monospace;monospace" w:hAnsi="monospace;monospace" w:eastAsia="monospace;monospace" w:cs="monospace;monospac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283"/>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BodyTextindent">
    <w:name w:val="Body Text.indent"/>
    <w:basedOn w:val="BodyText"/>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verbatim">
    <w:name w:val="Preformatted Text.verbatim"/>
    <w:basedOn w:val="PreformattedText"/>
    <w:qFormat/>
    <w:pPr>
      <w:jc w:val="start"/>
    </w:pPr>
    <w:rPr>
      <w:rFonts w:ascii="monospace;monospace" w:hAnsi="monospace;monospace" w:eastAsia="monospace;monospace" w:cs="monospace;monospace"/>
    </w:rPr>
  </w:style>
  <w:style w:type="paragraph" w:styleId="Heading1partHead">
    <w:name w:val="Heading 1.partHead"/>
    <w:basedOn w:val="Heading1"/>
    <w:qFormat/>
    <w:pPr>
      <w:jc w:val="center"/>
    </w:pPr>
    <w:rPr/>
  </w:style>
  <w:style w:type="paragraph" w:styleId="BodyTextbibitem">
    <w:name w:val="Body Text.bibitem"/>
    <w:basedOn w:val="BodyText"/>
    <w:qFormat/>
    <w:pPr/>
    <w:rPr/>
  </w:style>
  <w:style w:type="paragraph" w:styleId="BodyTextbibitem-p">
    <w:name w:val="Body Text.bibitem-p"/>
    <w:basedOn w:val="BodyText"/>
    <w:qFormat/>
    <w:pPr/>
    <w:rPr/>
  </w:style>
  <w:style w:type="paragraph" w:styleId="Heading2titleHead">
    <w:name w:val="Heading 2.titleHead"/>
    <w:basedOn w:val="Heading2"/>
    <w:qFormat/>
    <w:pPr>
      <w:jc w:val="center"/>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file:///home/edier/Documents/INVESTIGACION/PAPERS/ELABORACION/NHPP-movimientos-masa-VdeA/manuscrito1x.png" TargetMode="External"/><Relationship Id="rId4" Type="http://schemas.openxmlformats.org/officeDocument/2006/relationships/image" Target="file:///home/edier/Documents/INVESTIGACION/PAPERS/ELABORACION/NHPP-movimientos-masa-VdeA/manuscrito2x.png"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https://github.com/edieraristizabal/NHPP" TargetMode="External"/><Relationship Id="rId12" Type="http://schemas.openxmlformats.org/officeDocument/2006/relationships/hyperlink" Target="https://www.R-project.org/" TargetMode="External"/><Relationship Id="rId13" Type="http://schemas.openxmlformats.org/officeDocument/2006/relationships/hyperlink" Target="mailto:evaristizabalg@unal.edu.co" TargetMode="Externa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LibreOffice/25.8.5.2$Linux_X86_64 LibreOffice_project/580$Build-2</Application>
  <AppVersion>15.0000</AppVersion>
  <Pages>9</Pages>
  <Words>5824</Words>
  <Characters>33628</Characters>
  <CharactersWithSpaces>39463</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2026-05-01T11:06:27Z</cp:lastPrinted>
  <dcterms:modified xsi:type="dcterms:W3CDTF">2026-05-01T11:06:32Z</dcterms:modified>
  <cp:revision>7</cp:revision>
  <dc:subject/>
  <dc:title>An?#261;lisis espacial de la susceptibilidad a los movimientos en masa mediante Proceso de Poisson No Homog?#x013E;neo: aplicaci?#351;n en Medell?#x014B;n, Colombia Spatial Analysis of Landslide Susceptibility Using a Non-Homogeneous Poisson Process: Application in Medell?#x014B;n, Colombia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tor">
    <vt:lpwstr>TeX4ht (https://tug.org/tex4ht/)</vt:lpwstr>
  </property>
  <property fmtid="{D5CDD505-2E9C-101B-9397-08002B2CF9AE}" pid="3" name="src">
    <vt:lpwstr>manuscrito.tex</vt:lpwstr>
  </property>
</Properties>
</file>