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fonts/font15.odttf" ContentType="application/vnd.openxmlformats-officedocument.obfuscatedFont"/>
  <Override PartName="/word/fonts/font8.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tabs>
          <w:tab w:val="clear" w:pos="720"/>
          <w:tab w:val="right" w:pos="8562" w:leader="none"/>
        </w:tabs>
        <w:spacing w:lineRule="auto" w:line="240" w:before="271" w:after="0"/>
        <w:ind w:hanging="0" w:start="113"/>
        <w:rPr>
          <w:b/>
          <w:bCs/>
          <w:color w:val="00004C"/>
          <w:sz w:val="28"/>
          <w:szCs w:val="28"/>
        </w:rPr>
      </w:pPr>
      <w:r>
        <w:rPr>
          <w:b/>
          <w:bCs/>
          <w:color w:val="00004C"/>
          <w:sz w:val="28"/>
          <w:szCs w:val="28"/>
        </w:rPr>
        <w:t>Uso de modelos multinivel para incorporar la heterogeneidad espacial en la evaluación de la susceptibilidad por movimientos en masa</w:t>
      </w:r>
    </w:p>
    <w:p>
      <w:pPr>
        <w:pStyle w:val="normal1"/>
        <w:tabs>
          <w:tab w:val="clear" w:pos="720"/>
          <w:tab w:val="right" w:pos="8562" w:leader="none"/>
        </w:tabs>
        <w:spacing w:lineRule="auto" w:line="240" w:before="271" w:after="0"/>
        <w:ind w:hanging="0" w:start="113"/>
        <w:rPr/>
      </w:pPr>
      <w:r>
        <w:rPr>
          <w:b/>
          <w:bCs/>
          <w:color w:val="00004C"/>
          <w:sz w:val="28"/>
          <w:szCs w:val="28"/>
        </w:rPr>
        <w:t>Using multilevel models to incorporate spatial heterogeneity in landslide susceptibility assessment</w:t>
      </w:r>
      <w:r>
        <w:rPr>
          <w:rFonts w:eastAsia="Times New Roman" w:cs="Times New Roman" w:ascii="Times New Roman" w:hAnsi="Times New Roman"/>
          <w:color w:val="00004C"/>
          <w:sz w:val="28"/>
          <w:szCs w:val="28"/>
        </w:rPr>
        <w:tab/>
      </w:r>
    </w:p>
    <w:p>
      <w:pPr>
        <w:pStyle w:val="Heading1"/>
        <w:tabs>
          <w:tab w:val="clear" w:pos="720"/>
          <w:tab w:val="right" w:pos="8562" w:leader="none"/>
        </w:tabs>
        <w:spacing w:lineRule="auto" w:line="240" w:before="210" w:after="0"/>
        <w:ind w:firstLine="113" w:start="113"/>
        <w:rPr/>
      </w:pPr>
      <w:r>
        <w:rPr/>
        <w:t>Edier Aristizábal</w:t>
      </w:r>
    </w:p>
    <w:p>
      <w:pPr>
        <w:pStyle w:val="Heading1"/>
        <w:tabs>
          <w:tab w:val="clear" w:pos="720"/>
          <w:tab w:val="right" w:pos="8562" w:leader="none"/>
        </w:tabs>
        <w:spacing w:lineRule="auto" w:line="240" w:before="210" w:after="0"/>
        <w:ind w:firstLine="113" w:start="113"/>
        <w:rPr/>
      </w:pPr>
      <w:hyperlink r:id="rId2">
        <w:r>
          <w:rPr>
            <w:rStyle w:val="Hyperlink"/>
            <w:rFonts w:eastAsia="Times New Roman" w:cs="Times New Roman"/>
            <w:b w:val="false"/>
            <w:bCs w:val="false"/>
            <w:i w:val="false"/>
            <w:iCs w:val="false"/>
            <w:caps w:val="false"/>
            <w:smallCaps w:val="false"/>
            <w:strike w:val="false"/>
            <w:dstrike w:val="false"/>
            <w:color w:val="000000"/>
            <w:position w:val="0"/>
            <w:sz w:val="16"/>
            <w:sz w:val="16"/>
            <w:szCs w:val="16"/>
            <w:u w:val="none"/>
            <w:shd w:fill="auto" w:val="clear"/>
            <w:vertAlign w:val="baseline"/>
          </w:rPr>
          <w:t>evaristizabalg@unal.edu.co</w:t>
        </w:r>
      </w:hyperlink>
      <w:r>
        <w:rPr>
          <w:rFonts w:eastAsia="Times New Roman" w:cs="Times New Roman"/>
          <w:b w:val="false"/>
          <w:bCs w:val="false"/>
          <w:i w:val="false"/>
          <w:iCs w:val="false"/>
          <w:caps w:val="false"/>
          <w:smallCaps w:val="false"/>
          <w:strike w:val="false"/>
          <w:dstrike w:val="false"/>
          <w:color w:val="000000"/>
          <w:position w:val="0"/>
          <w:sz w:val="16"/>
          <w:sz w:val="16"/>
          <w:szCs w:val="16"/>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16"/>
          <w:sz w:val="16"/>
          <w:szCs w:val="16"/>
          <w:u w:val="none"/>
          <w:shd w:fill="auto" w:val="clear"/>
          <w:vertAlign w:val="baseline"/>
        </w:rPr>
        <w:t>Departamento de Geociencias y Medio Ambiente, Universidad Nacional de Colombia</w:t>
      </w:r>
      <w:r>
        <w:rPr>
          <w:rFonts w:eastAsia="Times New Roman" w:cs="Times New Roman"/>
          <w:sz w:val="16"/>
          <w:szCs w:val="16"/>
        </w:rPr>
        <w:t xml:space="preserve">, Carrera 80 </w:t>
      </w:r>
      <w:r>
        <w:rPr>
          <w:rFonts w:eastAsia="Times New Roman" w:cs="Times New Roman"/>
          <w:sz w:val="16"/>
          <w:szCs w:val="16"/>
        </w:rPr>
        <w:t>#</w:t>
      </w:r>
      <w:r>
        <w:rPr>
          <w:rFonts w:eastAsia="Times New Roman" w:cs="Times New Roman"/>
          <w:sz w:val="16"/>
          <w:szCs w:val="16"/>
        </w:rPr>
        <w:t xml:space="preserve"> 65-223, </w:t>
      </w:r>
      <w:r>
        <w:rPr>
          <w:rFonts w:eastAsia="Times New Roman" w:cs="Times New Roman"/>
          <w:b w:val="false"/>
          <w:bCs w:val="false"/>
          <w:i w:val="false"/>
          <w:iCs w:val="false"/>
          <w:caps w:val="false"/>
          <w:smallCaps w:val="false"/>
          <w:strike w:val="false"/>
          <w:dstrike w:val="false"/>
          <w:color w:val="000000"/>
          <w:position w:val="0"/>
          <w:sz w:val="16"/>
          <w:sz w:val="16"/>
          <w:szCs w:val="16"/>
          <w:u w:val="none"/>
          <w:shd w:fill="auto" w:val="clear"/>
          <w:vertAlign w:val="baseline"/>
        </w:rPr>
        <w:t>Medellín, Colombia</w:t>
        <w:tab/>
      </w:r>
    </w:p>
    <w:p>
      <w:pPr>
        <w:pStyle w:val="normal1"/>
        <w:spacing w:lineRule="auto" w:line="240" w:before="270" w:after="0"/>
        <w:ind w:end="138"/>
        <w:jc w:val="end"/>
        <w:rPr>
          <w:sz w:val="10"/>
          <w:szCs w:val="10"/>
        </w:rPr>
      </w:pPr>
      <w:r>
        <w:rPr>
          <w:sz w:val="10"/>
          <w:szCs w:val="10"/>
        </w:rPr>
        <mc:AlternateContent>
          <mc:Choice Requires="wps">
            <w:drawing>
              <wp:anchor behindDoc="0" distT="0" distB="0" distL="0" distR="0" simplePos="0" locked="0" layoutInCell="1" allowOverlap="1" relativeHeight="18">
                <wp:simplePos x="0" y="0"/>
                <wp:positionH relativeFrom="column">
                  <wp:posOffset>180975</wp:posOffset>
                </wp:positionH>
                <wp:positionV relativeFrom="paragraph">
                  <wp:posOffset>227330</wp:posOffset>
                </wp:positionV>
                <wp:extent cx="5197475" cy="5694045"/>
                <wp:effectExtent l="0" t="0" r="0" b="0"/>
                <wp:wrapNone/>
                <wp:docPr id="1" name="Shape 4"/>
                <a:graphic xmlns:a="http://schemas.openxmlformats.org/drawingml/2006/main">
                  <a:graphicData uri="http://schemas.microsoft.com/office/word/2010/wordprocessingShape">
                    <wps:wsp>
                      <wps:cNvSpPr/>
                      <wps:spPr>
                        <a:xfrm>
                          <a:off x="0" y="0"/>
                          <a:ext cx="5197320" cy="5694120"/>
                        </a:xfrm>
                        <a:prstGeom prst="rect">
                          <a:avLst/>
                        </a:prstGeom>
                        <a:solidFill>
                          <a:srgbClr val="d8d8e4"/>
                        </a:solidFill>
                        <a:ln w="0">
                          <a:noFill/>
                        </a:ln>
                      </wps:spPr>
                      <wps:style>
                        <a:lnRef idx="0"/>
                        <a:fillRef idx="0"/>
                        <a:effectRef idx="0"/>
                        <a:fontRef idx="minor"/>
                      </wps:style>
                      <wps:txbx>
                        <w:txbxContent>
                          <w:p>
                            <w:pPr>
                              <w:pStyle w:val="FrameContents"/>
                              <w:spacing w:lineRule="auto" w:line="240" w:before="130" w:after="0"/>
                              <w:ind w:hanging="0" w:start="199" w:end="0"/>
                              <w:jc w:val="start"/>
                              <w:rPr/>
                            </w:pPr>
                            <w:r>
                              <w:rPr>
                                <w:rFonts w:eastAsia="Trebuchet MS" w:cs="Trebuchet MS"/>
                                <w:b/>
                                <w:i w:val="false"/>
                                <w:caps w:val="false"/>
                                <w:smallCaps w:val="false"/>
                                <w:strike w:val="false"/>
                                <w:dstrike w:val="false"/>
                                <w:color w:val="000000"/>
                                <w:position w:val="0"/>
                                <w:sz w:val="18"/>
                                <w:sz w:val="18"/>
                                <w:vertAlign w:val="baseline"/>
                              </w:rPr>
                              <w:t>Abstract</w:t>
                            </w:r>
                          </w:p>
                          <w:p>
                            <w:pPr>
                              <w:pStyle w:val="FrameContents"/>
                              <w:spacing w:lineRule="auto" w:line="252" w:before="31" w:after="0"/>
                              <w:ind w:hanging="0" w:start="199" w:end="197"/>
                              <w:jc w:val="both"/>
                              <w:rPr/>
                            </w:pPr>
                            <w:r>
                              <w:rPr>
                                <w:rFonts w:eastAsia="Times New Roman" w:cs="Times New Roman" w:ascii="Times New Roman" w:hAnsi="Times New Roman"/>
                                <w:b w:val="false"/>
                                <w:i w:val="false"/>
                                <w:caps w:val="false"/>
                                <w:smallCaps w:val="false"/>
                                <w:strike w:val="false"/>
                                <w:dstrike w:val="false"/>
                                <w:color w:val="000000"/>
                                <w:position w:val="0"/>
                                <w:sz w:val="18"/>
                                <w:sz w:val="18"/>
                                <w:vertAlign w:val="baseline"/>
                              </w:rPr>
                              <w:t>Landslide susceptibility is defined as the likelihood of landslide occurrence under favorable terrain con- ditions. Traditional logistic regression models often fall short by assuming spatial homogeneity, ignor- ing the inherent variability of physical and environmental factors. To overcome this limitation, multilevel models that incorporate both fixed and random effects to capture variability among different spatial units. In this study, a multilevel logistic regression model to assess landslide susceptibility in the Colombian Andes, incorporating both natural hydrological divisions and clustering-based spatial . This approach provides a more nuanced representation of susceptibility by addressing geographic heterogeneity. Two regionalization approaches re tested: natural basin divisions (Atrato, Cauca, Magdalena) and spatial clustering derived from morphometric characteristics. The results reveal that basin-based regionalization achieve a better model fit based on Aand B metrics compared to the clustering model. This suggests that hydrological boundaries are more consistent in capturing landslide dynamics in  study area, likely due to their alignment with geomorphological processes. The fixed and random effect coefficients illustrate that variables such as elevation, relief, and area have significant variability depending on the regionalization method used. A major advantage of using multilevel models is their ability to incorporate spatial variability without artificially dividing the study area and training separate models for each subregion. By using shared information between different spatial units, these models can improve the estimation of both global and local effects.</w:t>
                            </w:r>
                          </w:p>
                          <w:p>
                            <w:pPr>
                              <w:pStyle w:val="FrameContents"/>
                              <w:spacing w:lineRule="auto" w:line="252" w:before="31" w:after="0"/>
                              <w:ind w:hanging="0" w:start="199" w:end="197"/>
                              <w:jc w:val="both"/>
                              <w:rPr/>
                            </w:pPr>
                            <w:r>
                              <w:rPr/>
                            </w:r>
                          </w:p>
                          <w:p>
                            <w:pPr>
                              <w:pStyle w:val="FrameContents"/>
                              <w:spacing w:lineRule="auto" w:line="252" w:before="31" w:after="0"/>
                              <w:ind w:hanging="0" w:start="199" w:end="197"/>
                              <w:jc w:val="both"/>
                              <w:rPr/>
                            </w:pPr>
                            <w:r>
                              <w:rPr>
                                <w:rFonts w:eastAsia="Trebuchet MS" w:cs="Trebuchet MS"/>
                                <w:b/>
                                <w:i w:val="false"/>
                                <w:caps w:val="false"/>
                                <w:smallCaps w:val="false"/>
                                <w:strike w:val="false"/>
                                <w:dstrike w:val="false"/>
                                <w:color w:val="000000"/>
                                <w:position w:val="0"/>
                                <w:sz w:val="18"/>
                                <w:sz w:val="18"/>
                                <w:vertAlign w:val="baseline"/>
                              </w:rPr>
                              <w:t>Resumen</w:t>
                            </w:r>
                          </w:p>
                          <w:p>
                            <w:pPr>
                              <w:pStyle w:val="FrameContents"/>
                              <w:spacing w:lineRule="auto" w:line="252" w:before="31" w:after="0"/>
                              <w:ind w:hanging="0" w:start="199" w:end="197"/>
                              <w:jc w:val="both"/>
                              <w:rPr/>
                            </w:pPr>
                            <w:r>
                              <w:rPr>
                                <w:rFonts w:eastAsia="Times New Roman" w:cs="Times New Roman" w:ascii="Times New Roman" w:hAnsi="Times New Roman"/>
                                <w:b w:val="false"/>
                                <w:i w:val="false"/>
                                <w:caps w:val="false"/>
                                <w:smallCaps w:val="false"/>
                                <w:strike w:val="false"/>
                                <w:dstrike w:val="false"/>
                                <w:color w:val="000000"/>
                                <w:position w:val="0"/>
                                <w:sz w:val="18"/>
                                <w:sz w:val="18"/>
                                <w:vertAlign w:val="baseline"/>
                              </w:rPr>
                              <w:t>La</w:t>
                            </w:r>
                            <w:r>
                              <w:rPr>
                                <w:rFonts w:eastAsia="Arial" w:cs="Arial" w:ascii="Arial" w:hAnsi="Arial"/>
                                <w:b w:val="false"/>
                                <w:i w:val="false"/>
                                <w:caps w:val="false"/>
                                <w:smallCaps w:val="false"/>
                                <w:strike w:val="false"/>
                                <w:dstrike w:val="false"/>
                                <w:color w:val="000000"/>
                                <w:position w:val="0"/>
                                <w:sz w:val="22"/>
                                <w:sz w:val="22"/>
                                <w:vertAlign w:val="baseline"/>
                              </w:rPr>
                              <w:t xml:space="preserve"> </w:t>
                            </w:r>
                            <w:r>
                              <w:rPr>
                                <w:rFonts w:eastAsia="Times New Roman" w:cs="Times New Roman" w:ascii="Times New Roman" w:hAnsi="Times New Roman"/>
                                <w:b w:val="false"/>
                                <w:i w:val="false"/>
                                <w:caps w:val="false"/>
                                <w:smallCaps w:val="false"/>
                                <w:strike w:val="false"/>
                                <w:dstrike w:val="false"/>
                                <w:color w:val="000000"/>
                                <w:position w:val="0"/>
                                <w:sz w:val="18"/>
                                <w:sz w:val="18"/>
                                <w:vertAlign w:val="baseline"/>
                              </w:rPr>
                              <w:t>susceptibilidad por movimientos en masa se define como la probabilidad de que ocurra un deslizamiento bajo condiciones de terreno favorables. Los modelos de regresión logística tradicionales a menudo se quedan cortos al asumir homogeneidad espacial, ignorando la variabilidad inherente de los factores físicos y ambientales. Para superar esta limitación, los modelos multinivel incorporan efectos tanto fijos como aleatorios para capturar la variabilidad entre diferentes unidades espaciales. En este estudio, se emplea un modelo de regresión logística multinivel para evaluar la susceptibilidad por movimientos en masa en los Andes colombianos, incorporando tanto divisiones hidrológicas naturales como una regionalización espacial basada en agrupamiento (clustering). Este enfoque proporciona una representación más matizada de la susceptibilidad al abordar la heterogeneidad geográfica. Se probaron dos enfoques de regionalización: divisiones por cuencas naturales (Atrato, Cauca y Magdalena) y un agrupamiento espacial derivado de características morfométricas. Los resultados revelan que la regionalización basada en cuencas logra un mejor ajuste del modelo (basado en las métricas AIC y BIC) en comparación con el modelo de clustering. Esto sugiere que los límites hidrológicos son más consistentes para capturar la dinámica de los movimientos en masa en el área de estudio, probablemente debido a su alineación con los procesos geomorfológicos. Los coeficientes de efectos fijos y aleatorios muestran que variables como la elevación, el relieve y el área presentan una variabilidad significativa dependiendo del método de regionalización utilizado. Una de las principales ventajas de utilizar modelos multinivel es su capacidad para incorporar la variabilidad espacial sin dividir artificialmente el área de estudio ni entrenar modelos separados para cada subregión. Al utilizar información compartida entre las diferentes unidades espaciales, estos modelos pueden mejorar la estimación de los efectos tanto globales como locales.</w:t>
                            </w:r>
                          </w:p>
                          <w:p>
                            <w:pPr>
                              <w:pStyle w:val="FrameContents"/>
                              <w:spacing w:lineRule="auto" w:line="252" w:before="31" w:after="0"/>
                              <w:ind w:hanging="0" w:start="199" w:end="197"/>
                              <w:jc w:val="both"/>
                              <w:rPr/>
                            </w:pPr>
                            <w:r>
                              <w:rPr/>
                            </w:r>
                          </w:p>
                        </w:txbxContent>
                      </wps:txbx>
                      <wps:bodyPr lIns="0" rIns="0" tIns="0" bIns="0" anchor="t">
                        <a:noAutofit/>
                      </wps:bodyPr>
                    </wps:wsp>
                  </a:graphicData>
                </a:graphic>
              </wp:anchor>
            </w:drawing>
          </mc:Choice>
          <mc:Fallback>
            <w:pict>
              <v:rect id="shape_0" ID="Shape 4" path="m0,0l-2147483645,0l-2147483645,-2147483646l0,-2147483646xe" fillcolor="#d8d8e4" stroked="f" o:allowincell="f" style="position:absolute;margin-left:14.25pt;margin-top:17.9pt;width:409.2pt;height:448.3pt;mso-wrap-style:square;v-text-anchor:top">
                <v:fill o:detectmouseclick="t" type="solid" color2="#27271b"/>
                <v:stroke color="#3465a4" joinstyle="round" endcap="flat"/>
                <v:textbox>
                  <w:txbxContent>
                    <w:p>
                      <w:pPr>
                        <w:pStyle w:val="FrameContents"/>
                        <w:spacing w:lineRule="auto" w:line="240" w:before="130" w:after="0"/>
                        <w:ind w:hanging="0" w:start="199" w:end="0"/>
                        <w:jc w:val="start"/>
                        <w:rPr/>
                      </w:pPr>
                      <w:r>
                        <w:rPr>
                          <w:rFonts w:eastAsia="Trebuchet MS" w:cs="Trebuchet MS"/>
                          <w:b/>
                          <w:i w:val="false"/>
                          <w:caps w:val="false"/>
                          <w:smallCaps w:val="false"/>
                          <w:strike w:val="false"/>
                          <w:dstrike w:val="false"/>
                          <w:color w:val="000000"/>
                          <w:position w:val="0"/>
                          <w:sz w:val="18"/>
                          <w:sz w:val="18"/>
                          <w:vertAlign w:val="baseline"/>
                        </w:rPr>
                        <w:t>Abstract</w:t>
                      </w:r>
                    </w:p>
                    <w:p>
                      <w:pPr>
                        <w:pStyle w:val="FrameContents"/>
                        <w:spacing w:lineRule="auto" w:line="252" w:before="31" w:after="0"/>
                        <w:ind w:hanging="0" w:start="199" w:end="197"/>
                        <w:jc w:val="both"/>
                        <w:rPr/>
                      </w:pPr>
                      <w:r>
                        <w:rPr>
                          <w:rFonts w:eastAsia="Times New Roman" w:cs="Times New Roman" w:ascii="Times New Roman" w:hAnsi="Times New Roman"/>
                          <w:b w:val="false"/>
                          <w:i w:val="false"/>
                          <w:caps w:val="false"/>
                          <w:smallCaps w:val="false"/>
                          <w:strike w:val="false"/>
                          <w:dstrike w:val="false"/>
                          <w:color w:val="000000"/>
                          <w:position w:val="0"/>
                          <w:sz w:val="18"/>
                          <w:sz w:val="18"/>
                          <w:vertAlign w:val="baseline"/>
                        </w:rPr>
                        <w:t>Landslide susceptibility is defined as the likelihood of landslide occurrence under favorable terrain con- ditions. Traditional logistic regression models often fall short by assuming spatial homogeneity, ignor- ing the inherent variability of physical and environmental factors. To overcome this limitation, multilevel models that incorporate both fixed and random effects to capture variability among different spatial units. In this study, a multilevel logistic regression model to assess landslide susceptibility in the Colombian Andes, incorporating both natural hydrological divisions and clustering-based spatial . This approach provides a more nuanced representation of susceptibility by addressing geographic heterogeneity. Two regionalization approaches re tested: natural basin divisions (Atrato, Cauca, Magdalena) and spatial clustering derived from morphometric characteristics. The results reveal that basin-based regionalization achieve a better model fit based on Aand B metrics compared to the clustering model. This suggests that hydrological boundaries are more consistent in capturing landslide dynamics in  study area, likely due to their alignment with geomorphological processes. The fixed and random effect coefficients illustrate that variables such as elevation, relief, and area have significant variability depending on the regionalization method used. A major advantage of using multilevel models is their ability to incorporate spatial variability without artificially dividing the study area and training separate models for each subregion. By using shared information between different spatial units, these models can improve the estimation of both global and local effects.</w:t>
                      </w:r>
                    </w:p>
                    <w:p>
                      <w:pPr>
                        <w:pStyle w:val="FrameContents"/>
                        <w:spacing w:lineRule="auto" w:line="252" w:before="31" w:after="0"/>
                        <w:ind w:hanging="0" w:start="199" w:end="197"/>
                        <w:jc w:val="both"/>
                        <w:rPr/>
                      </w:pPr>
                      <w:r>
                        <w:rPr/>
                      </w:r>
                    </w:p>
                    <w:p>
                      <w:pPr>
                        <w:pStyle w:val="FrameContents"/>
                        <w:spacing w:lineRule="auto" w:line="252" w:before="31" w:after="0"/>
                        <w:ind w:hanging="0" w:start="199" w:end="197"/>
                        <w:jc w:val="both"/>
                        <w:rPr/>
                      </w:pPr>
                      <w:r>
                        <w:rPr>
                          <w:rFonts w:eastAsia="Trebuchet MS" w:cs="Trebuchet MS"/>
                          <w:b/>
                          <w:i w:val="false"/>
                          <w:caps w:val="false"/>
                          <w:smallCaps w:val="false"/>
                          <w:strike w:val="false"/>
                          <w:dstrike w:val="false"/>
                          <w:color w:val="000000"/>
                          <w:position w:val="0"/>
                          <w:sz w:val="18"/>
                          <w:sz w:val="18"/>
                          <w:vertAlign w:val="baseline"/>
                        </w:rPr>
                        <w:t>Resumen</w:t>
                      </w:r>
                    </w:p>
                    <w:p>
                      <w:pPr>
                        <w:pStyle w:val="FrameContents"/>
                        <w:spacing w:lineRule="auto" w:line="252" w:before="31" w:after="0"/>
                        <w:ind w:hanging="0" w:start="199" w:end="197"/>
                        <w:jc w:val="both"/>
                        <w:rPr/>
                      </w:pPr>
                      <w:r>
                        <w:rPr>
                          <w:rFonts w:eastAsia="Times New Roman" w:cs="Times New Roman" w:ascii="Times New Roman" w:hAnsi="Times New Roman"/>
                          <w:b w:val="false"/>
                          <w:i w:val="false"/>
                          <w:caps w:val="false"/>
                          <w:smallCaps w:val="false"/>
                          <w:strike w:val="false"/>
                          <w:dstrike w:val="false"/>
                          <w:color w:val="000000"/>
                          <w:position w:val="0"/>
                          <w:sz w:val="18"/>
                          <w:sz w:val="18"/>
                          <w:vertAlign w:val="baseline"/>
                        </w:rPr>
                        <w:t>La</w:t>
                      </w:r>
                      <w:r>
                        <w:rPr>
                          <w:rFonts w:eastAsia="Arial" w:cs="Arial" w:ascii="Arial" w:hAnsi="Arial"/>
                          <w:b w:val="false"/>
                          <w:i w:val="false"/>
                          <w:caps w:val="false"/>
                          <w:smallCaps w:val="false"/>
                          <w:strike w:val="false"/>
                          <w:dstrike w:val="false"/>
                          <w:color w:val="000000"/>
                          <w:position w:val="0"/>
                          <w:sz w:val="22"/>
                          <w:sz w:val="22"/>
                          <w:vertAlign w:val="baseline"/>
                        </w:rPr>
                        <w:t xml:space="preserve"> </w:t>
                      </w:r>
                      <w:r>
                        <w:rPr>
                          <w:rFonts w:eastAsia="Times New Roman" w:cs="Times New Roman" w:ascii="Times New Roman" w:hAnsi="Times New Roman"/>
                          <w:b w:val="false"/>
                          <w:i w:val="false"/>
                          <w:caps w:val="false"/>
                          <w:smallCaps w:val="false"/>
                          <w:strike w:val="false"/>
                          <w:dstrike w:val="false"/>
                          <w:color w:val="000000"/>
                          <w:position w:val="0"/>
                          <w:sz w:val="18"/>
                          <w:sz w:val="18"/>
                          <w:vertAlign w:val="baseline"/>
                        </w:rPr>
                        <w:t>susceptibilidad por movimientos en masa se define como la probabilidad de que ocurra un deslizamiento bajo condiciones de terreno favorables. Los modelos de regresión logística tradicionales a menudo se quedan cortos al asumir homogeneidad espacial, ignorando la variabilidad inherente de los factores físicos y ambientales. Para superar esta limitación, los modelos multinivel incorporan efectos tanto fijos como aleatorios para capturar la variabilidad entre diferentes unidades espaciales. En este estudio, se emplea un modelo de regresión logística multinivel para evaluar la susceptibilidad por movimientos en masa en los Andes colombianos, incorporando tanto divisiones hidrológicas naturales como una regionalización espacial basada en agrupamiento (clustering). Este enfoque proporciona una representación más matizada de la susceptibilidad al abordar la heterogeneidad geográfica. Se probaron dos enfoques de regionalización: divisiones por cuencas naturales (Atrato, Cauca y Magdalena) y un agrupamiento espacial derivado de características morfométricas. Los resultados revelan que la regionalización basada en cuencas logra un mejor ajuste del modelo (basado en las métricas AIC y BIC) en comparación con el modelo de clustering. Esto sugiere que los límites hidrológicos son más consistentes para capturar la dinámica de los movimientos en masa en el área de estudio, probablemente debido a su alineación con los procesos geomorfológicos. Los coeficientes de efectos fijos y aleatorios muestran que variables como la elevación, el relieve y el área presentan una variabilidad significativa dependiendo del método de regionalización utilizado. Una de las principales ventajas de utilizar modelos multinivel es su capacidad para incorporar la variabilidad espacial sin dividir artificialmente el área de estudio ni entrenar modelos separados para cada subregión. Al utilizar información compartida entre las diferentes unidades espaciales, estos modelos pueden mejorar la estimación de los efectos tanto globales como locales.</w:t>
                      </w:r>
                    </w:p>
                    <w:p>
                      <w:pPr>
                        <w:pStyle w:val="FrameContents"/>
                        <w:spacing w:lineRule="auto" w:line="252" w:before="31" w:after="0"/>
                        <w:ind w:hanging="0" w:start="199" w:end="197"/>
                        <w:jc w:val="both"/>
                        <w:rPr/>
                      </w:pPr>
                      <w:r>
                        <w:rPr/>
                      </w:r>
                    </w:p>
                  </w:txbxContent>
                </v:textbox>
                <w10:wrap type="none"/>
              </v:rect>
            </w:pict>
          </mc:Fallback>
        </mc:AlternateContent>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240" w:before="79"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Palatino Linotype" w:cs="Palatino Linotype" w:ascii="Palatino Linotype" w:hAnsi="Palatino Linotype"/>
          <w:b/>
          <w:bCs/>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Palatino Linotype" w:hAnsi="Palatino Linotype" w:eastAsia="Palatino Linotype" w:cs="Palatino Linotype"/>
          <w:b/>
          <w:bCs/>
          <w:sz w:val="16"/>
          <w:szCs w:val="16"/>
        </w:rPr>
      </w:pPr>
      <w:r>
        <w:rPr>
          <w:rFonts w:eastAsia="Palatino Linotype" w:cs="Palatino Linotype" w:ascii="Palatino Linotype" w:hAnsi="Palatino Linotype"/>
          <w:b/>
          <w:bCs/>
          <w:sz w:val="16"/>
          <w:szCs w:val="16"/>
        </w:rPr>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Palatino Linotype" w:cs="Palatino Linotype" w:ascii="Palatino Linotype" w:hAnsi="Palatino Linotype"/>
          <w:b/>
          <w:bCs/>
          <w:i w:val="false"/>
          <w:iCs w:val="false"/>
          <w:caps w:val="false"/>
          <w:smallCaps w:val="false"/>
          <w:strike w:val="false"/>
          <w:dstrike w:val="false"/>
          <w:color w:val="000000"/>
          <w:position w:val="0"/>
          <w:sz w:val="16"/>
          <w:sz w:val="16"/>
          <w:szCs w:val="16"/>
          <w:u w:val="none"/>
          <w:shd w:fill="auto" w:val="clear"/>
          <w:vertAlign w:val="baseline"/>
        </w:rPr>
      </w:r>
    </w:p>
    <w:p>
      <w:pPr>
        <w:pStyle w:val="normal1"/>
        <w:widowControl w:val="false"/>
        <w:pBdr/>
        <w:shd w:val="clear" w:fill="auto"/>
        <w:tabs>
          <w:tab w:val="clear" w:pos="720"/>
          <w:tab w:val="left" w:pos="8513" w:leader="none"/>
        </w:tabs>
        <w:spacing w:lineRule="auto" w:line="240" w:before="0" w:after="0"/>
        <w:ind w:hanging="0" w:start="113" w:end="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Palatino Linotype" w:cs="Palatino Linotype" w:ascii="Palatino Linotype" w:hAnsi="Palatino Linotype"/>
          <w:b/>
          <w:bCs/>
          <w:i w:val="false"/>
          <w:iCs w:val="false"/>
          <w:caps w:val="false"/>
          <w:smallCaps w:val="false"/>
          <w:strike w:val="false"/>
          <w:dstrike w:val="false"/>
          <w:color w:val="000000"/>
          <w:position w:val="0"/>
          <w:sz w:val="16"/>
          <w:sz w:val="16"/>
          <w:szCs w:val="16"/>
          <w:u w:val="none"/>
          <w:shd w:fill="auto" w:val="clear"/>
          <w:vertAlign w:val="baseline"/>
        </w:rPr>
        <w:t xml:space="preserve">Keywords: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 w:val="16"/>
          <w:szCs w:val="16"/>
          <w:u w:val="none"/>
          <w:shd w:fill="auto" w:val="clear"/>
          <w:vertAlign w:val="baseline"/>
        </w:rPr>
        <w:t>landslide; susceptibility; logistic regression; spatial heterogeneity</w:t>
      </w:r>
    </w:p>
    <w:p>
      <w:pPr>
        <w:pStyle w:val="normal1"/>
        <w:keepNext w:val="false"/>
        <w:keepLines w:val="false"/>
        <w:pageBreakBefore w:val="false"/>
        <w:widowControl w:val="false"/>
        <w:pBdr/>
        <w:shd w:val="clear" w:fill="auto"/>
        <w:tabs>
          <w:tab w:val="clear" w:pos="720"/>
          <w:tab w:val="left" w:pos="8513" w:leader="none"/>
        </w:tabs>
        <w:spacing w:lineRule="auto" w:line="240" w:before="0" w:after="0"/>
        <w:ind w:hanging="0" w:start="113" w:end="0"/>
        <w:jc w:val="both"/>
        <w:rPr>
          <w:rFonts w:ascii="Times New Roman" w:hAnsi="Times New Roman" w:eastAsia="Times New Roman" w:cs="Times New Roman"/>
          <w:sz w:val="16"/>
          <w:szCs w:val="16"/>
        </w:rPr>
      </w:pPr>
      <w:r>
        <w:rPr>
          <w:rFonts w:eastAsia="Palatino Linotype" w:cs="Palatino Linotype" w:ascii="Palatino Linotype" w:hAnsi="Palatino Linotype"/>
          <w:b/>
          <w:bCs/>
          <w:sz w:val="16"/>
          <w:szCs w:val="16"/>
        </w:rPr>
        <w:t>Palabras clave:</w:t>
      </w:r>
      <w:r>
        <w:rPr>
          <w:rFonts w:eastAsia="Times New Roman" w:cs="Times New Roman" w:ascii="Times New Roman" w:hAnsi="Times New Roman"/>
          <w:sz w:val="16"/>
          <w:szCs w:val="16"/>
        </w:rPr>
        <w:t xml:space="preserve"> Deslizamientos, susceptibilidad, regresión logística, heterogeneidad especial.</w:t>
      </w:r>
    </w:p>
    <w:p>
      <w:pPr>
        <w:pStyle w:val="normal1"/>
        <w:keepNext w:val="false"/>
        <w:keepLines w:val="false"/>
        <w:pageBreakBefore w:val="false"/>
        <w:widowControl w:val="false"/>
        <w:numPr>
          <w:ilvl w:val="0"/>
          <w:numId w:val="1"/>
        </w:numPr>
        <w:pBdr/>
        <w:shd w:val="clear" w:fill="auto"/>
        <w:tabs>
          <w:tab w:val="clear" w:pos="720"/>
          <w:tab w:val="left" w:pos="397" w:leader="none"/>
          <w:tab w:val="left" w:pos="8513" w:leader="none"/>
        </w:tabs>
        <w:spacing w:lineRule="auto" w:line="240" w:before="350" w:after="0"/>
        <w:ind w:hanging="284" w:start="397" w:end="0"/>
        <w:jc w:val="start"/>
        <w:rPr>
          <w:rFonts w:ascii="Palatino Linotype" w:hAnsi="Palatino Linotype" w:eastAsia="Palatino Linotype" w:cs="Palatino Linotyp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Palatino Linotype" w:cs="Palatino Linotype" w:ascii="Palatino Linotype" w:hAnsi="Palatino Linotype"/>
          <w:b/>
          <w:bCs/>
          <w:color w:val="00004C"/>
          <w:sz w:val="24"/>
          <w:szCs w:val="24"/>
        </w:rPr>
        <w:t>I</w:t>
      </w:r>
      <w:bookmarkStart w:id="0" w:name="bookmark=id.d2aa22xmeffj"/>
      <w:bookmarkEnd w:id="0"/>
      <w:r>
        <w:rPr>
          <w:rFonts w:eastAsia="Palatino Linotype" w:cs="Palatino Linotype" w:ascii="Palatino Linotype" w:hAnsi="Palatino Linotype"/>
          <w:b/>
          <w:bCs/>
          <w:i w:val="false"/>
          <w:iCs w:val="false"/>
          <w:caps w:val="false"/>
          <w:smallCaps w:val="false"/>
          <w:strike w:val="false"/>
          <w:dstrike w:val="false"/>
          <w:color w:val="00004C"/>
          <w:position w:val="0"/>
          <w:sz w:val="24"/>
          <w:sz w:val="24"/>
          <w:szCs w:val="24"/>
          <w:u w:val="none"/>
          <w:shd w:fill="auto" w:val="clear"/>
          <w:vertAlign w:val="baseline"/>
        </w:rPr>
        <w:t>ntroducción</w:t>
      </w:r>
      <w:r>
        <w:rPr>
          <w:rFonts w:eastAsia="Times New Roman" w:cs="Times New Roman" w:ascii="Times New Roman" w:hAnsi="Times New Roman"/>
          <w:b w:val="false"/>
          <w:bCs w:val="false"/>
          <w:i w:val="false"/>
          <w:iCs w:val="false"/>
          <w:caps w:val="false"/>
          <w:smallCaps w:val="false"/>
          <w:strike w:val="false"/>
          <w:dstrike w:val="false"/>
          <w:color w:val="00004C"/>
          <w:position w:val="0"/>
          <w:sz w:val="24"/>
          <w:sz w:val="24"/>
          <w:szCs w:val="24"/>
          <w:u w:val="none"/>
          <w:shd w:fill="auto" w:val="clear"/>
          <w:vertAlign w:val="baseline"/>
        </w:rPr>
        <w:tab/>
      </w:r>
    </w:p>
    <w:p>
      <w:pPr>
        <w:pStyle w:val="Heading1"/>
        <w:spacing w:lineRule="auto" w:line="240" w:before="185" w:after="0"/>
        <w:ind w:firstLine="113" w:start="113"/>
        <w:jc w:val="both"/>
        <w:rPr/>
      </w:pPr>
      <w:r>
        <w:rPr/>
        <w:t xml:space="preserve">La susceptibilidad a movimientos en masa se define como la probabilidad que ocurra un movimiento en masa en un área dada (Brabb, </w:t>
      </w:r>
      <w:hyperlink w:anchor="_heading=h.qwmwvfqrzex1">
        <w:r>
          <w:rPr>
            <w:rStyle w:val="Style3"/>
            <w:color w:val="00004C"/>
          </w:rPr>
          <w:t>1984</w:t>
        </w:r>
      </w:hyperlink>
      <w:r>
        <w:rPr/>
        <w:t xml:space="preserve">; Fell et al., </w:t>
      </w:r>
      <w:hyperlink w:anchor="_heading=h.5y35sojxpa5b">
        <w:r>
          <w:rPr>
            <w:rStyle w:val="Style3"/>
            <w:color w:val="00004C"/>
          </w:rPr>
          <w:t>2008</w:t>
        </w:r>
      </w:hyperlink>
      <w:r>
        <w:rPr/>
        <w:t xml:space="preserve">; Corominas et al., </w:t>
      </w:r>
      <w:hyperlink w:anchor="_heading=h.gwwrcwghpa5j">
        <w:r>
          <w:rPr>
            <w:rStyle w:val="Style3"/>
            <w:color w:val="00004C"/>
          </w:rPr>
          <w:t>2014</w:t>
        </w:r>
      </w:hyperlink>
      <w:r>
        <w:rPr/>
        <w:t xml:space="preserve">). Esta probabilidad está vinculada con la condición natural del terreno, la cual depende de diversos factores geológicos, hidrológicos y geomorfológicos, entre otros (Soeters y Van Westen, </w:t>
      </w:r>
      <w:hyperlink w:anchor="_heading=h.cz61x6p0p4r4">
        <w:r>
          <w:rPr>
            <w:rStyle w:val="Style3"/>
            <w:color w:val="00004C"/>
          </w:rPr>
          <w:t>1996</w:t>
        </w:r>
      </w:hyperlink>
      <w:r>
        <w:rPr/>
        <w:t xml:space="preserve">; Reichenbach et al., </w:t>
      </w:r>
      <w:hyperlink w:anchor="_heading=h.lisasds4vndh">
        <w:r>
          <w:rPr>
            <w:rStyle w:val="Style3"/>
            <w:color w:val="00004C"/>
          </w:rPr>
          <w:t>2018</w:t>
        </w:r>
      </w:hyperlink>
      <w:r>
        <w:rPr/>
        <w:t xml:space="preserve">). A diferencia del concepto de amenaza, que incluye la componente temporal, la susceptibilidad se centra exclusivamente en las condiciones del terreno y su entorno que lo hacen favorable a la ocurrencia de movimientos en masa (Fell et al., </w:t>
      </w:r>
      <w:hyperlink w:anchor="_heading=h.5y35sojxpa5b">
        <w:r>
          <w:rPr>
            <w:rStyle w:val="Style3"/>
            <w:color w:val="00004C"/>
          </w:rPr>
          <w:t>2008</w:t>
        </w:r>
      </w:hyperlink>
      <w:r>
        <w:rPr/>
        <w:t xml:space="preserve">; Corominas et al., </w:t>
      </w:r>
      <w:hyperlink w:anchor="_heading=h.gwwrcwghpa5j">
        <w:r>
          <w:rPr>
            <w:rStyle w:val="Style3"/>
            <w:color w:val="00004C"/>
          </w:rPr>
          <w:t>2014</w:t>
        </w:r>
      </w:hyperlink>
      <w:r>
        <w:rPr/>
        <w:t xml:space="preserve">). </w:t>
      </w:r>
    </w:p>
    <w:p>
      <w:pPr>
        <w:pStyle w:val="Heading1"/>
        <w:spacing w:lineRule="auto" w:line="240" w:before="185" w:after="0"/>
        <w:ind w:firstLine="113" w:start="113"/>
        <w:jc w:val="both"/>
        <w:rPr/>
      </w:pPr>
      <w:r>
        <w:rPr/>
        <w:t xml:space="preserve">Para la evaluación de la susceptibilidad por movimientos en masa se han empleado tradicionalmente diversos enfoques, incluidos métodos basados en el conocimiento (heurísticos) (Barredo et al., </w:t>
      </w:r>
      <w:hyperlink w:anchor="_heading=h.kkhqj69cfb2b">
        <w:r>
          <w:rPr>
            <w:rStyle w:val="Style3"/>
            <w:color w:val="00004C"/>
          </w:rPr>
          <w:t>2000</w:t>
        </w:r>
      </w:hyperlink>
      <w:r>
        <w:rPr/>
        <w:t xml:space="preserve">), en datos (estadísticos) (Korup y Stolle, </w:t>
      </w:r>
      <w:hyperlink w:anchor="_heading=h.k1qzk27fbt53">
        <w:r>
          <w:rPr>
            <w:rStyle w:val="Style3"/>
            <w:color w:val="00004C"/>
          </w:rPr>
          <w:t>2014</w:t>
        </w:r>
      </w:hyperlink>
      <w:r>
        <w:rPr/>
        <w:t xml:space="preserve">) y con base física (Montgomery y Dietrich, </w:t>
      </w:r>
      <w:hyperlink w:anchor="_heading=h.uxgrp2ltfqf1">
        <w:r>
          <w:rPr>
            <w:rStyle w:val="Style3"/>
            <w:color w:val="00004C"/>
          </w:rPr>
          <w:t>1994</w:t>
        </w:r>
      </w:hyperlink>
      <w:r>
        <w:rPr/>
        <w:t xml:space="preserve">). Los modelos heurísticos se basan en observaciones previas y en la experiencia del analista, lo que los hace prácticos pero limitados en cuanto a reproducibilidad y objetividad (Huang et al., </w:t>
      </w:r>
      <w:hyperlink w:anchor="_heading=h.yr79qyi5bjg">
        <w:r>
          <w:rPr>
            <w:rStyle w:val="Style3"/>
            <w:color w:val="00004C"/>
          </w:rPr>
          <w:t>2020</w:t>
        </w:r>
      </w:hyperlink>
      <w:r>
        <w:rPr/>
        <w:t xml:space="preserve">). Los modelos con base física intentan representar los procesos que conducen al fallamiento del terreno (Palacio et al., </w:t>
      </w:r>
      <w:hyperlink w:anchor="_heading=h.1r7871punv9r">
        <w:r>
          <w:rPr>
            <w:rStyle w:val="Style3"/>
            <w:color w:val="00004C"/>
          </w:rPr>
          <w:t>2020</w:t>
        </w:r>
      </w:hyperlink>
      <w:r>
        <w:rPr/>
        <w:t xml:space="preserve">; Sannino et al., </w:t>
      </w:r>
      <w:hyperlink w:anchor="_heading=h.9o5sdqkaxbzl">
        <w:r>
          <w:rPr>
            <w:rStyle w:val="Style3"/>
            <w:color w:val="00004C"/>
          </w:rPr>
          <w:t>2024</w:t>
        </w:r>
      </w:hyperlink>
      <w:r>
        <w:rPr/>
        <w:t xml:space="preserve">); sin embargo, su aplicación suele verse limitada por la disponibilidad de datos detallados y la intensidad del cálculo requerido (Aristizabal et al., </w:t>
      </w:r>
      <w:hyperlink w:anchor="_heading=h.8x1lgd8mmi0">
        <w:r>
          <w:rPr>
            <w:rStyle w:val="Style3"/>
            <w:color w:val="00004C"/>
          </w:rPr>
          <w:t>2016</w:t>
        </w:r>
      </w:hyperlink>
      <w:r>
        <w:rPr/>
        <w:t xml:space="preserve">; Marin et al., </w:t>
      </w:r>
      <w:hyperlink w:anchor="_heading=h.6iw4pjb61we1">
        <w:r>
          <w:rPr>
            <w:rStyle w:val="Style3"/>
            <w:color w:val="00004C"/>
          </w:rPr>
          <w:t>2021</w:t>
        </w:r>
      </w:hyperlink>
      <w:r>
        <w:rPr/>
        <w:t>). Los modelos estadísticos, por otro lado, se han popularizado debido a su capacidad para analizar grandes volúmenes de datos e identificar patrones</w:t>
      </w:r>
      <w:r>
        <w:rPr>
          <w:rFonts w:eastAsia="Trebuchet MS" w:cs="Trebuchet MS" w:ascii="Trebuchet MS" w:hAnsi="Trebuchet MS"/>
          <w:sz w:val="10"/>
          <w:szCs w:val="10"/>
        </w:rPr>
        <w:t xml:space="preserve"> </w:t>
      </w:r>
      <w:r>
        <w:rPr/>
        <w:t xml:space="preserve">que pueden predecir la ocurrencia de movimientos en masa (Tehrani et al., </w:t>
      </w:r>
      <w:hyperlink w:anchor="_heading=h.cz61x6p0p4r4">
        <w:r>
          <w:rPr>
            <w:rStyle w:val="Style3"/>
            <w:color w:val="00004C"/>
          </w:rPr>
          <w:t>2022</w:t>
        </w:r>
      </w:hyperlink>
      <w:r>
        <w:rPr/>
        <w:t>). Estos modelos utilizan una variable respuesta, también denominada dependiente, que representa la ocurrencia de movimientos en masa, junto con un conjunto de variables predictoras, también denominadas como independientes, condicionantes o covariables, que describen las condiciones que favorecen su ocurrencia, como la pendiente, el tipo de suelo, el uso o cobertura del suelo y la precipitación, entre otros.</w:t>
        <w:tab/>
      </w:r>
    </w:p>
    <w:p>
      <w:pPr>
        <w:pStyle w:val="Heading1"/>
        <w:tabs>
          <w:tab w:val="clear" w:pos="720"/>
          <w:tab w:val="left" w:pos="8463" w:leader="none"/>
        </w:tabs>
        <w:spacing w:lineRule="auto" w:line="240" w:before="130" w:after="0"/>
        <w:ind w:firstLine="113" w:start="113"/>
        <w:jc w:val="both"/>
        <w:rPr/>
      </w:pPr>
      <w:r>
        <w:rPr/>
        <w:t xml:space="preserve">En los últimos años, se ha observado un notable aumento en el uso de modelos estadísticos basados en aprendizaje automático (denominados </w:t>
      </w:r>
      <w:r>
        <w:rPr>
          <w:i/>
          <w:iCs/>
        </w:rPr>
        <w:t>machine learning</w:t>
      </w:r>
      <w:r>
        <w:rPr/>
        <w:t xml:space="preserve">) para la evaluación de la susceptibilidad a movimientos en masa (Tehrani et al., </w:t>
      </w:r>
      <w:hyperlink w:anchor="_heading=h.cz61x6p0p4r4">
        <w:r>
          <w:rPr>
            <w:rStyle w:val="Style3"/>
            <w:color w:val="00004C"/>
          </w:rPr>
          <w:t>2022</w:t>
        </w:r>
      </w:hyperlink>
      <w:r>
        <w:rPr/>
        <w:t xml:space="preserve">). Estos modelos han mejorado significativamente la capacidad de representar relaciones no lineales complejas entre las variables predictoras y la variable respuesta, logrando un excelente rendimiento en términos de predicción. Sin embargo, este incremento en la capacidad predictiva viene generalmente acompañado de una considerable pérdida en la interpretabilidad (Youssef et al., </w:t>
      </w:r>
      <w:hyperlink w:anchor="_heading=h.2lozjit2j0zj">
        <w:r>
          <w:rPr>
            <w:rStyle w:val="Style3"/>
            <w:color w:val="00004C"/>
          </w:rPr>
          <w:t>2023</w:t>
        </w:r>
      </w:hyperlink>
      <w:r>
        <w:rPr/>
        <w:t xml:space="preserve">). Los modelos de aprendizaje automático, especialmente los no-paramétricos, como los basados en redes neuronales, se comportan como “cajas negras”, limitándose a proporcionar métricas de predicción sin aportar conocimiento sobre las causas subyacentes de los movimientos en masa (Ermini et al., </w:t>
      </w:r>
      <w:hyperlink w:anchor="_heading=h.h5kyw1kjcm5z">
        <w:r>
          <w:rPr>
            <w:rStyle w:val="Style3"/>
            <w:color w:val="00004C"/>
          </w:rPr>
          <w:t>2005</w:t>
        </w:r>
      </w:hyperlink>
      <w:r>
        <w:rPr/>
        <w:t xml:space="preserve">). Esto representa una limitación para los usuarios, quienes necesitan comprender las interacciones entre los factores que contribuyen a la inestabilidad del terreno para poder tomar decisiones informadas. </w:t>
      </w:r>
    </w:p>
    <w:p>
      <w:pPr>
        <w:pStyle w:val="Heading1"/>
        <w:tabs>
          <w:tab w:val="clear" w:pos="720"/>
          <w:tab w:val="left" w:pos="8463" w:leader="none"/>
        </w:tabs>
        <w:spacing w:lineRule="auto" w:line="240" w:before="140" w:after="0"/>
        <w:ind w:firstLine="113" w:start="113"/>
        <w:jc w:val="both"/>
        <w:rPr/>
      </w:pPr>
      <w:r>
        <w:rPr/>
        <w:t xml:space="preserve">Entre los modelos estadísticos tradicionales, la regresión logística se ha consolidado como uno de los enfoques más utilizados para la evaluación de la susceptibilidad a movimientos en masa (Budimir et al., </w:t>
      </w:r>
      <w:hyperlink w:anchor="_heading=h.ix6inzeusz07">
        <w:r>
          <w:rPr>
            <w:rStyle w:val="Style3"/>
            <w:color w:val="00004C"/>
          </w:rPr>
          <w:t>2015</w:t>
        </w:r>
      </w:hyperlink>
      <w:r>
        <w:rPr/>
        <w:t xml:space="preserve">; </w:t>
      </w:r>
      <w:sdt>
        <w:sdtPr>
          <w:tag w:val="goog_rdk_0"/>
          <w:id w:val="-2001127560"/>
        </w:sdtPr>
        <w:sdtContent>
          <w:r>
            <w:rPr/>
          </w:r>
          <w:r>
            <w:rPr/>
          </w:r>
        </w:sdtContent>
      </w:sdt>
      <w:r>
        <w:rPr/>
        <w:t>Lombardo y Mai, 2018</w:t>
      </w:r>
      <w:r>
        <w:rPr/>
        <w:t xml:space="preserve">; Reichenbach et al., </w:t>
      </w:r>
      <w:hyperlink w:anchor="_heading=h.lisasds4vndh">
        <w:r>
          <w:rPr>
            <w:rStyle w:val="Style3"/>
            <w:color w:val="00004C"/>
          </w:rPr>
          <w:t>2018</w:t>
        </w:r>
      </w:hyperlink>
      <w:r>
        <w:rPr/>
        <w:t xml:space="preserve">). Este modelo establece una relación entre una variable respuesta binaria, que indica la presencia o ausencia de movimientos en masa, y un conjunto de variables predictoras categóricas o continuas que representan los factores condicionantes (Ayalew y Yamagishi, </w:t>
      </w:r>
      <w:hyperlink w:anchor="_heading=h.gk77gkjqifap">
        <w:r>
          <w:rPr>
            <w:rStyle w:val="Style3"/>
            <w:color w:val="00004C"/>
          </w:rPr>
          <w:t>2005</w:t>
        </w:r>
      </w:hyperlink>
      <w:r>
        <w:rPr/>
        <w:t xml:space="preserve">). La regresión logística estima la probabilidad en cada unidad de mapeo de pertenecer a la clase movimiento en masa o no movimiento en masa del inventario utilizado, modelándola como un proceso de Bernoulli (Ayalew y Yamagishi, </w:t>
      </w:r>
      <w:hyperlink w:anchor="_heading=h.gk77gkjqifap">
        <w:r>
          <w:rPr>
            <w:rStyle w:val="Style3"/>
            <w:color w:val="00004C"/>
          </w:rPr>
          <w:t>2005</w:t>
        </w:r>
      </w:hyperlink>
      <w:r>
        <w:rPr/>
        <w:t xml:space="preserve">). La relativa simplicidad de su interpretación y la facilidad para identificar el efecto de cada variable predictora han contribuido a su popularidad en el campo de la evaluación de amenazas naturales. </w:t>
      </w:r>
    </w:p>
    <w:p>
      <w:pPr>
        <w:pStyle w:val="Heading1"/>
        <w:tabs>
          <w:tab w:val="clear" w:pos="720"/>
          <w:tab w:val="left" w:pos="8463" w:leader="none"/>
        </w:tabs>
        <w:spacing w:lineRule="auto" w:line="240" w:before="140" w:after="0"/>
        <w:ind w:firstLine="113" w:start="113"/>
        <w:jc w:val="both"/>
        <w:rPr/>
      </w:pPr>
      <w:r>
        <w:rPr/>
        <w:t xml:space="preserve">No obstante, una limitación significativa de la regresión logística y de otros modelos estadísticos convencionales, radica en la asignación de coeficientes constantes a las variables predictoras, asumiendo que la influencia de cada factor es homogénea en toda el área de estudio (Anselin et al., </w:t>
      </w:r>
      <w:hyperlink w:anchor="_heading=h.9xy7age44a0a">
        <w:r>
          <w:rPr>
            <w:rStyle w:val="Style3"/>
            <w:color w:val="00004C"/>
          </w:rPr>
          <w:t>1996</w:t>
        </w:r>
      </w:hyperlink>
      <w:r>
        <w:rPr/>
        <w:t xml:space="preserve">; Cressie, </w:t>
      </w:r>
      <w:hyperlink w:anchor="_heading=h.z6na281kwwgm">
        <w:r>
          <w:rPr>
            <w:rStyle w:val="Style3"/>
            <w:color w:val="00004C"/>
          </w:rPr>
          <w:t>2015</w:t>
        </w:r>
      </w:hyperlink>
      <w:r>
        <w:rPr/>
        <w:t xml:space="preserve">). Este supuesto de homogeneidad es problemático, ya que en la realidad las variables predictoras de los movimientos en masa son inherentemente heterogéneas y su influencia puede variar considerablemente a lo largo del espacio (Petschko et al., </w:t>
      </w:r>
      <w:hyperlink w:anchor="_heading=h.ee80055oohzo">
        <w:r>
          <w:rPr>
            <w:rStyle w:val="Style3"/>
            <w:color w:val="00004C"/>
          </w:rPr>
          <w:t>2012</w:t>
        </w:r>
      </w:hyperlink>
      <w:r>
        <w:rPr/>
        <w:t xml:space="preserve">). Estudios previos han demostrado que la influencia de variables como la pendiente, la litología o el uso del suelo no es uniforme, sino que depende de las condiciones específicas de cada subregión del área de estudio (Lombardo et al., </w:t>
      </w:r>
      <w:hyperlink w:anchor="_heading=h.32soo8fmxrnz">
        <w:r>
          <w:rPr>
            <w:rStyle w:val="Style3"/>
            <w:color w:val="00004C"/>
          </w:rPr>
          <w:t>2020</w:t>
        </w:r>
      </w:hyperlink>
      <w:r>
        <w:rPr/>
        <w:t>).</w:t>
      </w:r>
    </w:p>
    <w:p>
      <w:pPr>
        <w:pStyle w:val="Heading1"/>
        <w:tabs>
          <w:tab w:val="clear" w:pos="720"/>
          <w:tab w:val="left" w:pos="8463" w:leader="none"/>
        </w:tabs>
        <w:spacing w:lineRule="auto" w:line="240" w:before="141" w:after="0"/>
        <w:ind w:firstLine="113" w:start="113"/>
        <w:jc w:val="both"/>
        <w:rPr/>
      </w:pPr>
      <w:r>
        <w:rPr/>
        <w:t xml:space="preserve">Para abordar esta heterogeneidad espacial, una de las estrategias más comunes en la evaluación de la susceptibilidad a movimientos en masa consiste en dividir el área de estudio en unidades homogéneas, como cuencas hidrográficas, y aplicar modelos separados en cada una de ellas. Esta estrategia es implementada, por ejemplo, por el Servicio Geológico Colombiano para los mapas de amenaza por movimientos en masa a nivel nacional (SGC, </w:t>
      </w:r>
      <w:hyperlink w:anchor="_heading=h.ci6a0xpe8kk0">
        <w:r>
          <w:rPr>
            <w:rStyle w:val="Style3"/>
            <w:color w:val="00004C"/>
          </w:rPr>
          <w:t>2013</w:t>
        </w:r>
      </w:hyperlink>
      <w:r>
        <w:rPr/>
        <w:t>). Aunque esta técnica permite tener en cuenta algunas diferencias espaciales, presenta también varias desventajas. En primer lugar, la división del área de estudio conlleva una disminución en la cantidad de datos disponibles para entrenar cada modelo, lo cual puede afectar la robustez de los resultados. Además, se incrementa significativamente la complejidad debido a la necesidad de entrenar y aplicar múltiples modelos independientes. Otro problema importante es la aparición de discontinuidades en los resultados obtenidos, ya que los modelos entrenados por separado tienden a generar diferencias en los bordes de las zonas modeladas, lo cual requiere ajustes y reprocesos.</w:t>
      </w:r>
    </w:p>
    <w:p>
      <w:pPr>
        <w:pStyle w:val="Heading1"/>
        <w:tabs>
          <w:tab w:val="clear" w:pos="720"/>
          <w:tab w:val="left" w:pos="8463" w:leader="none"/>
        </w:tabs>
        <w:spacing w:lineRule="auto" w:line="240" w:before="131" w:after="0"/>
        <w:ind w:firstLine="113" w:start="113"/>
        <w:jc w:val="both"/>
        <w:rPr/>
      </w:pPr>
      <w:r>
        <w:rPr/>
        <w:t xml:space="preserve">Ante estas limitaciones, en las últimas décadas se han desarrollado modelos estadísticos espaciales que permiten incorporar la heterogeneidad de una manera más integral (Anselin y Griffith, </w:t>
      </w:r>
      <w:hyperlink w:anchor="_heading=h.rsri18kl63j4">
        <w:r>
          <w:rPr>
            <w:rStyle w:val="Style3"/>
            <w:color w:val="00004C"/>
          </w:rPr>
          <w:t>1988</w:t>
        </w:r>
      </w:hyperlink>
      <w:r>
        <w:rPr/>
        <w:t xml:space="preserve">; LeSage y Pace, </w:t>
      </w:r>
      <w:hyperlink w:anchor="_heading=h.ucgz95af8384">
        <w:r>
          <w:rPr>
            <w:rStyle w:val="Style3"/>
            <w:color w:val="00004C"/>
          </w:rPr>
          <w:t>2009</w:t>
        </w:r>
      </w:hyperlink>
      <w:r>
        <w:rPr/>
        <w:t xml:space="preserve">; Cressie, </w:t>
      </w:r>
      <w:hyperlink w:anchor="_heading=h.z6na281kwwgm">
        <w:r>
          <w:rPr>
            <w:rStyle w:val="Style3"/>
            <w:color w:val="00004C"/>
          </w:rPr>
          <w:t>2015</w:t>
        </w:r>
      </w:hyperlink>
      <w:r>
        <w:rPr/>
        <w:t xml:space="preserve">; Anselin, </w:t>
      </w:r>
      <w:hyperlink w:anchor="_heading=h.h2v39agr864r">
        <w:r>
          <w:rPr>
            <w:rStyle w:val="Style3"/>
            <w:color w:val="00004C"/>
          </w:rPr>
          <w:t>2022</w:t>
        </w:r>
      </w:hyperlink>
      <w:r>
        <w:rPr/>
        <w:t xml:space="preserve">). Entre estos modelos se encuentran los modelos jerárquicos o multiniveles (Kumar et al., </w:t>
      </w:r>
      <w:hyperlink w:anchor="_heading=h.dlkm4cyx8im5">
        <w:r>
          <w:rPr>
            <w:rStyle w:val="Style3"/>
            <w:color w:val="00004C"/>
          </w:rPr>
          <w:t>2011</w:t>
        </w:r>
      </w:hyperlink>
      <w:r>
        <w:rPr/>
        <w:t xml:space="preserve">), así como los modelos de regresión espacial ponderada (Fotheringham et al., </w:t>
      </w:r>
      <w:hyperlink w:anchor="_heading=h.yupxwiemxctu">
        <w:r>
          <w:rPr>
            <w:rStyle w:val="Style3"/>
            <w:color w:val="00004C"/>
          </w:rPr>
          <w:t>2009</w:t>
        </w:r>
      </w:hyperlink>
      <w:r>
        <w:rPr/>
        <w:t>). Los modelos multiniveles permiten la incorporación de variaciones en el intercepto o los coeficientes a lo largo del área de estudio, lo cual es ideal para capturar la heterogeneidad en las variables predictoras. Estos modelos también permiten considerar distintos niveles de agrupación, como cuencas/subcuencas, ciudad/barrio, etc., proporcionando una representación más detallada de la estructura espacial de los datos.</w:t>
      </w:r>
    </w:p>
    <w:p>
      <w:pPr>
        <w:pStyle w:val="Heading1"/>
        <w:tabs>
          <w:tab w:val="clear" w:pos="720"/>
          <w:tab w:val="left" w:pos="8463" w:leader="none"/>
        </w:tabs>
        <w:spacing w:lineRule="auto" w:line="240" w:before="141" w:after="0"/>
        <w:ind w:firstLine="113" w:start="113"/>
        <w:jc w:val="both"/>
        <w:rPr/>
      </w:pPr>
      <w:r>
        <w:rPr/>
        <w:t>En este trabajo se presenta la aplicación de un modelo multinivel para la evaluación de la susceptibilidad por movimientos en masa a escala de subcuenca en los Andes colombianos, utilizando como grupos homogéneos las cuencas hidrográficas del Atrato, Cauca y Magdalena. El objetivo es presentar cómo los modelos multiniveles permiten una mejor representación de la heterogeneidad espacial, facilitando la incorporación de las variaciones en la influencia de las variables predictoras a lo largo del área de estudio. De esta manera, se espera contribuir al desarrollo de métodos más precisos y efectivos para la evaluación de la susceptibilidad por movimientos en masa.</w:t>
      </w:r>
      <w:bookmarkStart w:id="1" w:name="bookmark=id.y5j5biun9j32"/>
    </w:p>
    <w:p>
      <w:pPr>
        <w:pStyle w:val="normal1"/>
        <w:keepNext w:val="false"/>
        <w:keepLines w:val="false"/>
        <w:pageBreakBefore w:val="false"/>
        <w:widowControl w:val="false"/>
        <w:numPr>
          <w:ilvl w:val="0"/>
          <w:numId w:val="1"/>
        </w:numPr>
        <w:pBdr/>
        <w:shd w:val="clear" w:fill="auto"/>
        <w:tabs>
          <w:tab w:val="clear" w:pos="720"/>
          <w:tab w:val="left" w:pos="397" w:leader="none"/>
          <w:tab w:val="left" w:pos="8463" w:leader="none"/>
        </w:tabs>
        <w:spacing w:lineRule="auto" w:line="240" w:before="236" w:after="0"/>
        <w:ind w:hanging="284" w:start="397" w:end="0"/>
        <w:jc w:val="start"/>
        <w:rPr>
          <w:rFonts w:ascii="Palatino Linotype" w:hAnsi="Palatino Linotype" w:eastAsia="Palatino Linotype" w:cs="Palatino Linotyp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bookmarkEnd w:id="1"/>
      <w:r>
        <w:rPr>
          <w:rFonts w:eastAsia="Palatino Linotype" w:cs="Palatino Linotype" w:ascii="Palatino Linotype" w:hAnsi="Palatino Linotype"/>
          <w:b/>
          <w:bCs/>
          <w:i w:val="false"/>
          <w:iCs w:val="false"/>
          <w:caps w:val="false"/>
          <w:smallCaps w:val="false"/>
          <w:strike w:val="false"/>
          <w:dstrike w:val="false"/>
          <w:color w:val="00004C"/>
          <w:position w:val="0"/>
          <w:sz w:val="24"/>
          <w:sz w:val="24"/>
          <w:szCs w:val="24"/>
          <w:u w:val="none"/>
          <w:shd w:fill="auto" w:val="clear"/>
          <w:vertAlign w:val="baseline"/>
        </w:rPr>
        <w:t>Modelo de regresión logística multinivel</w:t>
      </w:r>
      <w:r>
        <w:rPr>
          <w:rFonts w:eastAsia="Times New Roman" w:cs="Times New Roman" w:ascii="Times New Roman" w:hAnsi="Times New Roman"/>
          <w:b w:val="false"/>
          <w:bCs w:val="false"/>
          <w:i w:val="false"/>
          <w:iCs w:val="false"/>
          <w:caps w:val="false"/>
          <w:smallCaps w:val="false"/>
          <w:strike w:val="false"/>
          <w:dstrike w:val="false"/>
          <w:color w:val="00004C"/>
          <w:position w:val="0"/>
          <w:sz w:val="24"/>
          <w:sz w:val="24"/>
          <w:szCs w:val="24"/>
          <w:u w:val="none"/>
          <w:shd w:fill="auto" w:val="clear"/>
          <w:vertAlign w:val="baseline"/>
        </w:rPr>
        <w:tab/>
      </w:r>
    </w:p>
    <w:p>
      <w:pPr>
        <w:pStyle w:val="Heading1"/>
        <w:tabs>
          <w:tab w:val="clear" w:pos="720"/>
          <w:tab w:val="left" w:pos="8463" w:leader="none"/>
        </w:tabs>
        <w:spacing w:lineRule="auto" w:line="240" w:before="164" w:after="0"/>
        <w:ind w:firstLine="113" w:start="113"/>
        <w:jc w:val="both"/>
        <w:rPr/>
      </w:pPr>
      <w:r>
        <w:rPr/>
        <w:t xml:space="preserve">Los modelos multiniveles, también conocidos como modelos jerárquicos, y en algunos casos mixtos o de regímenes espaciales, son un enfoque estadístico que permite la incorporación explícita de la estructura jerárquica o anidada de los datos (Lee y Nelder, </w:t>
      </w:r>
      <w:hyperlink w:anchor="_heading=h.36qmj3fak9pa">
        <w:r>
          <w:rPr>
            <w:rStyle w:val="Style3"/>
            <w:color w:val="00004C"/>
          </w:rPr>
          <w:t>1996</w:t>
        </w:r>
      </w:hyperlink>
      <w:r>
        <w:rPr/>
        <w:t xml:space="preserve">). Estos modelos combinan dos tipos de efectos: efectos fijos y efectos aleatorios. Los efectos fijos representan las relaciones generales entre las variables predictoras y la variable respuesta, aplicables a toda el área de estudio (Kumar et al., </w:t>
      </w:r>
      <w:hyperlink w:anchor="_heading=h.dlkm4cyx8im5">
        <w:r>
          <w:rPr>
            <w:rStyle w:val="Style3"/>
            <w:color w:val="00004C"/>
          </w:rPr>
          <w:t>2011</w:t>
        </w:r>
      </w:hyperlink>
      <w:r>
        <w:rPr/>
        <w:t xml:space="preserve">), y se representan mediante coeficientes constantes que describen la relación promedio entre las variables predictoras y la variable respuesta. Por otro lado, los efectos aleatorios permiten modelar la variabilidad que existe entre diferentes niveles jerárquicos, proporcionando estimaciones específicas para cada unidad espacial o región (Kumar et al., </w:t>
      </w:r>
      <w:hyperlink w:anchor="_heading=h.dlkm4cyx8im5">
        <w:r>
          <w:rPr>
            <w:rStyle w:val="Style3"/>
            <w:color w:val="00004C"/>
          </w:rPr>
          <w:t>2011</w:t>
        </w:r>
      </w:hyperlink>
      <w:r>
        <w:rPr/>
        <w:t xml:space="preserve">). Estos últimos se modelan como términos adicionales que varían para cada grupo o unidad de nivel superior, permitiendo capturar la variabilidad específica entre ambos grupos. Esta estructura de efectos fijos y aleatorios es fundamental para capturar adecuadamente la heterogeneidad inherente a los datos espaciales cuando se tiene una organización natural en distintos niveles, donde las unidades de nivel inferior están agrupadas en unidades de nivel superior (Wong y Mason, </w:t>
      </w:r>
      <w:hyperlink w:anchor="_heading=h.xz5iqng58spk">
        <w:r>
          <w:rPr>
            <w:rStyle w:val="Style3"/>
            <w:color w:val="00004C"/>
          </w:rPr>
          <w:t>1985</w:t>
        </w:r>
      </w:hyperlink>
      <w:r>
        <w:rPr/>
        <w:t>).</w:t>
      </w:r>
    </w:p>
    <w:p>
      <w:pPr>
        <w:pStyle w:val="Heading1"/>
        <w:tabs>
          <w:tab w:val="clear" w:pos="720"/>
          <w:tab w:val="left" w:pos="8414" w:leader="none"/>
        </w:tabs>
        <w:spacing w:lineRule="auto" w:line="240" w:before="141" w:after="0"/>
        <w:ind w:firstLine="113" w:start="113"/>
        <w:jc w:val="both"/>
        <w:rPr/>
      </w:pPr>
      <w:r>
        <w:rPr/>
        <w:t xml:space="preserve">Matemáticamente, un modelo multinivel se puede escribir como una combinación de ecuaciones que representan tanto la variabilidad global como la local (Lee y Nelder, </w:t>
      </w:r>
      <w:hyperlink w:anchor="_heading=h.36qmj3fak9pa">
        <w:r>
          <w:rPr>
            <w:rStyle w:val="Style3"/>
            <w:color w:val="00004C"/>
          </w:rPr>
          <w:t>1996</w:t>
        </w:r>
      </w:hyperlink>
      <w:r>
        <w:rPr/>
        <w:t xml:space="preserve">). </w:t>
      </w:r>
    </w:p>
    <w:p>
      <w:pPr>
        <w:pStyle w:val="Heading1"/>
        <w:tabs>
          <w:tab w:val="clear" w:pos="720"/>
          <w:tab w:val="left" w:pos="8414" w:leader="none"/>
        </w:tabs>
        <w:spacing w:lineRule="auto" w:line="240" w:before="141" w:after="0"/>
        <w:ind w:firstLine="113" w:start="113"/>
        <w:jc w:val="both"/>
        <w:rPr/>
      </w:pPr>
      <w:r>
        <w:rPr/>
        <w:t xml:space="preserve">Si se considera, por ejemplo, una situación típica de dos niveles para una unidad de análisis en el nivel 1, </w:t>
      </w:r>
      <w:r>
        <w:rPr>
          <w:i/>
          <w:iCs/>
        </w:rPr>
        <w:t>i</w:t>
      </w:r>
      <w:r>
        <w:rPr/>
        <w:t xml:space="preserve">, que está anidada en la unidad de nivel 2, </w:t>
      </w:r>
      <w:r>
        <w:rPr>
          <w:i/>
          <w:iCs/>
        </w:rPr>
        <w:t>j</w:t>
      </w:r>
      <w:r>
        <w:rPr/>
        <w:t xml:space="preserve">, se puede definir una variable dependiente binaria </w:t>
      </w:r>
      <w:r>
        <w:rPr>
          <w:i/>
          <w:iCs/>
        </w:rPr>
        <w:t>Y</w:t>
      </w:r>
      <w:r>
        <w:rPr>
          <w:i/>
          <w:iCs/>
          <w:vertAlign w:val="subscript"/>
        </w:rPr>
        <w:t>ij</w:t>
      </w:r>
      <w:r>
        <w:rPr>
          <w:i/>
          <w:iCs/>
        </w:rPr>
        <w:t xml:space="preserve"> </w:t>
      </w:r>
      <w:r>
        <w:rPr/>
        <w:t xml:space="preserve">para el individuo (subcuenca) </w:t>
      </w:r>
      <w:r>
        <w:rPr>
          <w:i/>
          <w:iCs/>
        </w:rPr>
        <w:t xml:space="preserve">i </w:t>
      </w:r>
      <w:r>
        <w:rPr/>
        <w:t xml:space="preserve">en el grupo (cuenca) </w:t>
      </w:r>
      <w:r>
        <w:rPr>
          <w:i/>
          <w:iCs/>
        </w:rPr>
        <w:t>j</w:t>
      </w:r>
      <w:r>
        <w:rPr/>
        <w:t xml:space="preserve">,  donde </w:t>
      </w:r>
      <w:r>
        <w:rPr>
          <w:i/>
          <w:iCs/>
        </w:rPr>
        <w:t>Y</w:t>
      </w:r>
      <w:r>
        <w:rPr>
          <w:i/>
          <w:iCs/>
          <w:vertAlign w:val="subscript"/>
        </w:rPr>
        <w:t>ij</w:t>
      </w:r>
      <w:r>
        <w:rPr/>
        <w:t xml:space="preserve"> representa un inventario de movimientos en masa. En este caso, </w:t>
      </w:r>
      <w:r>
        <w:rPr>
          <w:i/>
          <w:iCs/>
        </w:rPr>
        <w:t>Y</w:t>
      </w:r>
      <w:r>
        <w:rPr>
          <w:i/>
          <w:iCs/>
          <w:vertAlign w:val="subscript"/>
        </w:rPr>
        <w:t>ij</w:t>
      </w:r>
      <w:r>
        <w:rPr>
          <w:i/>
          <w:iCs/>
        </w:rPr>
        <w:t xml:space="preserve"> </w:t>
      </w:r>
      <w:r>
        <w:rPr/>
        <w:t xml:space="preserve">toma el valor 1 si existe uno o más movimientos en masa y 0 en caso contrario. Se puede utilizar un modelo de regresión logística con la función de enlace </w:t>
      </w:r>
      <w:r>
        <w:rPr>
          <w:i/>
          <w:iCs/>
        </w:rPr>
        <w:t>logit</w:t>
      </w:r>
      <w:r>
        <w:rPr/>
        <w:t>, que representa el logaritmo natural de la relación entre la ocurrencia y no ocurrencia de un evento (</w:t>
      </w:r>
      <w:r>
        <w:rPr>
          <w:i/>
          <w:iCs/>
        </w:rPr>
        <w:t>odds</w:t>
      </w:r>
      <w:r>
        <w:rPr/>
        <w:t xml:space="preserve">). Esta función transforma la relación lineal de las variables predictoras a una respuesta entre 0 y 1. De esta forma, la probabilidad </w:t>
      </w:r>
      <w:r>
        <w:rPr>
          <w:i/>
          <w:iCs/>
        </w:rPr>
        <w:t>P</w:t>
      </w:r>
      <w:r>
        <w:rPr/>
        <w:t>(</w:t>
      </w:r>
      <w:r>
        <w:rPr>
          <w:i/>
          <w:iCs/>
        </w:rPr>
        <w:t>Y</w:t>
      </w:r>
      <w:r>
        <w:rPr>
          <w:i/>
          <w:iCs/>
          <w:vertAlign w:val="subscript"/>
        </w:rPr>
        <w:t>ij</w:t>
      </w:r>
      <w:r>
        <w:rPr>
          <w:i/>
          <w:iCs/>
        </w:rPr>
        <w:t xml:space="preserve"> </w:t>
      </w:r>
      <w:r>
        <w:rPr/>
        <w:t>= 1) se puede expresar como:</w:t>
      </w:r>
    </w:p>
    <w:p>
      <w:pPr>
        <w:pStyle w:val="Heading1"/>
        <w:tabs>
          <w:tab w:val="clear" w:pos="720"/>
          <w:tab w:val="left" w:pos="8414" w:leader="none"/>
        </w:tabs>
        <w:spacing w:lineRule="auto" w:line="240" w:before="9" w:after="0"/>
        <w:ind w:firstLine="113" w:start="113"/>
        <w:rPr/>
      </w:pPr>
      <w:r>
        <w:rPr/>
      </w:r>
    </w:p>
    <w:p>
      <w:pPr>
        <w:pStyle w:val="normal1"/>
        <w:jc w:val="start"/>
        <w:rPr>
          <w:rFonts w:ascii="Cambria Math" w:hAnsi="Cambria Math" w:eastAsia="Cambria Math" w:cs="Cambria Math"/>
        </w:rPr>
      </w:pPr>
      <w:r>
        <w:rPr/>
      </w:r>
      <m:oMathPara xmlns:m="http://schemas.openxmlformats.org/officeDocument/2006/math">
        <m:oMathParaPr>
          <m:jc m:val="left"/>
        </m:oMathParaPr>
        <m:oMath>
          <m:r>
            <m:t xml:space="preserve">logit</m:t>
          </m:r>
          <m:d>
            <m:dPr>
              <m:begChr m:val="("/>
              <m:endChr m:val=")"/>
            </m:dPr>
            <m:e>
              <m:r>
                <m:t xml:space="preserve">P</m:t>
              </m:r>
              <m:d>
                <m:dPr>
                  <m:begChr m:val="("/>
                  <m:endChr m:val=")"/>
                </m:dPr>
                <m:e>
                  <m:sSub>
                    <m:e>
                      <m:r>
                        <m:t xml:space="preserve">Y</m:t>
                      </m:r>
                    </m:e>
                    <m:sub>
                      <m:r>
                        <m:t xml:space="preserve">ij</m:t>
                      </m:r>
                    </m:sub>
                  </m:sSub>
                  <m:r>
                    <m:rPr>
                      <m:lit/>
                      <m:nor/>
                    </m:rPr>
                    <m:t xml:space="preserve">=</m:t>
                  </m:r>
                  <m:r>
                    <m:t xml:space="preserve">1</m:t>
                  </m:r>
                </m:e>
              </m:d>
            </m:e>
          </m:d>
          <m:r>
            <m:rPr>
              <m:lit/>
              <m:nor/>
            </m:rPr>
            <m:t xml:space="preserve">=</m:t>
          </m:r>
          <m:r>
            <m:t xml:space="preserve">ln</m:t>
          </m:r>
          <m:d>
            <m:dPr>
              <m:begChr m:val="("/>
              <m:endChr m:val=")"/>
            </m:dPr>
            <m:e>
              <m:f>
                <m:num>
                  <m:r>
                    <m:t xml:space="preserve">P</m:t>
                  </m:r>
                  <m:d>
                    <m:dPr>
                      <m:begChr m:val="("/>
                      <m:endChr m:val=")"/>
                    </m:dPr>
                    <m:e>
                      <m:sSub>
                        <m:e>
                          <m:r>
                            <m:t xml:space="preserve">Y</m:t>
                          </m:r>
                        </m:e>
                        <m:sub>
                          <m:r>
                            <m:t xml:space="preserve">ij</m:t>
                          </m:r>
                        </m:sub>
                      </m:sSub>
                      <m:r>
                        <m:rPr>
                          <m:lit/>
                          <m:nor/>
                        </m:rPr>
                        <m:t xml:space="preserve">=</m:t>
                      </m:r>
                      <m:r>
                        <m:t xml:space="preserve">1</m:t>
                      </m:r>
                    </m:e>
                  </m:d>
                </m:num>
                <m:den>
                  <m:r>
                    <m:t xml:space="preserve">1</m:t>
                  </m:r>
                  <m:r>
                    <m:rPr>
                      <m:lit/>
                      <m:nor/>
                    </m:rPr>
                    <m:t xml:space="preserve">-</m:t>
                  </m:r>
                  <m:r>
                    <m:t xml:space="preserve">P</m:t>
                  </m:r>
                  <m:d>
                    <m:dPr>
                      <m:begChr m:val="("/>
                      <m:endChr m:val=")"/>
                    </m:dPr>
                    <m:e>
                      <m:sSub>
                        <m:e>
                          <m:r>
                            <m:t xml:space="preserve">Y</m:t>
                          </m:r>
                        </m:e>
                        <m:sub>
                          <m:r>
                            <m:t xml:space="preserve">ij</m:t>
                          </m:r>
                        </m:sub>
                      </m:sSub>
                      <m:r>
                        <m:rPr>
                          <m:lit/>
                          <m:nor/>
                        </m:rPr>
                        <m:t xml:space="preserve">=</m:t>
                      </m:r>
                      <m:r>
                        <m:t xml:space="preserve">1</m:t>
                      </m:r>
                    </m:e>
                  </m:d>
                </m:den>
              </m:f>
            </m:e>
          </m:d>
          <m:r>
            <m:rPr>
              <m:lit/>
              <m:nor/>
            </m:rPr>
            <m:t xml:space="preserve">=</m:t>
          </m:r>
          <m:sSub>
            <m:e>
              <m:r>
                <m:t xml:space="preserve">β</m:t>
              </m:r>
            </m:e>
            <m:sub>
              <m:r>
                <m:t xml:space="preserve">0</m:t>
              </m:r>
              <m:r>
                <m:t xml:space="preserve">j</m:t>
              </m:r>
            </m:sub>
          </m:sSub>
          <m:r>
            <m:rPr>
              <m:lit/>
              <m:nor/>
            </m:rPr>
            <m:t xml:space="preserve">+</m:t>
          </m:r>
          <m:nary>
            <m:naryPr>
              <m:chr m:val="∑"/>
            </m:naryPr>
            <m:sub>
              <m:r>
                <m:t xml:space="preserve">j</m:t>
              </m:r>
              <m:r>
                <m:rPr>
                  <m:lit/>
                  <m:nor/>
                </m:rPr>
                <m:t xml:space="preserve">=</m:t>
              </m:r>
              <m:r>
                <m:t xml:space="preserve">1</m:t>
              </m:r>
            </m:sub>
            <m:sup>
              <m:r>
                <m:t xml:space="preserve">p</m:t>
              </m:r>
            </m:sup>
            <m:e>
              <m:sSub>
                <m:e>
                  <m:r>
                    <m:t xml:space="preserve">β</m:t>
                  </m:r>
                </m:e>
                <m:sub>
                  <m:r>
                    <m:t xml:space="preserve">1</m:t>
                  </m:r>
                  <m:r>
                    <m:t xml:space="preserve">j</m:t>
                  </m:r>
                </m:sub>
              </m:sSub>
              <m:sSub>
                <m:e>
                  <m:r>
                    <m:t xml:space="preserve">X</m:t>
                  </m:r>
                </m:e>
                <m:sub>
                  <m:r>
                    <m:t xml:space="preserve">ij</m:t>
                  </m:r>
                </m:sub>
              </m:sSub>
              <m:r>
                <m:rPr>
                  <m:lit/>
                  <m:nor/>
                </m:rPr>
                <m:t xml:space="preserve">+</m:t>
              </m:r>
              <m:nary>
                <m:naryPr>
                  <m:chr m:val="∑"/>
                </m:naryPr>
                <m:sub>
                  <m:r>
                    <m:t xml:space="preserve">l</m:t>
                  </m:r>
                  <m:r>
                    <m:rPr>
                      <m:lit/>
                      <m:nor/>
                    </m:rPr>
                    <m:t xml:space="preserve">=</m:t>
                  </m:r>
                  <m:r>
                    <m:t xml:space="preserve">1</m:t>
                  </m:r>
                </m:sub>
                <m:sup>
                  <m:r>
                    <m:t xml:space="preserve">r</m:t>
                  </m:r>
                </m:sup>
                <m:e>
                  <m:sSub>
                    <m:e>
                      <m:r>
                        <m:t xml:space="preserve">u</m:t>
                      </m:r>
                    </m:e>
                    <m:sub>
                      <m:r>
                        <m:t xml:space="preserve">lj</m:t>
                      </m:r>
                    </m:sub>
                  </m:sSub>
                  <m:r>
                    <m:rPr>
                      <m:lit/>
                      <m:nor/>
                    </m:rPr>
                    <m:t xml:space="preserve">+</m:t>
                  </m:r>
                  <m:sSub>
                    <m:e>
                      <m:r>
                        <m:t xml:space="preserve">ε</m:t>
                      </m:r>
                    </m:e>
                    <m:sub>
                      <m:r>
                        <m:t xml:space="preserve">i</m:t>
                      </m:r>
                    </m:sub>
                  </m:sSub>
                </m:e>
              </m:nary>
            </m:e>
          </m:nary>
        </m:oMath>
      </m:oMathPara>
    </w:p>
    <w:p>
      <w:pPr>
        <w:pStyle w:val="Heading1"/>
        <w:tabs>
          <w:tab w:val="clear" w:pos="720"/>
          <w:tab w:val="left" w:pos="8414" w:leader="none"/>
        </w:tabs>
        <w:spacing w:lineRule="auto" w:line="240" w:before="9" w:after="0"/>
        <w:ind w:firstLine="113" w:start="113"/>
        <w:rPr>
          <w:sz w:val="14"/>
          <w:szCs w:val="14"/>
        </w:rPr>
      </w:pPr>
      <w:r>
        <w:rPr>
          <w:sz w:val="14"/>
          <w:szCs w:val="14"/>
        </w:rPr>
      </w:r>
    </w:p>
    <w:p>
      <w:pPr>
        <w:pStyle w:val="Heading1"/>
        <w:tabs>
          <w:tab w:val="clear" w:pos="720"/>
          <w:tab w:val="left" w:pos="8414" w:leader="none"/>
        </w:tabs>
        <w:spacing w:lineRule="auto" w:line="240" w:before="9" w:after="0"/>
        <w:ind w:firstLine="113" w:start="113"/>
        <w:rPr>
          <w:sz w:val="14"/>
          <w:szCs w:val="14"/>
        </w:rPr>
      </w:pPr>
      <w:r>
        <w:rPr>
          <w:sz w:val="14"/>
          <w:szCs w:val="14"/>
        </w:rPr>
      </w:r>
    </w:p>
    <w:p>
      <w:pPr>
        <w:sectPr>
          <w:type w:val="nextPage"/>
          <w:pgSz w:w="9978" w:h="14173"/>
          <w:pgMar w:left="850" w:right="720" w:gutter="0" w:header="0" w:top="800" w:footer="0" w:bottom="280"/>
          <w:lnNumType w:countBy="1" w:restart="continuous" w:distance="283"/>
          <w:pgNumType w:start="1" w:fmt="decimal"/>
          <w:formProt w:val="false"/>
          <w:textDirection w:val="lrTb"/>
          <w:docGrid w:type="default" w:linePitch="100" w:charSpace="0"/>
        </w:sectPr>
      </w:pPr>
    </w:p>
    <w:p>
      <w:pPr>
        <w:pStyle w:val="Heading1"/>
        <w:tabs>
          <w:tab w:val="clear" w:pos="720"/>
          <w:tab w:val="left" w:pos="8414" w:leader="none"/>
        </w:tabs>
        <w:spacing w:lineRule="auto" w:line="235" w:before="25" w:after="0"/>
        <w:ind w:firstLine="113" w:start="113" w:end="138"/>
        <w:jc w:val="both"/>
        <w:rPr/>
      </w:pPr>
      <w:r>
        <w:rPr/>
        <w:t xml:space="preserve">donde </w:t>
      </w:r>
      <w:r>
        <w:rPr>
          <w:rFonts w:eastAsia="Calibri" w:cs="Calibri" w:ascii="Calibri" w:hAnsi="Calibri"/>
          <w:i/>
          <w:iCs/>
        </w:rPr>
        <w:t>β</w:t>
      </w:r>
      <w:r>
        <w:rPr>
          <w:vertAlign w:val="subscript"/>
        </w:rPr>
        <w:t>0</w:t>
      </w:r>
      <w:r>
        <w:rPr>
          <w:i/>
          <w:iCs/>
          <w:vertAlign w:val="subscript"/>
        </w:rPr>
        <w:t>j</w:t>
      </w:r>
      <w:r>
        <w:rPr>
          <w:i/>
          <w:iCs/>
        </w:rPr>
        <w:t xml:space="preserve"> </w:t>
      </w:r>
      <w:r>
        <w:rPr/>
        <w:t xml:space="preserve">y </w:t>
      </w:r>
      <w:r>
        <w:rPr>
          <w:rFonts w:eastAsia="Calibri" w:cs="Calibri" w:ascii="Calibri" w:hAnsi="Calibri"/>
          <w:i/>
          <w:iCs/>
        </w:rPr>
        <w:t>β</w:t>
      </w:r>
      <w:r>
        <w:rPr>
          <w:vertAlign w:val="subscript"/>
        </w:rPr>
        <w:t>1</w:t>
      </w:r>
      <w:r>
        <w:rPr>
          <w:i/>
          <w:iCs/>
          <w:vertAlign w:val="subscript"/>
        </w:rPr>
        <w:t>j</w:t>
      </w:r>
      <w:r>
        <w:rPr>
          <w:i/>
          <w:iCs/>
        </w:rPr>
        <w:t xml:space="preserve"> </w:t>
      </w:r>
      <w:r>
        <w:rPr/>
        <w:t xml:space="preserve">son los coeficientes fijos que describen la relación entre la variable respuesta </w:t>
      </w:r>
      <w:r>
        <w:rPr>
          <w:i/>
          <w:iCs/>
        </w:rPr>
        <w:t xml:space="preserve">Y </w:t>
      </w:r>
      <w:r>
        <w:rPr/>
        <w:t xml:space="preserve">y las variables predictoras </w:t>
      </w:r>
      <w:r>
        <w:rPr>
          <w:i/>
          <w:iCs/>
        </w:rPr>
        <w:t>X</w:t>
      </w:r>
      <w:r>
        <w:rPr>
          <w:i/>
          <w:iCs/>
          <w:vertAlign w:val="subscript"/>
        </w:rPr>
        <w:t>ij</w:t>
      </w:r>
      <w:r>
        <w:rPr/>
        <w:t>. Ambos coeficientes se modelan a nivel de grupo y se puede asumir que siguen una distribución normal, es decir:</w:t>
      </w:r>
    </w:p>
    <w:p>
      <w:pPr>
        <w:pStyle w:val="Heading1"/>
        <w:tabs>
          <w:tab w:val="clear" w:pos="720"/>
          <w:tab w:val="left" w:pos="8414" w:leader="none"/>
        </w:tabs>
        <w:spacing w:lineRule="auto" w:line="235" w:before="25" w:after="0"/>
        <w:ind w:firstLine="113" w:start="113" w:end="138"/>
        <w:jc w:val="both"/>
        <w:rPr/>
      </w:pPr>
      <w:r>
        <w:rPr/>
      </w:r>
    </w:p>
    <w:p>
      <w:pPr>
        <w:pStyle w:val="normal1"/>
        <w:jc w:val="start"/>
        <w:rPr>
          <w:rFonts w:ascii="Cambria Math" w:hAnsi="Cambria Math" w:eastAsia="Cambria Math" w:cs="Cambria Math"/>
        </w:rPr>
      </w:pPr>
      <w:r>
        <w:rPr/>
      </w:r>
      <m:oMathPara xmlns:m="http://schemas.openxmlformats.org/officeDocument/2006/math">
        <m:oMathParaPr>
          <m:jc m:val="left"/>
        </m:oMathParaPr>
        <m:oMath>
          <m:sSub>
            <m:e>
              <m:r>
                <m:t xml:space="preserve">β</m:t>
              </m:r>
            </m:e>
            <m:sub>
              <m:r>
                <m:t xml:space="preserve">0</m:t>
              </m:r>
              <m:r>
                <m:t xml:space="preserve">j</m:t>
              </m:r>
            </m:sub>
          </m:sSub>
          <m:r>
            <m:rPr>
              <m:lit/>
              <m:nor/>
            </m:rPr>
            <m:t xml:space="preserve">=</m:t>
          </m:r>
          <m:sSub>
            <m:e>
              <m:r>
                <m:t xml:space="preserve">γ</m:t>
              </m:r>
            </m:e>
            <m:sub>
              <m:r>
                <m:t xml:space="preserve">00</m:t>
              </m:r>
            </m:sub>
          </m:sSub>
          <m:r>
            <m:rPr>
              <m:lit/>
              <m:nor/>
            </m:rPr>
            <m:t xml:space="preserve">+</m:t>
          </m:r>
          <m:sSub>
            <m:e>
              <m:r>
                <m:t xml:space="preserve">u</m:t>
              </m:r>
            </m:e>
            <m:sub>
              <m:r>
                <m:t xml:space="preserve">0</m:t>
              </m:r>
              <m:r>
                <m:t xml:space="preserve">j</m:t>
              </m:r>
            </m:sub>
          </m:sSub>
          <m:r>
            <m:t xml:space="preserve">,</m:t>
          </m:r>
          <m:sSub>
            <m:e>
              <m:r>
                <m:t xml:space="preserve">u</m:t>
              </m:r>
            </m:e>
            <m:sub>
              <m:r>
                <m:t xml:space="preserve">0</m:t>
              </m:r>
              <m:r>
                <m:t xml:space="preserve">j</m:t>
              </m:r>
            </m:sub>
          </m:sSub>
          <m:r>
            <m:t xml:space="preserve">∼</m:t>
          </m:r>
          <m:r>
            <m:t xml:space="preserve">N</m:t>
          </m:r>
          <m:d>
            <m:dPr>
              <m:begChr m:val="("/>
              <m:endChr m:val=")"/>
            </m:dPr>
            <m:e>
              <m:r>
                <m:t xml:space="preserve">0</m:t>
              </m:r>
              <m:r>
                <m:t xml:space="preserve">,</m:t>
              </m:r>
              <m:sSubSup>
                <m:e>
                  <m:r>
                    <m:t xml:space="preserve">σ</m:t>
                  </m:r>
                </m:e>
                <m:sub>
                  <m:sSub>
                    <m:e>
                      <m:r>
                        <m:t xml:space="preserve">u</m:t>
                      </m:r>
                    </m:e>
                    <m:sub>
                      <m:r>
                        <m:t xml:space="preserve">0</m:t>
                      </m:r>
                    </m:sub>
                  </m:sSub>
                </m:sub>
                <m:sup>
                  <m:r>
                    <m:t xml:space="preserve">2</m:t>
                  </m:r>
                </m:sup>
              </m:sSubSup>
            </m:e>
          </m:d>
        </m:oMath>
      </m:oMathPara>
    </w:p>
    <w:p>
      <w:pPr>
        <w:pStyle w:val="Heading1"/>
        <w:tabs>
          <w:tab w:val="clear" w:pos="720"/>
          <w:tab w:val="left" w:pos="8414" w:leader="none"/>
        </w:tabs>
        <w:spacing w:lineRule="auto" w:line="235" w:before="25" w:after="0"/>
        <w:ind w:firstLine="113" w:start="113" w:end="138"/>
        <w:jc w:val="both"/>
        <w:rPr/>
      </w:pPr>
      <w:r>
        <w:rPr/>
      </w:r>
    </w:p>
    <w:p>
      <w:pPr>
        <w:pStyle w:val="normal1"/>
        <w:jc w:val="start"/>
        <w:rPr>
          <w:rFonts w:ascii="Cambria Math" w:hAnsi="Cambria Math" w:eastAsia="Cambria Math" w:cs="Cambria Math"/>
        </w:rPr>
      </w:pPr>
      <w:r>
        <w:rPr/>
      </w:r>
      <m:oMathPara xmlns:m="http://schemas.openxmlformats.org/officeDocument/2006/math">
        <m:oMathParaPr>
          <m:jc m:val="left"/>
        </m:oMathParaPr>
        <m:oMath>
          <m:sSub>
            <m:e>
              <m:r>
                <m:t xml:space="preserve">β</m:t>
              </m:r>
            </m:e>
            <m:sub>
              <m:r>
                <m:t xml:space="preserve">1</m:t>
              </m:r>
              <m:r>
                <m:t xml:space="preserve">j</m:t>
              </m:r>
            </m:sub>
          </m:sSub>
          <m:r>
            <m:rPr>
              <m:lit/>
              <m:nor/>
            </m:rPr>
            <m:t xml:space="preserve">=</m:t>
          </m:r>
          <m:sSub>
            <m:e>
              <m:r>
                <m:t xml:space="preserve">γ</m:t>
              </m:r>
            </m:e>
            <m:sub>
              <m:r>
                <m:t xml:space="preserve">10</m:t>
              </m:r>
            </m:sub>
          </m:sSub>
          <m:r>
            <m:rPr>
              <m:lit/>
              <m:nor/>
            </m:rPr>
            <m:t xml:space="preserve">+</m:t>
          </m:r>
          <m:sSub>
            <m:e>
              <m:r>
                <m:t xml:space="preserve">u</m:t>
              </m:r>
            </m:e>
            <m:sub>
              <m:r>
                <m:t xml:space="preserve">1</m:t>
              </m:r>
              <m:r>
                <m:t xml:space="preserve">j</m:t>
              </m:r>
            </m:sub>
          </m:sSub>
          <m:r>
            <m:t xml:space="preserve">,</m:t>
          </m:r>
          <m:sSub>
            <m:e>
              <m:r>
                <m:t xml:space="preserve">u</m:t>
              </m:r>
            </m:e>
            <m:sub>
              <m:r>
                <m:t xml:space="preserve">1</m:t>
              </m:r>
              <m:r>
                <m:t xml:space="preserve">j</m:t>
              </m:r>
            </m:sub>
          </m:sSub>
          <m:r>
            <m:t xml:space="preserve">∼</m:t>
          </m:r>
          <m:r>
            <m:t xml:space="preserve">N</m:t>
          </m:r>
          <m:d>
            <m:dPr>
              <m:begChr m:val="("/>
              <m:endChr m:val=")"/>
            </m:dPr>
            <m:e>
              <m:r>
                <m:t xml:space="preserve">0</m:t>
              </m:r>
              <m:r>
                <m:t xml:space="preserve">,</m:t>
              </m:r>
              <m:sSubSup>
                <m:e>
                  <m:r>
                    <m:t xml:space="preserve">σ</m:t>
                  </m:r>
                </m:e>
                <m:sub>
                  <m:sSub>
                    <m:e>
                      <m:r>
                        <m:t xml:space="preserve">u</m:t>
                      </m:r>
                    </m:e>
                    <m:sub>
                      <m:r>
                        <m:t xml:space="preserve">1</m:t>
                      </m:r>
                    </m:sub>
                  </m:sSub>
                </m:sub>
                <m:sup>
                  <m:r>
                    <m:t xml:space="preserve">2</m:t>
                  </m:r>
                </m:sup>
              </m:sSubSup>
            </m:e>
          </m:d>
        </m:oMath>
      </m:oMathPara>
    </w:p>
    <w:p>
      <w:pPr>
        <w:pStyle w:val="Heading1"/>
        <w:spacing w:lineRule="auto" w:line="242" w:before="198" w:after="0"/>
        <w:ind w:firstLine="113" w:start="113"/>
        <w:jc w:val="both"/>
        <w:rPr/>
      </w:pPr>
      <w:r>
        <w:rPr/>
        <w:t xml:space="preserve">donde </w:t>
      </w:r>
      <w:r>
        <w:rPr>
          <w:rFonts w:eastAsia="Calibri" w:cs="Calibri" w:ascii="Calibri" w:hAnsi="Calibri"/>
          <w:i/>
          <w:iCs/>
        </w:rPr>
        <w:t>γ</w:t>
      </w:r>
      <w:r>
        <w:rPr>
          <w:vertAlign w:val="subscript"/>
        </w:rPr>
        <w:t>00</w:t>
      </w:r>
      <w:r>
        <w:rPr/>
        <w:t xml:space="preserve"> es el intercepto promedio entre todos los grupos, </w:t>
      </w:r>
      <w:r>
        <w:rPr>
          <w:rFonts w:eastAsia="Calibri" w:cs="Calibri" w:ascii="Calibri" w:hAnsi="Calibri"/>
          <w:i/>
          <w:iCs/>
        </w:rPr>
        <w:t>γ</w:t>
      </w:r>
      <w:r>
        <w:rPr>
          <w:vertAlign w:val="subscript"/>
        </w:rPr>
        <w:t>10</w:t>
      </w:r>
      <w:r>
        <w:rPr/>
        <w:t xml:space="preserve"> es el promedio del coeficiente del predictor </w:t>
      </w:r>
      <w:r>
        <w:rPr>
          <w:i/>
          <w:iCs/>
        </w:rPr>
        <w:t>X</w:t>
      </w:r>
      <w:r>
        <w:rPr>
          <w:i/>
          <w:iCs/>
          <w:vertAlign w:val="subscript"/>
        </w:rPr>
        <w:t>ij</w:t>
      </w:r>
      <w:r>
        <w:rPr>
          <w:i/>
          <w:iCs/>
        </w:rPr>
        <w:t xml:space="preserve"> </w:t>
      </w:r>
      <w:r>
        <w:rPr/>
        <w:t xml:space="preserve">entre todos los grupos, y </w:t>
      </w:r>
      <w:r>
        <w:rPr>
          <w:i/>
          <w:iCs/>
        </w:rPr>
        <w:t>u</w:t>
      </w:r>
      <w:r>
        <w:rPr>
          <w:vertAlign w:val="subscript"/>
        </w:rPr>
        <w:t>0</w:t>
      </w:r>
      <w:r>
        <w:rPr>
          <w:i/>
          <w:iCs/>
          <w:vertAlign w:val="subscript"/>
        </w:rPr>
        <w:t>j</w:t>
      </w:r>
      <w:r>
        <w:rPr>
          <w:i/>
          <w:iCs/>
        </w:rPr>
        <w:t xml:space="preserve"> </w:t>
      </w:r>
      <w:r>
        <w:rPr/>
        <w:t xml:space="preserve">y </w:t>
      </w:r>
      <w:r>
        <w:rPr>
          <w:i/>
          <w:iCs/>
        </w:rPr>
        <w:t>u</w:t>
      </w:r>
      <w:r>
        <w:rPr>
          <w:vertAlign w:val="subscript"/>
        </w:rPr>
        <w:t>1</w:t>
      </w:r>
      <w:r>
        <w:rPr>
          <w:i/>
          <w:iCs/>
          <w:vertAlign w:val="subscript"/>
        </w:rPr>
        <w:t>j</w:t>
      </w:r>
      <w:r>
        <w:rPr>
          <w:i/>
          <w:iCs/>
        </w:rPr>
        <w:t xml:space="preserve"> </w:t>
      </w:r>
      <w:r>
        <w:rPr/>
        <w:t xml:space="preserve">son los efectos aleatorios a nivel de grupo que capturan la variabilidad entre grupos para el intercepto y el coeficiente de </w:t>
      </w:r>
      <w:r>
        <w:rPr>
          <w:i/>
          <w:iCs/>
        </w:rPr>
        <w:t>X</w:t>
      </w:r>
      <w:r>
        <w:rPr>
          <w:i/>
          <w:iCs/>
          <w:vertAlign w:val="subscript"/>
        </w:rPr>
        <w:t>ij</w:t>
      </w:r>
      <w:r>
        <w:rPr/>
        <w:t xml:space="preserve">, respectivamente. </w:t>
      </w:r>
      <w:r>
        <w:rPr/>
      </w:r>
      <m:oMath xmlns:m="http://schemas.openxmlformats.org/officeDocument/2006/math">
        <m:sSup>
          <m:e>
            <m:r>
              <m:t xml:space="preserve">σ</m:t>
            </m:r>
          </m:e>
          <m:sup>
            <m:r>
              <m:t xml:space="preserve">2</m:t>
            </m:r>
          </m:sup>
        </m:sSup>
      </m:oMath>
      <w:r>
        <w:rPr>
          <w:rFonts w:eastAsia="Verdana" w:cs="Verdana" w:ascii="Verdana" w:hAnsi="Verdana"/>
          <w:vertAlign w:val="superscript"/>
        </w:rPr>
        <w:t xml:space="preserve"> </w:t>
      </w:r>
      <w:r>
        <w:rPr/>
        <w:t>representan la varianza de los efectos aleatorios del intercepto (u</w:t>
      </w:r>
      <w:r>
        <w:rPr>
          <w:vertAlign w:val="subscript"/>
        </w:rPr>
        <w:t>0</w:t>
      </w:r>
      <w:r>
        <w:rPr/>
        <w:t>) y del coeficiente (u</w:t>
      </w:r>
      <w:r>
        <w:rPr>
          <w:vertAlign w:val="subscript"/>
        </w:rPr>
        <w:t>1</w:t>
      </w:r>
      <w:r>
        <w:rPr/>
        <w:t>).</w:t>
      </w:r>
    </w:p>
    <w:p>
      <w:pPr>
        <w:pStyle w:val="Heading1"/>
        <w:tabs>
          <w:tab w:val="clear" w:pos="720"/>
          <w:tab w:val="right" w:pos="8562" w:leader="none"/>
        </w:tabs>
        <w:spacing w:lineRule="auto" w:line="240" w:before="129" w:after="0"/>
        <w:ind w:firstLine="113" w:start="113"/>
        <w:rPr/>
      </w:pPr>
      <w:r>
        <w:rPr/>
        <w:t xml:space="preserve">Combinando los modelos de nivel individual y nivel grupal, el modelo completo se expresa como (Lee and Nelder, </w:t>
      </w:r>
      <w:hyperlink w:anchor="_heading=h.36qmj3fak9pa">
        <w:r>
          <w:rPr>
            <w:rStyle w:val="Style3"/>
            <w:color w:val="00004C"/>
          </w:rPr>
          <w:t>1996</w:t>
        </w:r>
      </w:hyperlink>
      <w:r>
        <w:rPr/>
        <w:t>):</w:t>
        <w:tab/>
      </w:r>
    </w:p>
    <w:p>
      <w:pPr>
        <w:pStyle w:val="Heading1"/>
        <w:tabs>
          <w:tab w:val="clear" w:pos="720"/>
          <w:tab w:val="right" w:pos="8562" w:leader="none"/>
        </w:tabs>
        <w:spacing w:lineRule="auto" w:line="240" w:before="236" w:after="0"/>
        <w:ind w:firstLine="113" w:start="113"/>
        <w:rPr>
          <w:i/>
          <w:i/>
          <w:iCs/>
          <w:vertAlign w:val="subscript"/>
        </w:rPr>
      </w:pPr>
      <w:r>
        <w:rPr/>
      </w:r>
      <m:oMathPara xmlns:m="http://schemas.openxmlformats.org/officeDocument/2006/math">
        <m:oMathParaPr>
          <m:jc m:val="left"/>
        </m:oMathParaPr>
        <m:oMath>
          <m:r>
            <m:t xml:space="preserve">logit</m:t>
          </m:r>
          <m:d>
            <m:dPr>
              <m:begChr m:val="["/>
              <m:endChr m:val="]"/>
            </m:dPr>
            <m:e>
              <m:sSub>
                <m:e>
                  <m:r>
                    <m:t xml:space="preserve">P</m:t>
                  </m:r>
                </m:e>
                <m:sub>
                  <m:r>
                    <m:t xml:space="preserve">ij</m:t>
                  </m:r>
                </m:sub>
              </m:sSub>
              <m:r>
                <m:rPr>
                  <m:lit/>
                  <m:nor/>
                </m:rPr>
                <m:t xml:space="preserve">=</m:t>
              </m:r>
              <m:r>
                <m:t xml:space="preserve">1</m:t>
              </m:r>
            </m:e>
          </m:d>
          <m:r>
            <m:rPr>
              <m:lit/>
              <m:nor/>
            </m:rPr>
            <m:t xml:space="preserve">=</m:t>
          </m:r>
          <m:d>
            <m:dPr>
              <m:begChr m:val="("/>
              <m:endChr m:val=")"/>
            </m:dPr>
            <m:e>
              <m:sSub>
                <m:e>
                  <m:r>
                    <m:t xml:space="preserve">γ</m:t>
                  </m:r>
                </m:e>
                <m:sub>
                  <m:r>
                    <m:t xml:space="preserve">00</m:t>
                  </m:r>
                </m:sub>
              </m:sSub>
              <m:r>
                <m:rPr>
                  <m:lit/>
                  <m:nor/>
                </m:rPr>
                <m:t xml:space="preserve">+</m:t>
              </m:r>
              <m:sSub>
                <m:e>
                  <m:r>
                    <m:t xml:space="preserve">u</m:t>
                  </m:r>
                </m:e>
                <m:sub>
                  <m:r>
                    <m:t xml:space="preserve">0</m:t>
                  </m:r>
                  <m:r>
                    <m:t xml:space="preserve">j</m:t>
                  </m:r>
                </m:sub>
              </m:sSub>
            </m:e>
          </m:d>
          <m:r>
            <m:rPr>
              <m:lit/>
              <m:nor/>
            </m:rPr>
            <m:t xml:space="preserve">+</m:t>
          </m:r>
          <m:d>
            <m:dPr>
              <m:begChr m:val="("/>
              <m:endChr m:val=")"/>
            </m:dPr>
            <m:e>
              <m:sSub>
                <m:e>
                  <m:r>
                    <m:t xml:space="preserve">γ</m:t>
                  </m:r>
                </m:e>
                <m:sub>
                  <m:r>
                    <m:t xml:space="preserve">10</m:t>
                  </m:r>
                </m:sub>
              </m:sSub>
              <m:r>
                <m:rPr>
                  <m:lit/>
                  <m:nor/>
                </m:rPr>
                <m:t xml:space="preserve">+</m:t>
              </m:r>
              <m:sSub>
                <m:e>
                  <m:r>
                    <m:t xml:space="preserve">u</m:t>
                  </m:r>
                </m:e>
                <m:sub>
                  <m:r>
                    <m:t xml:space="preserve">1</m:t>
                  </m:r>
                  <m:r>
                    <m:t xml:space="preserve">j</m:t>
                  </m:r>
                </m:sub>
              </m:sSub>
            </m:e>
          </m:d>
          <m:sSub>
            <m:e>
              <m:r>
                <m:t xml:space="preserve">X</m:t>
              </m:r>
            </m:e>
            <m:sub>
              <m:r>
                <m:t xml:space="preserve">ij</m:t>
              </m:r>
            </m:sub>
          </m:sSub>
        </m:oMath>
      </m:oMathPara>
    </w:p>
    <w:p>
      <w:pPr>
        <w:pStyle w:val="Heading1"/>
        <w:tabs>
          <w:tab w:val="clear" w:pos="720"/>
          <w:tab w:val="right" w:pos="8562" w:leader="none"/>
        </w:tabs>
        <w:spacing w:lineRule="auto" w:line="240" w:before="236" w:after="0"/>
        <w:ind w:firstLine="113" w:start="113"/>
        <w:rPr/>
      </w:pPr>
      <w:r>
        <w:rPr/>
        <w:t xml:space="preserve">o, de manera equivalente (Wong y Mason, </w:t>
      </w:r>
      <w:hyperlink w:anchor="_heading=h.xz5iqng58spk">
        <w:r>
          <w:rPr>
            <w:rStyle w:val="Style3"/>
            <w:color w:val="00004C"/>
          </w:rPr>
          <w:t>1985</w:t>
        </w:r>
      </w:hyperlink>
      <w:r>
        <w:rPr/>
        <w:t>):</w:t>
      </w:r>
    </w:p>
    <w:p>
      <w:pPr>
        <w:pStyle w:val="Heading1"/>
        <w:tabs>
          <w:tab w:val="clear" w:pos="720"/>
          <w:tab w:val="right" w:pos="8562" w:leader="none"/>
        </w:tabs>
        <w:spacing w:lineRule="auto" w:line="240" w:before="236" w:after="0"/>
        <w:ind w:firstLine="113" w:start="113"/>
        <w:rPr/>
      </w:pPr>
      <w:r>
        <w:rPr/>
      </w:r>
      <m:oMath xmlns:m="http://schemas.openxmlformats.org/officeDocument/2006/math">
        <m:r>
          <m:t xml:space="preserve">P</m:t>
        </m:r>
        <m:d>
          <m:dPr>
            <m:begChr m:val="("/>
            <m:endChr m:val=")"/>
          </m:dPr>
          <m:e>
            <m:sSub>
              <m:e>
                <m:r>
                  <m:t xml:space="preserve">Y</m:t>
                </m:r>
              </m:e>
              <m:sub>
                <m:r>
                  <m:t xml:space="preserve">ij</m:t>
                </m:r>
              </m:sub>
            </m:sSub>
            <m:r>
              <m:rPr>
                <m:lit/>
                <m:nor/>
              </m:rPr>
              <m:t xml:space="preserve">=</m:t>
            </m:r>
            <m:r>
              <m:t xml:space="preserve">1</m:t>
            </m:r>
          </m:e>
        </m:d>
        <m:r>
          <m:rPr>
            <m:lit/>
            <m:nor/>
          </m:rPr>
          <m:t xml:space="preserve">=</m:t>
        </m:r>
        <m:f>
          <m:num>
            <m:sSup>
              <m:e>
                <m:r>
                  <m:t xml:space="preserve">e</m:t>
                </m:r>
              </m:e>
              <m:sup>
                <m:d>
                  <m:dPr>
                    <m:begChr m:val="("/>
                    <m:endChr m:val=")"/>
                  </m:dPr>
                  <m:e>
                    <m:d>
                      <m:dPr>
                        <m:begChr m:val="("/>
                        <m:endChr m:val=")"/>
                      </m:dPr>
                      <m:e>
                        <m:sSub>
                          <m:e>
                            <m:r>
                              <m:t xml:space="preserve">γ</m:t>
                            </m:r>
                          </m:e>
                          <m:sub>
                            <m:r>
                              <m:t xml:space="preserve">00</m:t>
                            </m:r>
                          </m:sub>
                        </m:sSub>
                        <m:r>
                          <m:rPr>
                            <m:lit/>
                            <m:nor/>
                          </m:rPr>
                          <m:t xml:space="preserve">+</m:t>
                        </m:r>
                        <m:sSub>
                          <m:e>
                            <m:r>
                              <m:t xml:space="preserve">u</m:t>
                            </m:r>
                          </m:e>
                          <m:sub>
                            <m:r>
                              <m:t xml:space="preserve">0</m:t>
                            </m:r>
                            <m:r>
                              <m:t xml:space="preserve">j</m:t>
                            </m:r>
                          </m:sub>
                        </m:sSub>
                      </m:e>
                    </m:d>
                    <m:r>
                      <m:rPr>
                        <m:lit/>
                        <m:nor/>
                      </m:rPr>
                      <m:t xml:space="preserve">+</m:t>
                    </m:r>
                    <m:d>
                      <m:dPr>
                        <m:begChr m:val="("/>
                        <m:endChr m:val=")"/>
                      </m:dPr>
                      <m:e>
                        <m:sSub>
                          <m:e>
                            <m:r>
                              <m:t xml:space="preserve">γ</m:t>
                            </m:r>
                          </m:e>
                          <m:sub>
                            <m:r>
                              <m:t xml:space="preserve">10</m:t>
                            </m:r>
                          </m:sub>
                        </m:sSub>
                        <m:r>
                          <m:rPr>
                            <m:lit/>
                            <m:nor/>
                          </m:rPr>
                          <m:t xml:space="preserve">+</m:t>
                        </m:r>
                        <m:sSub>
                          <m:e>
                            <m:r>
                              <m:t xml:space="preserve">u</m:t>
                            </m:r>
                          </m:e>
                          <m:sub>
                            <m:r>
                              <m:t xml:space="preserve">1</m:t>
                            </m:r>
                            <m:r>
                              <m:t xml:space="preserve">j</m:t>
                            </m:r>
                          </m:sub>
                        </m:sSub>
                      </m:e>
                    </m:d>
                    <m:sSub>
                      <m:e>
                        <m:r>
                          <m:t xml:space="preserve">X</m:t>
                        </m:r>
                      </m:e>
                      <m:sub>
                        <m:r>
                          <m:t xml:space="preserve">ij</m:t>
                        </m:r>
                      </m:sub>
                    </m:sSub>
                  </m:e>
                </m:d>
              </m:sup>
            </m:sSup>
          </m:num>
          <m:den>
            <m:r>
              <m:t xml:space="preserve">1</m:t>
            </m:r>
            <m:r>
              <m:rPr>
                <m:lit/>
                <m:nor/>
              </m:rPr>
              <m:t xml:space="preserve">+</m:t>
            </m:r>
            <m:sSup>
              <m:e>
                <m:r>
                  <m:t xml:space="preserve">e</m:t>
                </m:r>
              </m:e>
              <m:sup>
                <m:d>
                  <m:dPr>
                    <m:begChr m:val="("/>
                    <m:endChr m:val=")"/>
                  </m:dPr>
                  <m:e>
                    <m:d>
                      <m:dPr>
                        <m:begChr m:val="("/>
                        <m:endChr m:val=")"/>
                      </m:dPr>
                      <m:e>
                        <m:sSub>
                          <m:e>
                            <m:r>
                              <m:t xml:space="preserve">γ</m:t>
                            </m:r>
                          </m:e>
                          <m:sub>
                            <m:r>
                              <m:t xml:space="preserve">00</m:t>
                            </m:r>
                          </m:sub>
                        </m:sSub>
                        <m:r>
                          <m:rPr>
                            <m:lit/>
                            <m:nor/>
                          </m:rPr>
                          <m:t xml:space="preserve">+</m:t>
                        </m:r>
                        <m:sSub>
                          <m:e>
                            <m:r>
                              <m:t xml:space="preserve">u</m:t>
                            </m:r>
                          </m:e>
                          <m:sub>
                            <m:r>
                              <m:t xml:space="preserve">0</m:t>
                            </m:r>
                            <m:r>
                              <m:t xml:space="preserve">j</m:t>
                            </m:r>
                          </m:sub>
                        </m:sSub>
                      </m:e>
                    </m:d>
                    <m:r>
                      <m:rPr>
                        <m:lit/>
                        <m:nor/>
                      </m:rPr>
                      <m:t xml:space="preserve">+</m:t>
                    </m:r>
                    <m:d>
                      <m:dPr>
                        <m:begChr m:val="("/>
                        <m:endChr m:val=")"/>
                      </m:dPr>
                      <m:e>
                        <m:sSub>
                          <m:e>
                            <m:r>
                              <m:t xml:space="preserve">γ</m:t>
                            </m:r>
                          </m:e>
                          <m:sub>
                            <m:r>
                              <m:t xml:space="preserve">10</m:t>
                            </m:r>
                          </m:sub>
                        </m:sSub>
                        <m:r>
                          <m:rPr>
                            <m:lit/>
                            <m:nor/>
                          </m:rPr>
                          <m:t xml:space="preserve">+</m:t>
                        </m:r>
                        <m:sSub>
                          <m:e>
                            <m:r>
                              <m:t xml:space="preserve">u</m:t>
                            </m:r>
                          </m:e>
                          <m:sub>
                            <m:r>
                              <m:t xml:space="preserve">1</m:t>
                            </m:r>
                            <m:r>
                              <m:t xml:space="preserve">j</m:t>
                            </m:r>
                          </m:sub>
                        </m:sSub>
                      </m:e>
                    </m:d>
                    <m:sSub>
                      <m:e>
                        <m:r>
                          <m:t xml:space="preserve">X</m:t>
                        </m:r>
                      </m:e>
                      <m:sub>
                        <m:r>
                          <m:t xml:space="preserve">ij</m:t>
                        </m:r>
                      </m:sub>
                    </m:sSub>
                  </m:e>
                </m:d>
              </m:sup>
            </m:sSup>
          </m:den>
        </m:f>
      </m:oMath>
      <w:r>
        <w:rPr/>
        <w:tab/>
      </w:r>
    </w:p>
    <w:p>
      <w:pPr>
        <w:sectPr>
          <w:type w:val="continuous"/>
          <w:pgSz w:w="9978" w:h="14173"/>
          <w:pgMar w:left="850" w:right="720" w:gutter="0" w:header="0" w:top="800" w:footer="0" w:bottom="280"/>
          <w:lnNumType w:countBy="1" w:restart="continuous" w:distance="283"/>
          <w:formProt w:val="false"/>
          <w:textDirection w:val="lrTb"/>
          <w:docGrid w:type="default" w:linePitch="100" w:charSpace="0"/>
        </w:sectPr>
      </w:pPr>
    </w:p>
    <w:p>
      <w:pPr>
        <w:pStyle w:val="normal1"/>
        <w:rPr/>
      </w:pPr>
      <w:r>
        <w:rPr/>
      </w:r>
    </w:p>
    <w:p>
      <w:pPr>
        <w:sectPr>
          <w:type w:val="continuous"/>
          <w:pgSz w:w="9978" w:h="14173"/>
          <w:pgMar w:left="850" w:right="720" w:gutter="0" w:header="0" w:top="800" w:footer="0" w:bottom="280"/>
          <w:lnNumType w:countBy="1" w:restart="continuous" w:distance="283"/>
          <w:cols w:num="2" w:space="40" w:equalWidth="true" w:sep="false"/>
          <w:formProt w:val="false"/>
          <w:textDirection w:val="lrTb"/>
          <w:docGrid w:type="default" w:linePitch="100" w:charSpace="0"/>
        </w:sectPr>
      </w:pPr>
    </w:p>
    <w:p>
      <w:pPr>
        <w:pStyle w:val="Heading1"/>
        <w:tabs>
          <w:tab w:val="clear" w:pos="720"/>
          <w:tab w:val="left" w:pos="8414" w:leader="none"/>
        </w:tabs>
        <w:spacing w:lineRule="auto" w:line="190" w:before="206" w:after="0"/>
        <w:ind w:firstLine="113" w:start="113"/>
        <w:rPr/>
      </w:pPr>
      <w:r>
        <w:rPr/>
        <w:t xml:space="preserve">donde </w:t>
      </w:r>
      <w:r>
        <w:rPr>
          <w:i/>
          <w:iCs/>
        </w:rPr>
        <w:t>P</w:t>
      </w:r>
      <w:r>
        <w:rPr/>
        <w:t>(</w:t>
      </w:r>
      <w:r>
        <w:rPr>
          <w:i/>
          <w:iCs/>
        </w:rPr>
        <w:t>Y</w:t>
      </w:r>
      <w:r>
        <w:rPr>
          <w:i/>
          <w:iCs/>
          <w:vertAlign w:val="subscript"/>
        </w:rPr>
        <w:t>ij</w:t>
      </w:r>
      <w:r>
        <w:rPr>
          <w:i/>
          <w:iCs/>
        </w:rPr>
        <w:t xml:space="preserve"> </w:t>
      </w:r>
      <w:r>
        <w:rPr/>
        <w:t xml:space="preserve">= 1) representa la probabilidad de que el resultado sea 1 para el individuo </w:t>
      </w:r>
      <w:r>
        <w:rPr>
          <w:i/>
          <w:iCs/>
        </w:rPr>
        <w:t xml:space="preserve">i </w:t>
      </w:r>
      <w:r>
        <w:rPr/>
        <w:t xml:space="preserve">en el grupo </w:t>
      </w:r>
      <w:r>
        <w:rPr>
          <w:i/>
          <w:iCs/>
        </w:rPr>
        <w:t>j</w:t>
      </w:r>
      <w:r>
        <w:rPr/>
        <w:t xml:space="preserve">. </w:t>
        <w:tab/>
      </w:r>
    </w:p>
    <w:p>
      <w:pPr>
        <w:pStyle w:val="Heading1"/>
        <w:tabs>
          <w:tab w:val="clear" w:pos="720"/>
          <w:tab w:val="right" w:pos="8562" w:leader="none"/>
        </w:tabs>
        <w:spacing w:lineRule="auto" w:line="242" w:before="125" w:after="0"/>
        <w:ind w:firstLine="113" w:start="113"/>
        <w:jc w:val="both"/>
        <w:rPr/>
      </w:pPr>
      <w:r>
        <w:rPr/>
        <w:t xml:space="preserve">En este modelo de regresión logística multinivel, el coeficiente </w:t>
      </w:r>
      <w:r>
        <w:rPr>
          <w:rFonts w:eastAsia="Calibri" w:cs="Calibri" w:ascii="Calibri" w:hAnsi="Calibri"/>
          <w:i/>
          <w:iCs/>
        </w:rPr>
        <w:t>β</w:t>
      </w:r>
      <w:r>
        <w:rPr>
          <w:vertAlign w:val="subscript"/>
        </w:rPr>
        <w:t>0</w:t>
      </w:r>
      <w:r>
        <w:rPr>
          <w:i/>
          <w:iCs/>
          <w:vertAlign w:val="subscript"/>
        </w:rPr>
        <w:t>j</w:t>
      </w:r>
      <w:r>
        <w:rPr>
          <w:i/>
          <w:iCs/>
        </w:rPr>
        <w:t xml:space="preserve"> </w:t>
      </w:r>
      <w:r>
        <w:rPr/>
        <w:t xml:space="preserve">varía entre grupos, lo que permite capturar diferencias en el nivel base del resultado para cada grupo. El coeficiente </w:t>
      </w:r>
      <w:r>
        <w:rPr>
          <w:rFonts w:eastAsia="Calibri" w:cs="Calibri" w:ascii="Calibri" w:hAnsi="Calibri"/>
          <w:i/>
          <w:iCs/>
        </w:rPr>
        <w:t>β</w:t>
      </w:r>
      <w:r>
        <w:rPr>
          <w:vertAlign w:val="subscript"/>
        </w:rPr>
        <w:t>1</w:t>
      </w:r>
      <w:r>
        <w:rPr>
          <w:i/>
          <w:iCs/>
          <w:vertAlign w:val="subscript"/>
        </w:rPr>
        <w:t>j</w:t>
      </w:r>
      <w:r>
        <w:rPr>
          <w:i/>
          <w:iCs/>
        </w:rPr>
        <w:t xml:space="preserve"> </w:t>
      </w:r>
      <w:r>
        <w:rPr/>
        <w:t xml:space="preserve">del predictor </w:t>
      </w:r>
      <w:r>
        <w:rPr>
          <w:i/>
          <w:iCs/>
        </w:rPr>
        <w:t>X</w:t>
      </w:r>
      <w:r>
        <w:rPr>
          <w:i/>
          <w:iCs/>
          <w:vertAlign w:val="subscript"/>
        </w:rPr>
        <w:t>ij</w:t>
      </w:r>
      <w:r>
        <w:rPr>
          <w:i/>
          <w:iCs/>
        </w:rPr>
        <w:t xml:space="preserve"> </w:t>
      </w:r>
      <w:r>
        <w:rPr/>
        <w:t xml:space="preserve">también varía entre grupos, lo que permite que el efecto o influencia del predictor cambie según el grupo. Los efectos aleatorios </w:t>
      </w:r>
      <w:r>
        <w:rPr>
          <w:i/>
          <w:iCs/>
        </w:rPr>
        <w:t>u</w:t>
      </w:r>
      <w:r>
        <w:rPr>
          <w:vertAlign w:val="subscript"/>
        </w:rPr>
        <w:t>0</w:t>
      </w:r>
      <w:r>
        <w:rPr>
          <w:i/>
          <w:iCs/>
          <w:vertAlign w:val="subscript"/>
        </w:rPr>
        <w:t>j</w:t>
      </w:r>
      <w:r>
        <w:rPr>
          <w:i/>
          <w:iCs/>
        </w:rPr>
        <w:t xml:space="preserve"> </w:t>
      </w:r>
      <w:r>
        <w:rPr/>
        <w:t xml:space="preserve">y </w:t>
      </w:r>
      <w:r>
        <w:rPr>
          <w:i/>
          <w:iCs/>
        </w:rPr>
        <w:t>u</w:t>
      </w:r>
      <w:r>
        <w:rPr>
          <w:vertAlign w:val="subscript"/>
        </w:rPr>
        <w:t>1</w:t>
      </w:r>
      <w:r>
        <w:rPr>
          <w:i/>
          <w:iCs/>
          <w:vertAlign w:val="subscript"/>
        </w:rPr>
        <w:t>j</w:t>
      </w:r>
      <w:r>
        <w:rPr>
          <w:i/>
          <w:iCs/>
        </w:rPr>
        <w:t xml:space="preserve"> </w:t>
      </w:r>
      <w:r>
        <w:rPr/>
        <w:t xml:space="preserve">permiten que tanto el intercepto como las pendientes cambien entre grupos, acomodando la heterogeneidad que no es capturada por los predictores a nivel individual. </w:t>
      </w:r>
    </w:p>
    <w:p>
      <w:pPr>
        <w:pStyle w:val="Heading1"/>
        <w:tabs>
          <w:tab w:val="clear" w:pos="720"/>
          <w:tab w:val="right" w:pos="8562" w:leader="none"/>
        </w:tabs>
        <w:spacing w:lineRule="auto" w:line="242" w:before="125" w:after="0"/>
        <w:ind w:firstLine="113" w:start="113"/>
        <w:jc w:val="both"/>
        <w:rPr/>
      </w:pPr>
      <w:r>
        <w:rPr/>
        <w:t>En el contexto de la evaluación de la susceptibilidad a movimientos en masa, los modelos multiniveles resultan particularmente beneficiosos debido a la heterogeneidad espacial inherente, es decir, la variación en las características del terreno y las condiciones ambientales que pueden ocurrir de una ubicación a otra dentro del área de estudio. Se pueden definir niveles jerárquicos, como unidades de nivel inferior (por ejemplo, áreas más pequeñas como laderas o barrios) y unidades de nivel superior (como cuencas o municipios). En general, el nivel inferior se refiere a las unidades más pequeñas y detalladas, mientras que el nivel superior agrupa a estas unidades en categorías más amplias. Los efectos fijos permiten modelar cómo los factores (como pendiente, litología, uso del suelo) influyen de manera global en la susceptibilidad, mientras que los efectos aleatorios reflejan cómo estas relaciones pueden variar entre diferentes unidades espaciales, capturando de mejor manera las diferencias locales. Por ejemplo, en algunas zonas, la pendiente puede tener una influencia predominante en la susceptibilidad a movimientos en masa debido a la presencia de suelos inestables, mientras que en otras las condiciones climáticas específicas pueden favorecer el desarrollo de suelos con características distintas, afectando la susceptibilidad de manera diferenciada.</w:t>
      </w:r>
    </w:p>
    <w:p>
      <w:pPr>
        <w:sectPr>
          <w:type w:val="continuous"/>
          <w:pgSz w:w="9978" w:h="14173"/>
          <w:pgMar w:left="850" w:right="720" w:gutter="0" w:header="0" w:top="800" w:footer="0" w:bottom="280"/>
          <w:lnNumType w:countBy="1" w:restart="continuous" w:distance="283"/>
          <w:formProt w:val="false"/>
          <w:textDirection w:val="lrTb"/>
          <w:docGrid w:type="default" w:linePitch="100" w:charSpace="0"/>
        </w:sectPr>
      </w:pPr>
    </w:p>
    <w:p>
      <w:pPr>
        <w:pStyle w:val="Heading1"/>
        <w:spacing w:lineRule="auto" w:line="240" w:before="154" w:after="0"/>
        <w:ind w:firstLine="113" w:start="113"/>
        <w:jc w:val="both"/>
        <w:rPr/>
      </w:pPr>
      <w:r>
        <w:rPr/>
        <w:t xml:space="preserve">Dependiendo del contexto, se pueden utilizar dos o más niveles, pero se recomienda utilizar un número limitado (usualmente dos o tres niveles) para evitar complicaciones innecesarias en la modelización y garantizar resultados robustos (Lee y Nelder, </w:t>
      </w:r>
      <w:hyperlink w:anchor="_heading=h.36qmj3fak9pa">
        <w:r>
          <w:rPr>
            <w:rStyle w:val="Style3"/>
            <w:color w:val="00004C"/>
          </w:rPr>
          <w:t>1996</w:t>
        </w:r>
      </w:hyperlink>
      <w:r>
        <w:rPr/>
        <w:t xml:space="preserve">; Kumar et al., </w:t>
      </w:r>
      <w:hyperlink w:anchor="_heading=h.dlkm4cyx8im5">
        <w:r>
          <w:rPr>
            <w:rStyle w:val="Style3"/>
            <w:color w:val="00004C"/>
          </w:rPr>
          <w:t>2011</w:t>
        </w:r>
      </w:hyperlink>
      <w:r>
        <w:rPr/>
        <w:t xml:space="preserve">). Otra ventaja importante de los modelos multiniveles es la flexibilidad para incorporar información jerárquica sin necesidad de dividir el área de estudio de manera arbitraria y entrenar modelos independientes para cada subregión (Lee y Nelder, </w:t>
      </w:r>
      <w:hyperlink w:anchor="_heading=h.36qmj3fak9pa">
        <w:r>
          <w:rPr>
            <w:rStyle w:val="Style3"/>
            <w:color w:val="00004C"/>
          </w:rPr>
          <w:t>1996</w:t>
        </w:r>
      </w:hyperlink>
      <w:r>
        <w:rPr/>
        <w:t>). Esto evita los problemas de discontinuidad en los bordes de las zonas y permite utilizar la información compartida entre las distintas unidades para mejorar la estimación de los efectos globales y locales.</w:t>
        <w:tab/>
      </w:r>
    </w:p>
    <w:p>
      <w:pPr>
        <w:pStyle w:val="Heading1"/>
        <w:tabs>
          <w:tab w:val="clear" w:pos="720"/>
          <w:tab w:val="left" w:pos="8414" w:leader="none"/>
        </w:tabs>
        <w:spacing w:lineRule="auto" w:line="240" w:before="164" w:after="0"/>
        <w:ind w:firstLine="113" w:start="113"/>
        <w:jc w:val="both"/>
        <w:rPr/>
      </w:pPr>
      <w:r>
        <w:rPr/>
        <w:t xml:space="preserve">Sin embargo, los modelos multiniveles también presentan ciertas limitaciones. Una de las principales puede ser su mayor complejidad matemática y computacional, lo cual puede dificultar su implementación inicialmente. Además, la selección de la estructura adecuada del modelo (es decir, cuántos niveles incluir y cómo definir los efectos aleatorios) puede ser complicada y requiere típicamente de un conocimiento exhaustivo de la dinámica espacial del fenómeno en estudio (Kumar et al., </w:t>
      </w:r>
      <w:hyperlink w:anchor="_heading=h.dlkm4cyx8im5">
        <w:r>
          <w:rPr>
            <w:rStyle w:val="Style3"/>
            <w:color w:val="00004C"/>
          </w:rPr>
          <w:t>2011</w:t>
        </w:r>
      </w:hyperlink>
      <w:r>
        <w:rPr/>
        <w:t>). Otro desafío es la interpretación de los efectos aleatorios, ya que estos pueden ser difíciles de comunicar a audiencias  no familiarizadas con el tema</w:t>
      </w:r>
    </w:p>
    <w:p>
      <w:pPr>
        <w:pStyle w:val="Heading1"/>
        <w:tabs>
          <w:tab w:val="clear" w:pos="720"/>
          <w:tab w:val="left" w:pos="8414" w:leader="none"/>
        </w:tabs>
        <w:spacing w:lineRule="auto" w:line="240" w:before="165" w:after="0"/>
        <w:ind w:firstLine="113" w:start="113"/>
        <w:rPr/>
      </w:pPr>
      <w:r>
        <w:rPr/>
        <w:t>Existen diversos lenguajes de programación y paquetes que permiten trabajar con modelos multiniveles, cada uno con sus propias ventajas y desventajas.</w:t>
        <w:tab/>
      </w:r>
    </w:p>
    <w:p>
      <w:pPr>
        <w:pStyle w:val="Heading1"/>
        <w:tabs>
          <w:tab w:val="clear" w:pos="720"/>
          <w:tab w:val="left" w:pos="8414" w:leader="none"/>
        </w:tabs>
        <w:spacing w:lineRule="auto" w:line="266" w:before="141" w:after="0"/>
        <w:ind w:firstLine="113" w:start="113"/>
        <w:jc w:val="both"/>
        <w:rPr/>
      </w:pPr>
      <w:r>
        <w:rPr>
          <w:rFonts w:eastAsia="Palatino Linotype" w:cs="Palatino Linotype" w:ascii="Palatino Linotype" w:hAnsi="Palatino Linotype"/>
          <w:b/>
          <w:bCs/>
        </w:rPr>
        <w:t>R (lme4 y nlme)</w:t>
      </w:r>
      <w:r>
        <w:rPr/>
        <w:t>: R es uno de los lenguajes más utilizados para la implementación de modelos multiniveles, principalmente a través de los paquetes lme4 y nlme. Estos paquetes permiten una gran flexibilidad para especificar efectos fijos y aleatorios, y ofrecen herramientas avanzadas para la visualización de resultados. Una ventaja importante de R es su comunidad amplia y activa, lo cual facilita el acceso a documentación y soporte. Sin embargo, la desventaja principal es que el procesamiento de grandes volúmenes de datos puede ser lento, lo que limita su uso en estudios de gran escala sin hardware especializado.</w:t>
      </w:r>
    </w:p>
    <w:p>
      <w:pPr>
        <w:pStyle w:val="normal1"/>
        <w:tabs>
          <w:tab w:val="clear" w:pos="720"/>
          <w:tab w:val="left" w:pos="8414" w:leader="none"/>
        </w:tabs>
        <w:spacing w:lineRule="auto" w:line="266" w:before="141" w:after="0"/>
        <w:ind w:hanging="0" w:start="113"/>
        <w:jc w:val="both"/>
        <w:rPr>
          <w:rFonts w:ascii="Times New Roman" w:hAnsi="Times New Roman" w:eastAsia="Times New Roman" w:cs="Times New Roman"/>
          <w:sz w:val="20"/>
          <w:szCs w:val="20"/>
        </w:rPr>
      </w:pPr>
      <w:r>
        <w:rPr>
          <w:rFonts w:eastAsia="Palatino Linotype" w:cs="Palatino Linotype" w:ascii="Palatino Linotype" w:hAnsi="Palatino Linotype"/>
          <w:b/>
          <w:bCs/>
          <w:sz w:val="20"/>
          <w:szCs w:val="20"/>
        </w:rPr>
        <w:t>Python (statsmodels y PyMC)</w:t>
      </w:r>
      <w:r>
        <w:rPr>
          <w:rFonts w:eastAsia="Times New Roman" w:cs="Times New Roman" w:ascii="Times New Roman" w:hAnsi="Times New Roman"/>
          <w:sz w:val="20"/>
          <w:szCs w:val="20"/>
        </w:rPr>
        <w:t>: En Python, los modelos multiniveles se pueden implementar utilizando statsmodels para enfoques más tradicionales, o PyMC para un enfoque bayesiano. PyMC es particularmente útil si se desea explorar la incertidumbre de los modelos mediante técnicas como Monte Carlo. Python es conocido por su versatilidad y su capacidad para integrarse con otros tipos de análisis y herramientas de aprendizaje automático.</w:t>
      </w:r>
    </w:p>
    <w:p>
      <w:pPr>
        <w:pStyle w:val="normal1"/>
        <w:tabs>
          <w:tab w:val="clear" w:pos="720"/>
          <w:tab w:val="left" w:pos="8414" w:leader="none"/>
        </w:tabs>
        <w:spacing w:lineRule="auto" w:line="266" w:before="141" w:after="0"/>
        <w:ind w:hanging="0" w:start="113"/>
        <w:rPr/>
      </w:pPr>
      <w:r>
        <w:rPr>
          <w:rFonts w:eastAsia="Palatino Linotype" w:cs="Palatino Linotype" w:ascii="Palatino Linotype" w:hAnsi="Palatino Linotype"/>
          <w:b/>
          <w:bCs/>
          <w:sz w:val="20"/>
          <w:szCs w:val="20"/>
        </w:rPr>
        <w:t>Stan (a través de R o Python)</w:t>
      </w:r>
      <w:r>
        <w:rPr>
          <w:rFonts w:eastAsia="Times New Roman" w:cs="Times New Roman" w:ascii="Times New Roman" w:hAnsi="Times New Roman"/>
          <w:sz w:val="20"/>
          <w:szCs w:val="20"/>
        </w:rPr>
        <w:t>: Stan es un potente lenguaje para realizar inferencia bayesiana y es muy útil para modelos multiniveles complejos. Se puede acceder a través de interfaces en R (rstanarm) o Python (pystan). La principal ventaja de Stan es su precisión en la estimación de modelos complejos, y su capacidad para manejar estructuras jerárquicas detalladas. Sin embargo, su principal desventaja radica en la complejidad computacional y el tiempo necesario para realizar inferencias, especialmente cuando se aplican modelos con múltiples niveles y muchos parámetros.</w:t>
      </w:r>
    </w:p>
    <w:p>
      <w:pPr>
        <w:pStyle w:val="Heading1"/>
        <w:tabs>
          <w:tab w:val="clear" w:pos="720"/>
          <w:tab w:val="left" w:pos="8414" w:leader="none"/>
        </w:tabs>
        <w:spacing w:lineRule="auto" w:line="266" w:before="141" w:after="0"/>
        <w:ind w:firstLine="113" w:start="113"/>
        <w:jc w:val="both"/>
        <w:rPr/>
      </w:pPr>
      <w:r>
        <w:rPr>
          <w:rFonts w:eastAsia="Palatino Linotype" w:cs="Palatino Linotype" w:ascii="Palatino Linotype" w:hAnsi="Palatino Linotype"/>
          <w:b/>
          <w:bCs/>
        </w:rPr>
        <w:t>SPSS y Stata</w:t>
      </w:r>
      <w:r>
        <w:rPr/>
        <w:t>: Para aquellos que prefieren interfaces gráficas, SPSS y Stata también ofrecen capacidades para trabajar con modelos multiniveles. Estas herramientas son más accesibles para usuarios con menos experiencia en programación, lo cual facilita la implementación de modelos sin necesidad de escribir código. La desventaja de estos programas es que son de pago y sus capacidades de</w:t>
      </w:r>
      <w:r>
        <w:rPr>
          <w:rFonts w:eastAsia="Trebuchet MS" w:cs="Trebuchet MS" w:ascii="Trebuchet MS" w:hAnsi="Trebuchet MS"/>
          <w:sz w:val="10"/>
          <w:szCs w:val="10"/>
        </w:rPr>
        <w:t xml:space="preserve"> </w:t>
      </w:r>
      <w:r>
        <w:rPr/>
        <w:t xml:space="preserve">personalización son más limitadas comparadas con las opciones de código abierto como R o Python.  </w:t>
      </w:r>
    </w:p>
    <w:p>
      <w:pPr>
        <w:pStyle w:val="Heading1"/>
        <w:spacing w:lineRule="auto" w:line="247" w:before="140" w:after="0"/>
        <w:ind w:firstLine="113" w:start="113" w:end="138"/>
        <w:jc w:val="both"/>
        <w:rPr/>
      </w:pPr>
      <w:r>
        <w:rPr/>
        <w:t xml:space="preserve">La elección del lenguaje o software dependerá del propósito del estudio, las habilidades del investigador y la disponibilidad de recursos computacionales. Mientras que R y Python ofrecen opciones poderosas y flexibles para análisis detallados, herramientas como SPSS y Stata pueden ser más adecuadas para aquellos que buscan facilidad de uso en detrimento de la capacidad de personalización.  </w:t>
      </w:r>
      <w:bookmarkStart w:id="2" w:name="bookmark=id.oy1bbwk2j8o5"/>
    </w:p>
    <w:p>
      <w:pPr>
        <w:pStyle w:val="normal1"/>
        <w:keepNext w:val="false"/>
        <w:keepLines w:val="false"/>
        <w:pageBreakBefore w:val="false"/>
        <w:widowControl w:val="false"/>
        <w:numPr>
          <w:ilvl w:val="0"/>
          <w:numId w:val="1"/>
        </w:numPr>
        <w:pBdr/>
        <w:shd w:val="clear" w:fill="auto"/>
        <w:tabs>
          <w:tab w:val="clear" w:pos="720"/>
          <w:tab w:val="left" w:pos="397" w:leader="none"/>
          <w:tab w:val="left" w:pos="8414" w:leader="none"/>
        </w:tabs>
        <w:spacing w:lineRule="auto" w:line="240" w:before="235" w:after="0"/>
        <w:ind w:hanging="284" w:start="397" w:end="0"/>
        <w:jc w:val="start"/>
        <w:rPr>
          <w:rFonts w:ascii="Palatino Linotype" w:hAnsi="Palatino Linotype" w:eastAsia="Palatino Linotype" w:cs="Palatino Linotyp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bookmarkEnd w:id="2"/>
      <w:r>
        <w:rPr>
          <w:rFonts w:eastAsia="Palatino Linotype" w:cs="Palatino Linotype" w:ascii="Palatino Linotype" w:hAnsi="Palatino Linotype"/>
          <w:b/>
          <w:bCs/>
          <w:i w:val="false"/>
          <w:iCs w:val="false"/>
          <w:caps w:val="false"/>
          <w:smallCaps w:val="false"/>
          <w:strike w:val="false"/>
          <w:dstrike w:val="false"/>
          <w:color w:val="00004C"/>
          <w:position w:val="0"/>
          <w:sz w:val="24"/>
          <w:sz w:val="24"/>
          <w:szCs w:val="24"/>
          <w:u w:val="none"/>
          <w:shd w:fill="auto" w:val="clear"/>
          <w:vertAlign w:val="baseline"/>
        </w:rPr>
        <w:t>Área de estudio</w:t>
      </w:r>
      <w:r>
        <w:rPr>
          <w:rFonts w:eastAsia="Times New Roman" w:cs="Times New Roman" w:ascii="Times New Roman" w:hAnsi="Times New Roman"/>
          <w:b w:val="false"/>
          <w:bCs w:val="false"/>
          <w:i w:val="false"/>
          <w:iCs w:val="false"/>
          <w:caps w:val="false"/>
          <w:smallCaps w:val="false"/>
          <w:strike w:val="false"/>
          <w:dstrike w:val="false"/>
          <w:color w:val="00004C"/>
          <w:position w:val="0"/>
          <w:sz w:val="24"/>
          <w:sz w:val="24"/>
          <w:szCs w:val="24"/>
          <w:u w:val="none"/>
          <w:shd w:fill="auto" w:val="clear"/>
          <w:vertAlign w:val="baseline"/>
        </w:rPr>
        <w:tab/>
      </w:r>
    </w:p>
    <w:p>
      <w:pPr>
        <w:pStyle w:val="Heading1"/>
        <w:tabs>
          <w:tab w:val="clear" w:pos="720"/>
          <w:tab w:val="left" w:pos="8414" w:leader="none"/>
        </w:tabs>
        <w:spacing w:lineRule="auto" w:line="240" w:before="138" w:after="0"/>
        <w:ind w:firstLine="113" w:start="113"/>
        <w:rPr/>
      </w:pPr>
      <w:r>
        <w:rPr/>
        <w:t>El área de estudio se encuentra al norte de 5</w:t>
      </w:r>
      <w:r>
        <w:rPr>
          <w:rFonts w:eastAsia="Lucida Sans" w:cs="Lucida Sans" w:ascii="Lucida Sans" w:hAnsi="Lucida Sans"/>
          <w:sz w:val="23"/>
          <w:szCs w:val="23"/>
          <w:vertAlign w:val="superscript"/>
        </w:rPr>
        <w:t>◦</w:t>
      </w:r>
      <w:r>
        <w:rPr/>
        <w:t>N y abarca las Cordilleras Occidental y Central de los Andes colombianos, separadas por el cañón del Cauca. La región está delimitada por el río Atrato al oeste y el río Magdalena al este, cubriendo aproximadamente 50,000 km</w:t>
      </w:r>
      <w:r>
        <w:rPr>
          <w:sz w:val="23"/>
          <w:szCs w:val="23"/>
          <w:vertAlign w:val="superscript"/>
        </w:rPr>
        <w:t>2</w:t>
      </w:r>
      <w:r>
        <w:rPr/>
        <w:t>. El área está dividida en 533 subcuencas dentro de las cuencas hidrográficas del Atrato (25% de las cuencas), Cauca (50%) y Magdalena (25%). El ~73% de estas cuencas tienen áreas menores a 100 km</w:t>
      </w:r>
      <w:r>
        <w:rPr>
          <w:sz w:val="23"/>
          <w:szCs w:val="23"/>
          <w:vertAlign w:val="superscript"/>
        </w:rPr>
        <w:t>2</w:t>
      </w:r>
      <w:r>
        <w:rPr/>
        <w:t>, con un área media de 48 km</w:t>
      </w:r>
      <w:r>
        <w:rPr>
          <w:sz w:val="23"/>
          <w:szCs w:val="23"/>
          <w:vertAlign w:val="superscript"/>
        </w:rPr>
        <w:t>2</w:t>
      </w:r>
      <w:r>
        <w:rPr/>
        <w:t>.</w:t>
      </w:r>
    </w:p>
    <w:p>
      <w:pPr>
        <w:pStyle w:val="Heading1"/>
        <w:tabs>
          <w:tab w:val="clear" w:pos="720"/>
          <w:tab w:val="left" w:pos="8414" w:leader="none"/>
        </w:tabs>
        <w:spacing w:lineRule="auto" w:line="240" w:before="138" w:after="0"/>
        <w:ind w:firstLine="113" w:start="113"/>
        <w:rPr/>
      </w:pPr>
      <w:r>
        <w:rPr/>
      </w:r>
    </w:p>
    <w:p>
      <w:pPr>
        <w:pStyle w:val="Heading1"/>
        <w:tabs>
          <w:tab w:val="clear" w:pos="720"/>
          <w:tab w:val="left" w:pos="8414" w:leader="none"/>
        </w:tabs>
        <w:spacing w:lineRule="auto" w:line="240" w:before="138" w:after="0"/>
        <w:ind w:firstLine="113" w:start="113"/>
        <w:rPr/>
      </w:pPr>
      <w:r>
        <w:rPr/>
      </w:r>
    </w:p>
    <w:p>
      <w:pPr>
        <w:pStyle w:val="Heading1"/>
        <w:tabs>
          <w:tab w:val="clear" w:pos="720"/>
          <w:tab w:val="left" w:pos="8414" w:leader="none"/>
        </w:tabs>
        <w:spacing w:lineRule="auto" w:line="240" w:before="138" w:after="0"/>
        <w:ind w:firstLine="113" w:start="113"/>
        <w:rPr/>
      </w:pPr>
      <w:r>
        <w:rPr/>
      </w:r>
    </w:p>
    <w:p>
      <w:pPr>
        <w:pStyle w:val="Heading1"/>
        <w:tabs>
          <w:tab w:val="clear" w:pos="720"/>
          <w:tab w:val="left" w:pos="8414" w:leader="none"/>
        </w:tabs>
        <w:spacing w:lineRule="auto" w:line="240" w:before="138" w:after="0"/>
        <w:ind w:firstLine="113" w:start="113"/>
        <w:rPr/>
      </w:pPr>
      <w:bookmarkStart w:id="3" w:name="_heading=h.97tl5g6z826m"/>
      <w:bookmarkEnd w:id="3"/>
      <w:sdt>
        <w:sdtPr>
          <w:tag w:val="goog_rdk_1"/>
          <w:id w:val="664766262"/>
        </w:sdtPr>
        <w:sdtContent>
          <w:r>
            <w:rPr/>
          </w:r>
          <w:r>
            <w:rPr/>
          </w:r>
        </w:sdtContent>
      </w:sdt>
      <w:r>
        <w:rPr>
          <w:b/>
          <w:bCs/>
        </w:rPr>
        <w:t xml:space="preserve">Fig. 1. </w:t>
      </w:r>
      <w:r>
        <w:rPr/>
        <w:t xml:space="preserve">Mapa de localización del área de estudio en las Cordilleras Occidental y Central de los Andes colombianos. Los puntos </w:t>
      </w:r>
      <w:r>
        <w:rPr/>
        <w:t>negros</w:t>
      </w:r>
      <w:r>
        <w:rPr/>
        <w:t xml:space="preserve"> representan los movimientos en masa registrados entre 1970 y 2023. Se muestran los principales ríos y la delimitación de las </w:t>
      </w:r>
      <w:r>
        <w:rPr/>
        <w:t>sub</w:t>
      </w:r>
      <w:r>
        <w:rPr/>
        <w:t xml:space="preserve">cuencas </w:t>
      </w:r>
      <w:r>
        <w:rPr/>
        <w:t xml:space="preserve">que conforman las cuencas del </w:t>
      </w:r>
      <w:r>
        <w:rPr/>
        <w:t xml:space="preserve">Atrato </w:t>
      </w:r>
      <w:r>
        <w:rPr/>
        <w:t>(verde)</w:t>
      </w:r>
      <w:r>
        <w:rPr/>
        <w:t xml:space="preserve">, Cauca </w:t>
      </w:r>
      <w:r>
        <w:rPr/>
        <w:t xml:space="preserve">(rojo) </w:t>
      </w:r>
      <w:r>
        <w:rPr/>
        <w:t xml:space="preserve">y Magdalena </w:t>
      </w:r>
      <w:r>
        <w:rPr/>
        <w:t>(azul)</w:t>
      </w:r>
      <w:r>
        <w:rPr/>
        <w:t>.</w:t>
      </w:r>
      <w:bookmarkStart w:id="4" w:name="bookmark=id.6urqn9p7fxeq"/>
    </w:p>
    <w:p>
      <w:pPr>
        <w:pStyle w:val="normal1"/>
        <w:keepNext w:val="false"/>
        <w:keepLines w:val="false"/>
        <w:pageBreakBefore w:val="false"/>
        <w:widowControl w:val="false"/>
        <w:pBdr/>
        <w:shd w:val="clear" w:fill="auto"/>
        <w:tabs>
          <w:tab w:val="clear" w:pos="720"/>
          <w:tab w:val="left" w:pos="397" w:leader="none"/>
          <w:tab w:val="left" w:pos="8414" w:leader="none"/>
        </w:tabs>
        <w:spacing w:lineRule="auto" w:line="240" w:before="235" w:after="0"/>
        <w:ind w:hanging="284" w:start="397" w:end="0"/>
        <w:jc w:val="start"/>
        <w:rPr>
          <w:rFonts w:ascii="Palatino Linotype" w:hAnsi="Palatino Linotype" w:eastAsia="Palatino Linotype" w:cs="Palatino Linotyp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bookmarkEnd w:id="4"/>
      <w:r>
        <w:rPr>
          <w:rFonts w:eastAsia="Palatino Linotype" w:cs="Palatino Linotype" w:ascii="Palatino Linotype" w:hAnsi="Palatino Linotype"/>
          <w:b/>
          <w:bCs/>
          <w:i w:val="false"/>
          <w:iCs w:val="false"/>
          <w:caps w:val="false"/>
          <w:smallCaps w:val="false"/>
          <w:strike w:val="false"/>
          <w:dstrike w:val="false"/>
          <w:color w:val="00004C"/>
          <w:position w:val="0"/>
          <w:sz w:val="24"/>
          <w:sz w:val="24"/>
          <w:szCs w:val="24"/>
          <w:u w:val="none"/>
          <w:shd w:fill="auto" w:val="clear"/>
          <w:vertAlign w:val="baseline"/>
        </w:rPr>
        <w:t>4. Datos y metodología</w:t>
      </w:r>
    </w:p>
    <w:p>
      <w:pPr>
        <w:pStyle w:val="Heading1"/>
        <w:tabs>
          <w:tab w:val="clear" w:pos="720"/>
          <w:tab w:val="left" w:pos="8414" w:leader="none"/>
        </w:tabs>
        <w:spacing w:lineRule="auto" w:line="247" w:before="150" w:after="0"/>
        <w:ind w:firstLine="113" w:start="113" w:end="138"/>
        <w:jc w:val="both"/>
        <w:rPr/>
      </w:pPr>
      <w:r>
        <w:rPr/>
        <w:t>En este estudio se elaboró un catálogo de 13.777 movimientos en masa superficiales y profundos ocurridos entre 1970 y 2023 (Fig. 1). Todos los eventos corresponden a movimientos en suelo y presentan una alta variabilidad areal, desde unas pocas decenas de metros cuadrados hasta algunos casos que alcanzan varias hectáreas de extensión. Cada evento fue mapeado como un punto localizado en el centro de la corona del deslizamiento, ya que esta zona representa de forma más precisa las condiciones previas a la ocurrencia del movimiento en masa. La identificación se realizó mediante interpretación visual de imágenes satelitales, incluyendo imágenes PlanetScope (resolución de 3–4 m) y de Google Earth, desde 1985 hasta 2023, con resolución submétrica desde 2001.</w:t>
      </w:r>
    </w:p>
    <w:p>
      <w:pPr>
        <w:pStyle w:val="Heading1"/>
        <w:tabs>
          <w:tab w:val="clear" w:pos="720"/>
          <w:tab w:val="left" w:pos="8414" w:leader="none"/>
        </w:tabs>
        <w:spacing w:lineRule="auto" w:line="247" w:before="150" w:after="0"/>
        <w:ind w:firstLine="113" w:start="113" w:end="138"/>
        <w:jc w:val="both"/>
        <w:rPr/>
      </w:pPr>
      <w:r>
        <w:rPr/>
      </w:r>
    </w:p>
    <w:p>
      <w:pPr>
        <w:pStyle w:val="Heading1"/>
        <w:tabs>
          <w:tab w:val="clear" w:pos="720"/>
          <w:tab w:val="left" w:pos="8414" w:leader="none"/>
        </w:tabs>
        <w:spacing w:lineRule="auto" w:line="240" w:before="10" w:after="0"/>
        <w:ind w:firstLine="113" w:start="113"/>
        <w:jc w:val="both"/>
        <w:rPr/>
      </w:pPr>
      <w:r>
        <w:rPr>
          <w:color w:val="000000"/>
        </w:rPr>
        <w:t xml:space="preserve">Inicialmente, se seleccionaron como variables predictoras para el área de estudio: </w:t>
      </w:r>
      <w:sdt>
        <w:sdtPr>
          <w:tag w:val="goog_rdk_2"/>
          <w:id w:val="292450372"/>
        </w:sdtPr>
        <w:sdtContent>
          <w:r>
            <w:rPr>
              <w:color w:val="000000"/>
            </w:rPr>
          </w:r>
          <w:r>
            <w:rPr>
              <w:color w:val="000000"/>
            </w:rPr>
          </w:r>
        </w:sdtContent>
      </w:sdt>
      <w:r>
        <w:rPr>
          <w:color w:val="000000"/>
        </w:rPr>
        <w:t xml:space="preserve">el área bajo la curva hipsométrica de la subcuenca, la elevación media, la pendiente media, el relieve local medio, </w:t>
      </w:r>
      <w:r>
        <w:rPr>
          <w:color w:val="000000"/>
        </w:rPr>
        <w:t xml:space="preserve">el área de la subcuenca, </w:t>
      </w:r>
      <w:r>
        <w:rPr>
          <w:color w:val="000000"/>
        </w:rPr>
        <w:t xml:space="preserve">la densidad de lineamientos, </w:t>
      </w:r>
      <w:r>
        <w:rPr>
          <w:color w:val="000000"/>
        </w:rPr>
        <w:t xml:space="preserve">la precipitación media anual, el número de días con precipitación diaria acumulada &gt;20 mm, la cobertura del suelo y la geología predominante. </w:t>
      </w:r>
      <w:r>
        <w:rPr>
          <w:color w:val="000000"/>
        </w:rPr>
        <w:t>La información geológica fue obtenida a partir de mapas a escala 1:25.000 incluidos en los planes de ordenamiento territorial de varios municipios y en los planes de ordenación de cuencas hidrográficas. Complementariamente, se utilizó el mapa geológico nacional a escala 1:100.000 publicado por el Servicio Geológico Colombiano (SGC, 2013).</w:t>
      </w:r>
    </w:p>
    <w:p>
      <w:pPr>
        <w:pStyle w:val="Heading1"/>
        <w:tabs>
          <w:tab w:val="clear" w:pos="720"/>
          <w:tab w:val="left" w:pos="8414" w:leader="none"/>
        </w:tabs>
        <w:spacing w:lineRule="auto" w:line="240" w:before="10" w:after="0"/>
        <w:ind w:firstLine="113" w:start="113"/>
        <w:jc w:val="both"/>
        <w:rPr/>
      </w:pPr>
      <w:r>
        <w:rPr/>
      </w:r>
    </w:p>
    <w:p>
      <w:pPr>
        <w:pStyle w:val="Heading1"/>
        <w:tabs>
          <w:tab w:val="clear" w:pos="720"/>
          <w:tab w:val="left" w:pos="8414" w:leader="none"/>
        </w:tabs>
        <w:spacing w:lineRule="auto" w:line="240" w:before="10" w:after="0"/>
        <w:ind w:firstLine="113" w:start="113"/>
        <w:jc w:val="both"/>
        <w:rPr/>
      </w:pPr>
      <w:r>
        <w:rPr>
          <w:color w:val="000000"/>
        </w:rPr>
        <w:t xml:space="preserve">La elección de estas variables se fundamentó en una revisión crítica de la literatura. Aunque existen numerosos estudios sobre susceptibilidad a movimientos en masa a escala de ladera (Reichenbach et al., 2018), a escala de cuenca los trabajos son menos frecuentes y requieren variables que representen adecuadamente las condiciones generales del paisaje. Por ejemplo, el área bajo la curva hipsométrica es un indicador del grado de rejuvenecimiento del relieve, siendo más alto en terrenos jóvenes y dinámicos. La elevación media y el relieve local reflejan la energía potencial del terreno, mientras que la pendiente media está directamente relacionada con la estabilidad del talud. La precipitación media anual representa la carga hídrica acumulada sobre las cuencas, y el número de días con lluvias intensas permite aproximarse a los factores detonantes. La cobertura del suelo aporta información sobre el tipo de vegetación o uso del suelo que puede modificar la estabilidad de la cuenca, y la geología predominante </w:t>
      </w:r>
      <w:r>
        <w:rPr>
          <w:color w:val="000000"/>
        </w:rPr>
        <w:t>y densidad de lineamientos</w:t>
      </w:r>
      <w:r>
        <w:rPr>
          <w:color w:val="000000"/>
        </w:rPr>
        <w:t xml:space="preserve"> identifica unidades litológicas con diferentes propiedades estructurales y mecánicas frente a la ocurrencia de movimientos en masa.</w:t>
      </w:r>
    </w:p>
    <w:p>
      <w:pPr>
        <w:pStyle w:val="Heading1"/>
        <w:tabs>
          <w:tab w:val="clear" w:pos="720"/>
          <w:tab w:val="left" w:pos="8414" w:leader="none"/>
        </w:tabs>
        <w:spacing w:lineRule="auto" w:line="240" w:before="150" w:after="0"/>
        <w:ind w:firstLine="113" w:start="113"/>
        <w:rPr/>
      </w:pPr>
      <w:r>
        <w:rPr/>
        <w:t xml:space="preserve">Los parámetros del terreno se calcularon utilizando el modelo digital de elevación (DEM, por sus siglas en inglés) del radar de apertura sintética en banda L del satélite de observación terrestre avanzada (ALOS-PALSAR), con </w:t>
      </w:r>
      <w:r>
        <w:rPr>
          <w:color w:val="000000"/>
        </w:rPr>
        <w:t xml:space="preserve">una resolución de píxel de 12.5 m x 12.5 m (Logan y Karr, </w:t>
      </w:r>
      <w:hyperlink w:anchor="_heading=h.ufv5tq5gb8tk">
        <w:r>
          <w:rPr>
            <w:rStyle w:val="Style3"/>
            <w:color w:val="00004C"/>
          </w:rPr>
          <w:t>2014</w:t>
        </w:r>
      </w:hyperlink>
      <w:r>
        <w:rPr>
          <w:color w:val="000000"/>
        </w:rPr>
        <w:t>).</w:t>
      </w:r>
    </w:p>
    <w:p>
      <w:pPr>
        <w:pStyle w:val="normal1"/>
        <w:tabs>
          <w:tab w:val="clear" w:pos="720"/>
          <w:tab w:val="left" w:pos="8414" w:leader="none"/>
        </w:tabs>
        <w:spacing w:lineRule="auto" w:line="240" w:before="150" w:after="0"/>
        <w:ind w:hanging="0" w:start="113"/>
        <w:jc w:val="both"/>
        <w:rPr/>
      </w:pPr>
      <w:r>
        <w:rPr>
          <w:rFonts w:eastAsia="Times New Roman" w:cs="Times New Roman" w:ascii="Times New Roman" w:hAnsi="Times New Roman"/>
          <w:color w:val="000000"/>
          <w:sz w:val="20"/>
          <w:szCs w:val="20"/>
        </w:rPr>
        <w:t>Las métricas de precipitación se</w:t>
      </w:r>
      <w:r>
        <w:rPr>
          <w:rFonts w:eastAsia="Times New Roman" w:cs="Times New Roman" w:ascii="Times New Roman" w:hAnsi="Times New Roman"/>
          <w:sz w:val="20"/>
          <w:szCs w:val="20"/>
        </w:rPr>
        <w:t xml:space="preserve"> derivaron utilizando los datos de CHIRPS (</w:t>
      </w:r>
      <w:r>
        <w:rPr>
          <w:rFonts w:eastAsia="Times New Roman" w:cs="Times New Roman" w:ascii="Times New Roman" w:hAnsi="Times New Roman"/>
          <w:i/>
          <w:iCs/>
          <w:sz w:val="20"/>
          <w:szCs w:val="20"/>
        </w:rPr>
        <w:t>Climate Hazard Group Infrared Precipitation with Station Data</w:t>
      </w:r>
      <w:r>
        <w:rPr>
          <w:rFonts w:eastAsia="Times New Roman" w:cs="Times New Roman" w:ascii="Times New Roman" w:hAnsi="Times New Roman"/>
          <w:sz w:val="20"/>
          <w:szCs w:val="20"/>
        </w:rPr>
        <w:t xml:space="preserve">) (Funk et al., </w:t>
      </w:r>
      <w:hyperlink w:anchor="_heading=h.ron7wu4eshm9">
        <w:r>
          <w:rPr>
            <w:rStyle w:val="Style3"/>
            <w:rFonts w:eastAsia="Times New Roman" w:cs="Times New Roman" w:ascii="Times New Roman" w:hAnsi="Times New Roman"/>
            <w:sz w:val="20"/>
            <w:szCs w:val="20"/>
          </w:rPr>
          <w:t>2015</w:t>
        </w:r>
      </w:hyperlink>
      <w:r>
        <w:rPr>
          <w:rFonts w:eastAsia="Times New Roman" w:cs="Times New Roman" w:ascii="Times New Roman" w:hAnsi="Times New Roman"/>
          <w:sz w:val="20"/>
          <w:szCs w:val="20"/>
        </w:rPr>
        <w:t>), versión 2.0, para datos con una resolución de 5 km desde 1981 hasta 2023. Para este cálculo se utilizó la plataforma Google Earth Engine (GEE) con lenguaje Javascript.</w:t>
      </w:r>
    </w:p>
    <w:p>
      <w:pPr>
        <w:pStyle w:val="Heading1"/>
        <w:tabs>
          <w:tab w:val="clear" w:pos="720"/>
          <w:tab w:val="left" w:pos="8414" w:leader="none"/>
        </w:tabs>
        <w:spacing w:lineRule="auto" w:line="240" w:before="151" w:after="0"/>
        <w:ind w:firstLine="113" w:start="113"/>
        <w:jc w:val="both"/>
        <w:rPr/>
      </w:pPr>
      <w:r>
        <w:rPr/>
        <w:t xml:space="preserve">Se generó un mapa de cobertura del suelo utilizando datos del programa Copernicus Sentinel-2, con una resolución de 10 m. Utilizando GEE, se seleccionaron imágenes desde 2018 hasta 2023 con menos del 10% de cobertura de nubes, eliminando efectos de sombra. El mapa se creó calculando el índice de vegetación de diferencia normalizada (NDVI) (Kriegler, </w:t>
      </w:r>
      <w:hyperlink w:anchor="_heading=h.bzhrl986vey">
        <w:r>
          <w:rPr>
            <w:rStyle w:val="Style3"/>
            <w:color w:val="00004C"/>
          </w:rPr>
          <w:t>1969</w:t>
        </w:r>
      </w:hyperlink>
      <w:r>
        <w:rPr/>
        <w:t xml:space="preserve">), el índice de diferencia normalizada de construcciones (NDBI) (Zha et al., </w:t>
      </w:r>
      <w:hyperlink w:anchor="_heading=h.q1few191be6n">
        <w:r>
          <w:rPr>
            <w:rStyle w:val="Style3"/>
            <w:color w:val="00004C"/>
          </w:rPr>
          <w:t>2003</w:t>
        </w:r>
      </w:hyperlink>
      <w:r>
        <w:rPr/>
        <w:t xml:space="preserve">), el índice de diferencia normalizada de agua modificado (MNDWI) (Xu, </w:t>
      </w:r>
      <w:hyperlink w:anchor="_heading=h.qeesw8wwaagb">
        <w:r>
          <w:rPr>
            <w:rStyle w:val="Style3"/>
            <w:color w:val="00004C"/>
          </w:rPr>
          <w:t>2006</w:t>
        </w:r>
      </w:hyperlink>
      <w:r>
        <w:rPr/>
        <w:t xml:space="preserve">) y el índice de suelo desnudo (BSI) (Li et al., </w:t>
      </w:r>
      <w:hyperlink w:anchor="_heading=h.fw67jz7ed37b">
        <w:r>
          <w:rPr>
            <w:rStyle w:val="Style3"/>
            <w:color w:val="00004C"/>
          </w:rPr>
          <w:t>2014</w:t>
        </w:r>
      </w:hyperlink>
      <w:r>
        <w:rPr/>
        <w:t>). La clasificación de cobertura del suelo se realizó con un algoritmo de bosque aleatorio (</w:t>
      </w:r>
      <w:r>
        <w:rPr>
          <w:i/>
          <w:iCs/>
        </w:rPr>
        <w:t>random forest</w:t>
      </w:r>
      <w:r>
        <w:rPr/>
        <w:t xml:space="preserve">) del paquete Classifier de GEE (Breiman, </w:t>
      </w:r>
      <w:hyperlink w:anchor="_heading=h.ix6inzeusz07">
        <w:r>
          <w:rPr>
            <w:rStyle w:val="Style3"/>
            <w:color w:val="00004C"/>
          </w:rPr>
          <w:t>2001</w:t>
        </w:r>
      </w:hyperlink>
      <w:r>
        <w:rPr/>
        <w:t>).</w:t>
      </w:r>
    </w:p>
    <w:p>
      <w:pPr>
        <w:pStyle w:val="Heading1"/>
        <w:spacing w:lineRule="auto" w:line="247" w:before="151" w:after="0"/>
        <w:ind w:firstLine="113" w:start="113" w:end="138"/>
        <w:jc w:val="both"/>
        <w:rPr/>
      </w:pPr>
      <w:r>
        <w:rPr/>
        <w:t xml:space="preserve">Para implementar los modelos multiniveles, se definieron regiones. En este estudio, se utilizaron dos regiones distintas. El primer régimen corresponde a las divisiones naturales por las principales cuencas: Atrato, Cauca y Magdalena. El segundo régimen utilizó la clusterización aglomerativa basada en parámetros morfométricos y una matriz de conectividad espacial, aplicada con diferentes </w:t>
      </w:r>
      <w:r>
        <w:rPr>
          <w:i/>
          <w:iCs/>
        </w:rPr>
        <w:t xml:space="preserve">K </w:t>
      </w:r>
      <w:r>
        <w:rPr/>
        <w:t xml:space="preserve">vecinos más cercanos para </w:t>
      </w:r>
      <w:r>
        <w:rPr>
          <w:i/>
          <w:iCs/>
        </w:rPr>
        <w:t xml:space="preserve">K </w:t>
      </w:r>
      <w:r>
        <w:rPr/>
        <w:t>= 2, 3, 4, 5 y 6. La agrupación se implementó en Python utilizando la librería Scikit-learn, guiada por el método del codo (</w:t>
      </w:r>
      <w:r>
        <w:rPr>
          <w:i/>
          <w:iCs/>
        </w:rPr>
        <w:t>Elbow method</w:t>
      </w:r>
      <w:r>
        <w:rPr/>
        <w:t xml:space="preserve">) y el coeficiente de Silhouette (Pedregosa et al., </w:t>
      </w:r>
      <w:hyperlink w:anchor="_heading=h.yra5pjuszxm">
        <w:r>
          <w:rPr>
            <w:rStyle w:val="Style3"/>
            <w:color w:val="00004C"/>
          </w:rPr>
          <w:t>2011</w:t>
        </w:r>
      </w:hyperlink>
      <w:r>
        <w:rPr/>
        <w:t>).</w:t>
        <w:tab/>
        <w:t xml:space="preserve">El método del codo ayuda a identificar el número óptimo de grupos trazando la suma de cuadrados dentro del grupo contra </w:t>
      </w:r>
      <w:r>
        <w:rPr>
          <w:i/>
          <w:iCs/>
        </w:rPr>
        <w:t xml:space="preserve">K </w:t>
      </w:r>
      <w:r>
        <w:rPr/>
        <w:t xml:space="preserve">para detectar el punto de inflexión (Thorndike, </w:t>
      </w:r>
      <w:hyperlink w:anchor="_heading=h.m91cmqhvjw1z">
        <w:r>
          <w:rPr>
            <w:rStyle w:val="Style3"/>
            <w:color w:val="00004C"/>
          </w:rPr>
          <w:t>1953</w:t>
        </w:r>
      </w:hyperlink>
      <w:r>
        <w:rPr/>
        <w:t xml:space="preserve">). El coeficiente de Silhouette evalúa la cohesión dentro de los grupos y la separación entre los grupos, con un rango de –1 (mala agrupación) a +1 (excelente agrupación) (Rousseeuw, </w:t>
      </w:r>
      <w:hyperlink w:anchor="_heading=h.t8mjki6cyzn">
        <w:r>
          <w:rPr>
            <w:rStyle w:val="Style3"/>
            <w:color w:val="00004C"/>
          </w:rPr>
          <w:t>1987</w:t>
        </w:r>
      </w:hyperlink>
      <w:r>
        <w:rPr/>
        <w:t>).</w:t>
      </w:r>
    </w:p>
    <w:p>
      <w:pPr>
        <w:pStyle w:val="Heading1"/>
        <w:tabs>
          <w:tab w:val="clear" w:pos="720"/>
          <w:tab w:val="left" w:pos="8414" w:leader="none"/>
        </w:tabs>
        <w:spacing w:lineRule="auto" w:line="240" w:before="9" w:after="0"/>
        <w:ind w:firstLine="113" w:start="113"/>
        <w:rPr/>
      </w:pPr>
      <w:r>
        <w:rPr/>
      </w:r>
    </w:p>
    <w:p>
      <w:pPr>
        <w:pStyle w:val="Heading1"/>
        <w:tabs>
          <w:tab w:val="clear" w:pos="720"/>
          <w:tab w:val="left" w:pos="8414" w:leader="none"/>
        </w:tabs>
        <w:spacing w:lineRule="auto" w:line="240" w:before="9" w:after="0"/>
        <w:ind w:firstLine="113" w:start="113"/>
        <w:jc w:val="both"/>
        <w:rPr/>
      </w:pPr>
      <w:r>
        <w:rPr/>
        <w:t xml:space="preserve">Como paso previo a la modelación, se aplicó un Análisis de Componentes Principales (PCA) para reducir la dimensionalidad del conjunto de variables y minimizar problemas de colinealidad (Fig. </w:t>
      </w:r>
      <w:hyperlink w:anchor="_heading=h.j9k48h4r5bf7">
        <w:r>
          <w:rPr>
            <w:rStyle w:val="Style3"/>
            <w:color w:val="00004C"/>
          </w:rPr>
          <w:t>2</w:t>
        </w:r>
      </w:hyperlink>
      <w:r>
        <w:rPr/>
        <w:t>). El análisis se implementó con la librería Scikit-learn en Python. Se obt</w:t>
      </w:r>
      <w:r>
        <w:rPr>
          <w:color w:val="000000"/>
        </w:rPr>
        <w:t xml:space="preserve">uvieron ocho componentes principales (uno por variable), aunque los tres primeros componentes explican el </w:t>
      </w:r>
      <w:r>
        <w:rPr>
          <w:color w:val="000000"/>
        </w:rPr>
        <w:t>50</w:t>
      </w:r>
      <w:r>
        <w:rPr>
          <w:color w:val="000000"/>
        </w:rPr>
        <w:t xml:space="preserve">%, 21% y 12% de la varianza respectivamente, solo se muestran los dos primeros (PC1 y PC2), dado que los componentes restantes explican una proporción muy baja de la varianza y no aportan interpretaciones claras. El análisis en la figura </w:t>
      </w:r>
      <w:hyperlink w:anchor="_heading=h.j9k48h4r5bf7">
        <w:r>
          <w:rPr>
            <w:rStyle w:val="Style3"/>
            <w:color w:val="000000"/>
          </w:rPr>
          <w:t>2</w:t>
        </w:r>
      </w:hyperlink>
      <w:r>
        <w:rPr>
          <w:color w:val="000000"/>
        </w:rPr>
        <w:t xml:space="preserve"> destaca cuatro grupos de predictores colineales: (1) </w:t>
      </w:r>
      <w:r>
        <w:rPr/>
        <w:t xml:space="preserve">relieve local medio, </w:t>
      </w:r>
      <w:r>
        <w:rPr/>
        <w:t>densidad de lineamientos</w:t>
      </w:r>
      <w:r>
        <w:rPr>
          <w:color w:val="000000"/>
        </w:rPr>
        <w:t xml:space="preserve"> y pendiente promedio, (2) área bajo la curva hipsométrica y elevación media, (3) precipi</w:t>
      </w:r>
      <w:r>
        <w:rPr/>
        <w:t xml:space="preserve">tación media anual, y (4) área de la subcuenca. A partir de estos resultados, se seleccionó de cada grupo un predictor tomando en consideración el porcentaje de varianza que explica en cada componente y su relevancia teórica; así, la elevación media fue seleccionada como indicador general de las condiciones topográficas; el relieve local, como medida de la energía del paisaje; la precipitación media anual, como expresión del régimen climático dominante; y el área de la subcuenca, como una aproximación al tamaño de la unidad de mapeo y su probabilidad de contener eventos. </w:t>
      </w:r>
    </w:p>
    <w:p>
      <w:pPr>
        <w:pStyle w:val="Heading1"/>
        <w:tabs>
          <w:tab w:val="clear" w:pos="720"/>
          <w:tab w:val="left" w:pos="8414" w:leader="none"/>
        </w:tabs>
        <w:spacing w:lineRule="auto" w:line="240" w:before="9" w:after="0"/>
        <w:ind w:firstLine="113" w:start="113"/>
        <w:rPr/>
      </w:pPr>
      <w:r>
        <w:rPr/>
      </w:r>
    </w:p>
    <w:p>
      <w:pPr>
        <w:pStyle w:val="Heading1"/>
        <w:tabs>
          <w:tab w:val="clear" w:pos="720"/>
          <w:tab w:val="left" w:pos="8414" w:leader="none"/>
        </w:tabs>
        <w:spacing w:lineRule="auto" w:line="240" w:before="9" w:after="0"/>
        <w:ind w:firstLine="113" w:start="113"/>
        <w:rPr/>
      </w:pPr>
      <w:r>
        <w:rPr/>
        <w:t xml:space="preserve">Para modelar la susceptibilidad a movimientos en masa, se emplearon modelos de regresión logística utilizando el paquete lm4 en R. Se construyeron dos modelos: (1) un modelo de regresión logística simple sin estructura jerárquica, y (2) un modelo multinivel con intercepto y pendientes aleatorias por región (cuenca o cluster). Estos modelos permitieron capturar la variabilidad global y local de los factores condicionantes, evaluando el impacto de la heterogeneidad espacial en los patrones de susceptibilidad. </w:t>
      </w:r>
    </w:p>
    <w:p>
      <w:pPr>
        <w:pStyle w:val="Heading1"/>
        <w:tabs>
          <w:tab w:val="clear" w:pos="720"/>
          <w:tab w:val="left" w:pos="8414" w:leader="none"/>
        </w:tabs>
        <w:spacing w:lineRule="auto" w:line="240" w:before="9" w:after="0"/>
        <w:ind w:firstLine="113" w:start="113"/>
        <w:rPr/>
      </w:pPr>
      <w:r>
        <w:rPr/>
      </w:r>
    </w:p>
    <w:p>
      <w:pPr>
        <w:pStyle w:val="normal1"/>
        <w:keepNext w:val="false"/>
        <w:keepLines w:val="false"/>
        <w:pageBreakBefore w:val="false"/>
        <w:widowControl w:val="false"/>
        <w:pBdr/>
        <w:shd w:val="clear" w:fill="auto"/>
        <w:spacing w:lineRule="auto" w:line="240" w:before="0" w:after="0"/>
        <w:ind w:hanging="0" w:start="113" w:end="536"/>
        <w:jc w:val="both"/>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bookmarkStart w:id="5" w:name="_heading=h.j9k48h4r5bf7"/>
      <w:bookmarkEnd w:id="5"/>
      <w:sdt>
        <w:sdtPr>
          <w:tag w:val="goog_rdk_3"/>
          <w:id w:val="1278060012"/>
        </w:sdtPr>
        <w:sdtContent>
          <w:r>
            <w:rPr/>
          </w:r>
          <w:r>
            <w:rPr/>
          </w:r>
        </w:sdtContent>
      </w:sdt>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 xml:space="preserve">Fig. 2. </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Análisis de Componentes Principales (PCA) para evaluar la relación entre las subcuencas con movimientos en masa y las variables predictoras. Los puntos rojos representan subcuencas con presencia de movimientos en masa, donde el tamaño de cada punto es proporcional al número de movimientos en masa registrados en esa subcuenca. Los puntos verdes indican ausencia de movimientos en masa. Las flechas indican las contribuciones relativas de las variables predictoras en el espacio de los componentes principales.</w:t>
      </w:r>
    </w:p>
    <w:p>
      <w:pPr>
        <w:pStyle w:val="Heading1"/>
        <w:tabs>
          <w:tab w:val="clear" w:pos="720"/>
          <w:tab w:val="left" w:pos="8414" w:leader="none"/>
        </w:tabs>
        <w:spacing w:lineRule="auto" w:line="240" w:before="9" w:after="0"/>
        <w:ind w:firstLine="113" w:start="113"/>
        <w:rPr/>
      </w:pPr>
      <w:r>
        <w:rPr/>
      </w:r>
    </w:p>
    <w:p>
      <w:pPr>
        <w:pStyle w:val="Heading1"/>
        <w:tabs>
          <w:tab w:val="clear" w:pos="720"/>
          <w:tab w:val="left" w:pos="8414" w:leader="none"/>
        </w:tabs>
        <w:spacing w:lineRule="auto" w:line="240" w:before="9" w:after="0"/>
        <w:ind w:firstLine="113" w:start="113"/>
        <w:jc w:val="both"/>
        <w:rPr/>
      </w:pPr>
      <w:r>
        <w:rPr/>
        <w:t>En este estudio no se realizó una división del conjunto de datos en subconjuntos de entrenamiento y validación, ya que el objetivo principal fue evaluar el ajuste y la estructura del modelo de susceptibilidad a nivel de subcuenca, más que desarrollar un modelo predictivo generalizable. Para evaluar el desempeño de los modelos se utilizaron métricas de bondad de ajuste como el área bajo la curva ROC (AUC), así como los criterios de información de Akaike (AIC) y de Bayes (BIC).</w:t>
        <w:tab/>
      </w:r>
      <w:bookmarkStart w:id="6" w:name="bookmark=id.3wvrjzc06yh2"/>
      <w:bookmarkStart w:id="7" w:name="bookmark=id.q4pig6rng8ei"/>
    </w:p>
    <w:p>
      <w:pPr>
        <w:pStyle w:val="normal1"/>
        <w:keepNext w:val="false"/>
        <w:keepLines w:val="false"/>
        <w:pageBreakBefore w:val="false"/>
        <w:widowControl w:val="false"/>
        <w:numPr>
          <w:ilvl w:val="0"/>
          <w:numId w:val="1"/>
        </w:numPr>
        <w:pBdr/>
        <w:shd w:val="clear" w:fill="auto"/>
        <w:tabs>
          <w:tab w:val="clear" w:pos="720"/>
          <w:tab w:val="left" w:pos="397" w:leader="none"/>
          <w:tab w:val="left" w:pos="8414" w:leader="none"/>
        </w:tabs>
        <w:spacing w:lineRule="auto" w:line="240" w:before="282" w:after="0"/>
        <w:ind w:hanging="284" w:start="397" w:end="0"/>
        <w:jc w:val="start"/>
        <w:rPr>
          <w:rFonts w:ascii="Palatino Linotype" w:hAnsi="Palatino Linotype" w:eastAsia="Palatino Linotype" w:cs="Palatino Linotyp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bookmarkEnd w:id="6"/>
      <w:bookmarkEnd w:id="7"/>
      <w:r>
        <w:rPr>
          <w:rFonts w:eastAsia="Palatino Linotype" w:cs="Palatino Linotype" w:ascii="Palatino Linotype" w:hAnsi="Palatino Linotype"/>
          <w:b/>
          <w:bCs/>
          <w:i w:val="false"/>
          <w:iCs w:val="false"/>
          <w:caps w:val="false"/>
          <w:smallCaps w:val="false"/>
          <w:strike w:val="false"/>
          <w:dstrike w:val="false"/>
          <w:color w:val="00004C"/>
          <w:position w:val="0"/>
          <w:sz w:val="24"/>
          <w:sz w:val="24"/>
          <w:szCs w:val="24"/>
          <w:u w:val="none"/>
          <w:shd w:fill="auto" w:val="clear"/>
          <w:vertAlign w:val="baseline"/>
        </w:rPr>
        <w:t>Resultados</w:t>
      </w:r>
      <w:r>
        <w:rPr>
          <w:rFonts w:eastAsia="Times New Roman" w:cs="Times New Roman" w:ascii="Times New Roman" w:hAnsi="Times New Roman"/>
          <w:b w:val="false"/>
          <w:bCs w:val="false"/>
          <w:i w:val="false"/>
          <w:iCs w:val="false"/>
          <w:caps w:val="false"/>
          <w:smallCaps w:val="false"/>
          <w:strike w:val="false"/>
          <w:dstrike w:val="false"/>
          <w:color w:val="00004C"/>
          <w:position w:val="0"/>
          <w:sz w:val="24"/>
          <w:sz w:val="24"/>
          <w:szCs w:val="24"/>
          <w:u w:val="none"/>
          <w:shd w:fill="auto" w:val="clear"/>
          <w:vertAlign w:val="baseline"/>
        </w:rPr>
        <w:tab/>
      </w:r>
    </w:p>
    <w:p>
      <w:pPr>
        <w:pStyle w:val="normal1"/>
        <w:keepNext w:val="false"/>
        <w:keepLines w:val="false"/>
        <w:pageBreakBefore w:val="false"/>
        <w:widowControl w:val="false"/>
        <w:numPr>
          <w:ilvl w:val="1"/>
          <w:numId w:val="1"/>
        </w:numPr>
        <w:pBdr/>
        <w:shd w:val="clear" w:fill="auto"/>
        <w:tabs>
          <w:tab w:val="clear" w:pos="720"/>
          <w:tab w:val="left" w:pos="565" w:leader="none"/>
          <w:tab w:val="left" w:pos="8414" w:leader="none"/>
        </w:tabs>
        <w:spacing w:lineRule="auto" w:line="240" w:before="190" w:after="0"/>
        <w:ind w:hanging="452" w:start="565" w:end="0"/>
        <w:jc w:val="start"/>
        <w:rPr>
          <w:rFonts w:ascii="Palatino Linotype" w:hAnsi="Palatino Linotype" w:eastAsia="Palatino Linotype" w:cs="Palatino Linotyp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Palatino Linotype" w:cs="Palatino Linotype" w:ascii="Palatino Linotype" w:hAnsi="Palatino Linotype"/>
          <w:b/>
          <w:bCs/>
          <w:i w:val="false"/>
          <w:iCs w:val="false"/>
          <w:caps w:val="false"/>
          <w:smallCaps w:val="false"/>
          <w:strike w:val="false"/>
          <w:dstrike w:val="false"/>
          <w:color w:val="00004C"/>
          <w:position w:val="0"/>
          <w:sz w:val="20"/>
          <w:sz w:val="20"/>
          <w:szCs w:val="20"/>
          <w:u w:val="none"/>
          <w:shd w:fill="auto" w:val="clear"/>
          <w:vertAlign w:val="baseline"/>
        </w:rPr>
        <w:t>Modelo de regresión logística simple</w:t>
      </w:r>
    </w:p>
    <w:p>
      <w:pPr>
        <w:pStyle w:val="Heading1"/>
        <w:tabs>
          <w:tab w:val="clear" w:pos="720"/>
          <w:tab w:val="right" w:pos="8562" w:leader="none"/>
        </w:tabs>
        <w:spacing w:lineRule="auto" w:line="240" w:before="338" w:after="0"/>
        <w:ind w:firstLine="113" w:start="113"/>
        <w:rPr/>
      </w:pPr>
      <w:r>
        <w:rPr/>
        <w:t xml:space="preserve">La Tabla </w:t>
      </w:r>
      <w:hyperlink w:anchor="_heading=h.kfsx81v1e3iw">
        <w:r>
          <w:rPr>
            <w:rStyle w:val="Style3"/>
            <w:color w:val="00004C"/>
          </w:rPr>
          <w:t>1</w:t>
        </w:r>
      </w:hyperlink>
      <w:r>
        <w:rPr>
          <w:color w:val="00004C"/>
        </w:rPr>
        <w:t xml:space="preserve"> </w:t>
      </w:r>
      <w:r>
        <w:rPr/>
        <w:t>presenta un resumen del modelo de regresión logística simple, con las estimaciones de los coeficientes para las variables predictoras seleccionadas. El intercepto tiene un coeficiente altamente significativo (valor P &lt; 0,001). El valor Z indica cuán lejos está el coeficiente de ser cero en términos de desviaciones estándar, mientras que el valor de P dice cuán probable es obtener un valor de cero bajo la hipótesis nula. El coeficiente representa el logaritmo natural de la relación entre la ocurrencia y no ocurrencia de movimientos en masa cuando todas las variables predictoras son cero.</w:t>
      </w:r>
    </w:p>
    <w:p>
      <w:pPr>
        <w:pStyle w:val="normal1"/>
        <w:keepNext w:val="false"/>
        <w:keepLines w:val="false"/>
        <w:pageBreakBefore w:val="false"/>
        <w:widowControl w:val="false"/>
        <w:pBdr/>
        <w:shd w:val="clear" w:fill="auto"/>
        <w:spacing w:lineRule="auto" w:line="240" w:before="218" w:after="0"/>
        <w:ind w:hanging="0" w:start="0" w:end="423"/>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 xml:space="preserve">Tabla 1. </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Modelo de regresión logística simple.</w:t>
      </w:r>
    </w:p>
    <w:p>
      <w:pPr>
        <w:pStyle w:val="normal1"/>
        <w:keepNext w:val="false"/>
        <w:keepLines w:val="false"/>
        <w:pageBreakBefore w:val="false"/>
        <w:widowControl w:val="false"/>
        <w:pBdr/>
        <w:shd w:val="clear" w:fill="auto"/>
        <w:tabs>
          <w:tab w:val="clear" w:pos="720"/>
          <w:tab w:val="left" w:pos="280" w:leader="none"/>
          <w:tab w:val="left" w:pos="1289" w:leader="none"/>
          <w:tab w:val="left" w:pos="2110" w:leader="none"/>
          <w:tab w:val="left" w:pos="2985" w:leader="none"/>
          <w:tab w:val="left" w:pos="3748" w:leader="none"/>
        </w:tabs>
        <w:spacing w:lineRule="auto" w:line="240" w:before="283" w:after="32"/>
        <w:ind w:hanging="0" w:start="0" w:end="423"/>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bookmarkStart w:id="8" w:name="_heading=h.kfsx81v1e3iw"/>
      <w:bookmarkEnd w:id="8"/>
      <w:r>
        <w:rPr>
          <w:rFonts w:eastAsia="Trebuchet MS" w:cs="Trebuchet MS"/>
          <w:b w:val="false"/>
          <w:bCs w:val="false"/>
          <w:i w:val="false"/>
          <w:iCs w:val="false"/>
          <w:caps w:val="false"/>
          <w:smallCaps w:val="false"/>
          <w:strike w:val="false"/>
          <w:dstrike w:val="false"/>
          <w:color w:val="000000"/>
          <w:position w:val="0"/>
          <w:sz w:val="16"/>
          <w:sz w:val="16"/>
          <w:szCs w:val="16"/>
          <w:u w:val="single"/>
          <w:shd w:fill="auto" w:val="clear"/>
          <w:vertAlign w:val="baseline"/>
        </w:rPr>
        <w:tab/>
        <w:t>Variables</w:t>
        <w:tab/>
      </w:r>
      <w:r>
        <w:rPr>
          <w:sz w:val="16"/>
          <w:szCs w:val="16"/>
          <w:u w:val="single"/>
        </w:rPr>
        <w:t>Estimado</w:t>
      </w:r>
      <w:r>
        <w:rPr>
          <w:rFonts w:eastAsia="Trebuchet MS" w:cs="Trebuchet MS"/>
          <w:b w:val="false"/>
          <w:bCs w:val="false"/>
          <w:i w:val="false"/>
          <w:iCs w:val="false"/>
          <w:caps w:val="false"/>
          <w:smallCaps w:val="false"/>
          <w:strike w:val="false"/>
          <w:dstrike w:val="false"/>
          <w:color w:val="000000"/>
          <w:position w:val="0"/>
          <w:sz w:val="16"/>
          <w:sz w:val="16"/>
          <w:szCs w:val="16"/>
          <w:u w:val="single"/>
          <w:shd w:fill="auto" w:val="clear"/>
          <w:vertAlign w:val="baseline"/>
        </w:rPr>
        <mc:AlternateContent>
          <mc:Choice Requires="wps">
            <w:drawing>
              <wp:anchor behindDoc="0" distT="0" distB="0" distL="0" distR="0" simplePos="0" locked="0" layoutInCell="1" allowOverlap="1" relativeHeight="20">
                <wp:simplePos x="0" y="0"/>
                <wp:positionH relativeFrom="column">
                  <wp:posOffset>1346200</wp:posOffset>
                </wp:positionH>
                <wp:positionV relativeFrom="paragraph">
                  <wp:posOffset>139065</wp:posOffset>
                </wp:positionV>
                <wp:extent cx="1270" cy="12700"/>
                <wp:effectExtent l="5080" t="5080" r="5080" b="0"/>
                <wp:wrapNone/>
                <wp:docPr id="2" name="Shape 5"/>
                <a:graphic xmlns:a="http://schemas.openxmlformats.org/drawingml/2006/main">
                  <a:graphicData uri="http://schemas.microsoft.com/office/word/2010/wordprocessingShape">
                    <wps:wsp>
                      <wps:cNvSpPr/>
                      <wps:spPr>
                        <a:xfrm>
                          <a:off x="0" y="0"/>
                          <a:ext cx="1440" cy="12600"/>
                        </a:xfrm>
                        <a:custGeom>
                          <a:avLst/>
                          <a:gdLst>
                            <a:gd name="textAreaLeft" fmla="*/ 0 w 720"/>
                            <a:gd name="textAreaRight" fmla="*/ 1080 w 720"/>
                            <a:gd name="textAreaTop" fmla="*/ 0 h 7200"/>
                            <a:gd name="textAreaBottom" fmla="*/ 7560 h 7200"/>
                          </a:gdLst>
                          <a:ahLst/>
                          <a:cxnLst/>
                          <a:rect l="textAreaLeft" t="textAreaTop" r="textAreaRight" b="textAreaBottom"/>
                          <a:pathLst>
                            <a:path w="2792095" h="1270">
                              <a:moveTo>
                                <a:pt x="0" y="0"/>
                              </a:moveTo>
                              <a:lnTo>
                                <a:pt x="2791891" y="0"/>
                              </a:lnTo>
                            </a:path>
                          </a:pathLst>
                        </a:custGeom>
                        <a:noFill/>
                        <a:ln w="1010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Trebuchet MS" w:cs="Trebuchet MS"/>
          <w:b w:val="false"/>
          <w:bCs w:val="false"/>
          <w:i w:val="false"/>
          <w:iCs w:val="false"/>
          <w:caps w:val="false"/>
          <w:smallCaps w:val="false"/>
          <w:strike w:val="false"/>
          <w:dstrike w:val="false"/>
          <w:color w:val="000000"/>
          <w:position w:val="0"/>
          <w:sz w:val="16"/>
          <w:sz w:val="16"/>
          <w:szCs w:val="16"/>
          <w:u w:val="single"/>
          <w:shd w:fill="auto" w:val="clear"/>
          <w:vertAlign w:val="baseline"/>
        </w:rPr>
        <w:tab/>
        <w:t>Error Std</w:t>
        <w:tab/>
        <w:t>Valor Z</w:t>
        <w:tab/>
        <w:t xml:space="preserve">Valor P </w:t>
      </w:r>
    </w:p>
    <w:tbl>
      <w:tblPr>
        <w:tblStyle w:val="Table1"/>
        <w:tblW w:w="4401" w:type="dxa"/>
        <w:jc w:val="start"/>
        <w:tblInd w:w="1948" w:type="dxa"/>
        <w:tblLayout w:type="fixed"/>
        <w:tblCellMar>
          <w:top w:w="0" w:type="dxa"/>
          <w:start w:w="108" w:type="dxa"/>
          <w:bottom w:w="0" w:type="dxa"/>
          <w:end w:w="108" w:type="dxa"/>
        </w:tblCellMar>
        <w:tblLook w:val="0000"/>
      </w:tblPr>
      <w:tblGrid>
        <w:gridCol w:w="1168"/>
        <w:gridCol w:w="889"/>
        <w:gridCol w:w="763"/>
        <w:gridCol w:w="791"/>
        <w:gridCol w:w="790"/>
      </w:tblGrid>
      <w:tr>
        <w:trPr>
          <w:trHeight w:val="260" w:hRule="atLeast"/>
        </w:trPr>
        <w:tc>
          <w:tcPr>
            <w:tcW w:w="1168" w:type="dxa"/>
            <w:tcBorders/>
            <w:shd w:fill="F7F7F7" w:val="clear"/>
          </w:tcPr>
          <w:p>
            <w:pPr>
              <w:pStyle w:val="normal1"/>
              <w:keepNext w:val="false"/>
              <w:keepLines w:val="false"/>
              <w:widowControl w:val="false"/>
              <w:pBdr/>
              <w:shd w:val="clear" w:fill="auto"/>
              <w:spacing w:lineRule="auto" w:line="240" w:before="46" w:after="0"/>
              <w:ind w:hanging="0" w:start="7" w:end="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Intercepto</w:t>
            </w:r>
          </w:p>
        </w:tc>
        <w:tc>
          <w:tcPr>
            <w:tcW w:w="889" w:type="dxa"/>
            <w:tcBorders/>
            <w:shd w:fill="F7F7F7" w:val="clear"/>
          </w:tcPr>
          <w:p>
            <w:pPr>
              <w:pStyle w:val="normal1"/>
              <w:keepNext w:val="false"/>
              <w:keepLines w:val="false"/>
              <w:widowControl w:val="false"/>
              <w:pBdr/>
              <w:shd w:val="clear" w:fill="auto"/>
              <w:spacing w:lineRule="auto" w:line="240" w:before="46" w:after="0"/>
              <w:ind w:hanging="0" w:start="0" w:end="63"/>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762</w:t>
            </w:r>
          </w:p>
        </w:tc>
        <w:tc>
          <w:tcPr>
            <w:tcW w:w="763" w:type="dxa"/>
            <w:tcBorders/>
            <w:shd w:fill="F7F7F7" w:val="clear"/>
          </w:tcPr>
          <w:p>
            <w:pPr>
              <w:pStyle w:val="normal1"/>
              <w:keepNext w:val="false"/>
              <w:keepLines w:val="false"/>
              <w:widowControl w:val="false"/>
              <w:pBdr/>
              <w:shd w:val="clear" w:fill="auto"/>
              <w:spacing w:lineRule="auto" w:line="240" w:before="46" w:after="0"/>
              <w:ind w:hanging="0" w:start="0" w:end="1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173</w:t>
            </w:r>
          </w:p>
        </w:tc>
        <w:tc>
          <w:tcPr>
            <w:tcW w:w="791" w:type="dxa"/>
            <w:tcBorders/>
            <w:shd w:fill="F7F7F7" w:val="clear"/>
          </w:tcPr>
          <w:p>
            <w:pPr>
              <w:pStyle w:val="normal1"/>
              <w:keepNext w:val="false"/>
              <w:keepLines w:val="false"/>
              <w:widowControl w:val="false"/>
              <w:pBdr/>
              <w:shd w:val="clear" w:fill="auto"/>
              <w:spacing w:lineRule="auto" w:line="240" w:before="46" w:after="0"/>
              <w:ind w:hanging="0" w:start="62"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164</w:t>
            </w:r>
          </w:p>
        </w:tc>
        <w:tc>
          <w:tcPr>
            <w:tcW w:w="790" w:type="dxa"/>
            <w:tcBorders/>
            <w:shd w:fill="F7F7F7" w:val="clear"/>
          </w:tcPr>
          <w:p>
            <w:pPr>
              <w:pStyle w:val="normal1"/>
              <w:keepNext w:val="false"/>
              <w:keepLines w:val="false"/>
              <w:widowControl w:val="false"/>
              <w:pBdr/>
              <w:shd w:val="clear" w:fill="auto"/>
              <w:spacing w:lineRule="auto" w:line="240" w:before="46" w:after="0"/>
              <w:ind w:hanging="0" w:start="13"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&lt; 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001</w:t>
            </w:r>
          </w:p>
        </w:tc>
      </w:tr>
      <w:tr>
        <w:trPr>
          <w:trHeight w:val="253" w:hRule="atLeast"/>
        </w:trPr>
        <w:tc>
          <w:tcPr>
            <w:tcW w:w="1168" w:type="dxa"/>
            <w:tcBorders/>
          </w:tcPr>
          <w:p>
            <w:pPr>
              <w:pStyle w:val="normal1"/>
              <w:keepNext w:val="false"/>
              <w:keepLines w:val="false"/>
              <w:widowControl w:val="false"/>
              <w:pBdr/>
              <w:shd w:val="clear" w:fill="auto"/>
              <w:spacing w:lineRule="auto" w:line="240" w:before="46" w:after="0"/>
              <w:ind w:hanging="0" w:start="7" w:end="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Elevación</w:t>
            </w:r>
          </w:p>
        </w:tc>
        <w:tc>
          <w:tcPr>
            <w:tcW w:w="889" w:type="dxa"/>
            <w:tcBorders/>
          </w:tcPr>
          <w:p>
            <w:pPr>
              <w:pStyle w:val="normal1"/>
              <w:keepNext w:val="false"/>
              <w:keepLines w:val="false"/>
              <w:widowControl w:val="false"/>
              <w:pBdr/>
              <w:shd w:val="clear" w:fill="auto"/>
              <w:spacing w:lineRule="auto" w:line="240" w:before="46" w:after="0"/>
              <w:ind w:hanging="0" w:start="0" w:end="63"/>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794</w:t>
            </w:r>
          </w:p>
        </w:tc>
        <w:tc>
          <w:tcPr>
            <w:tcW w:w="763" w:type="dxa"/>
            <w:tcBorders/>
          </w:tcPr>
          <w:p>
            <w:pPr>
              <w:pStyle w:val="normal1"/>
              <w:keepNext w:val="false"/>
              <w:keepLines w:val="false"/>
              <w:widowControl w:val="false"/>
              <w:pBdr/>
              <w:shd w:val="clear" w:fill="auto"/>
              <w:spacing w:lineRule="auto" w:line="240" w:before="46" w:after="0"/>
              <w:ind w:hanging="0" w:start="0" w:end="1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213</w:t>
            </w:r>
          </w:p>
        </w:tc>
        <w:tc>
          <w:tcPr>
            <w:tcW w:w="791" w:type="dxa"/>
            <w:tcBorders/>
          </w:tcPr>
          <w:p>
            <w:pPr>
              <w:pStyle w:val="normal1"/>
              <w:keepNext w:val="false"/>
              <w:keepLines w:val="false"/>
              <w:widowControl w:val="false"/>
              <w:pBdr/>
              <w:shd w:val="clear" w:fill="auto"/>
              <w:spacing w:lineRule="auto" w:line="240" w:before="46" w:after="0"/>
              <w:ind w:hanging="0" w:start="62"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3</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727</w:t>
            </w:r>
          </w:p>
        </w:tc>
        <w:tc>
          <w:tcPr>
            <w:tcW w:w="790" w:type="dxa"/>
            <w:tcBorders/>
          </w:tcPr>
          <w:p>
            <w:pPr>
              <w:pStyle w:val="normal1"/>
              <w:keepNext w:val="false"/>
              <w:keepLines w:val="false"/>
              <w:widowControl w:val="false"/>
              <w:pBdr/>
              <w:shd w:val="clear" w:fill="auto"/>
              <w:spacing w:lineRule="auto" w:line="240" w:before="46" w:after="0"/>
              <w:ind w:hanging="0" w:start="13"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&lt; 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001</w:t>
            </w:r>
          </w:p>
        </w:tc>
      </w:tr>
      <w:tr>
        <w:trPr>
          <w:trHeight w:val="253" w:hRule="atLeast"/>
        </w:trPr>
        <w:tc>
          <w:tcPr>
            <w:tcW w:w="1168" w:type="dxa"/>
            <w:tcBorders/>
            <w:shd w:fill="F7F7F7" w:val="clear"/>
          </w:tcPr>
          <w:p>
            <w:pPr>
              <w:pStyle w:val="normal1"/>
              <w:keepNext w:val="false"/>
              <w:keepLines w:val="false"/>
              <w:widowControl w:val="false"/>
              <w:pBdr/>
              <w:shd w:val="clear" w:fill="auto"/>
              <w:spacing w:lineRule="auto" w:line="240" w:before="46" w:after="0"/>
              <w:ind w:hanging="0" w:start="7" w:end="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Relieve</w:t>
            </w:r>
          </w:p>
        </w:tc>
        <w:tc>
          <w:tcPr>
            <w:tcW w:w="889" w:type="dxa"/>
            <w:tcBorders/>
            <w:shd w:fill="F7F7F7" w:val="clear"/>
          </w:tcPr>
          <w:p>
            <w:pPr>
              <w:pStyle w:val="normal1"/>
              <w:keepNext w:val="false"/>
              <w:keepLines w:val="false"/>
              <w:widowControl w:val="false"/>
              <w:pBdr/>
              <w:shd w:val="clear" w:fill="auto"/>
              <w:spacing w:lineRule="auto" w:line="240" w:before="46" w:after="0"/>
              <w:ind w:hanging="0" w:start="0" w:end="63"/>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242</w:t>
            </w:r>
          </w:p>
        </w:tc>
        <w:tc>
          <w:tcPr>
            <w:tcW w:w="763" w:type="dxa"/>
            <w:tcBorders/>
            <w:shd w:fill="F7F7F7" w:val="clear"/>
          </w:tcPr>
          <w:p>
            <w:pPr>
              <w:pStyle w:val="normal1"/>
              <w:keepNext w:val="false"/>
              <w:keepLines w:val="false"/>
              <w:widowControl w:val="false"/>
              <w:pBdr/>
              <w:shd w:val="clear" w:fill="auto"/>
              <w:spacing w:lineRule="auto" w:line="240" w:before="46" w:after="0"/>
              <w:ind w:hanging="0" w:start="0" w:end="1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214</w:t>
            </w:r>
          </w:p>
        </w:tc>
        <w:tc>
          <w:tcPr>
            <w:tcW w:w="791" w:type="dxa"/>
            <w:tcBorders/>
            <w:shd w:fill="F7F7F7" w:val="clear"/>
          </w:tcPr>
          <w:p>
            <w:pPr>
              <w:pStyle w:val="normal1"/>
              <w:keepNext w:val="false"/>
              <w:keepLines w:val="false"/>
              <w:widowControl w:val="false"/>
              <w:pBdr/>
              <w:shd w:val="clear" w:fill="auto"/>
              <w:spacing w:lineRule="auto" w:line="240" w:before="46" w:after="0"/>
              <w:ind w:hanging="0" w:start="62"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5</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802</w:t>
            </w:r>
          </w:p>
        </w:tc>
        <w:tc>
          <w:tcPr>
            <w:tcW w:w="790" w:type="dxa"/>
            <w:tcBorders/>
            <w:shd w:fill="F7F7F7" w:val="clear"/>
          </w:tcPr>
          <w:p>
            <w:pPr>
              <w:pStyle w:val="normal1"/>
              <w:keepNext w:val="false"/>
              <w:keepLines w:val="false"/>
              <w:widowControl w:val="false"/>
              <w:pBdr/>
              <w:shd w:val="clear" w:fill="auto"/>
              <w:spacing w:lineRule="auto" w:line="240" w:before="46" w:after="0"/>
              <w:ind w:hanging="0" w:start="13"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&lt; 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001</w:t>
            </w:r>
          </w:p>
        </w:tc>
      </w:tr>
      <w:tr>
        <w:trPr>
          <w:trHeight w:val="253" w:hRule="atLeast"/>
        </w:trPr>
        <w:tc>
          <w:tcPr>
            <w:tcW w:w="1168" w:type="dxa"/>
            <w:tcBorders/>
          </w:tcPr>
          <w:p>
            <w:pPr>
              <w:pStyle w:val="normal1"/>
              <w:keepNext w:val="false"/>
              <w:keepLines w:val="false"/>
              <w:widowControl w:val="false"/>
              <w:pBdr/>
              <w:shd w:val="clear" w:fill="auto"/>
              <w:spacing w:lineRule="auto" w:line="240" w:before="46" w:after="0"/>
              <w:ind w:hanging="0" w:start="7" w:end="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Área subcuenca</w:t>
            </w:r>
          </w:p>
        </w:tc>
        <w:tc>
          <w:tcPr>
            <w:tcW w:w="889" w:type="dxa"/>
            <w:tcBorders/>
          </w:tcPr>
          <w:p>
            <w:pPr>
              <w:pStyle w:val="normal1"/>
              <w:keepNext w:val="false"/>
              <w:keepLines w:val="false"/>
              <w:widowControl w:val="false"/>
              <w:pBdr/>
              <w:shd w:val="clear" w:fill="auto"/>
              <w:spacing w:lineRule="auto" w:line="240" w:before="46" w:after="0"/>
              <w:ind w:hanging="0" w:start="0" w:end="63"/>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680</w:t>
            </w:r>
          </w:p>
        </w:tc>
        <w:tc>
          <w:tcPr>
            <w:tcW w:w="763" w:type="dxa"/>
            <w:tcBorders/>
          </w:tcPr>
          <w:p>
            <w:pPr>
              <w:pStyle w:val="normal1"/>
              <w:keepNext w:val="false"/>
              <w:keepLines w:val="false"/>
              <w:widowControl w:val="false"/>
              <w:pBdr/>
              <w:shd w:val="clear" w:fill="auto"/>
              <w:spacing w:lineRule="auto" w:line="240" w:before="46" w:after="0"/>
              <w:ind w:hanging="0" w:start="0" w:end="1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162</w:t>
            </w:r>
          </w:p>
        </w:tc>
        <w:tc>
          <w:tcPr>
            <w:tcW w:w="791" w:type="dxa"/>
            <w:tcBorders/>
          </w:tcPr>
          <w:p>
            <w:pPr>
              <w:pStyle w:val="normal1"/>
              <w:keepNext w:val="false"/>
              <w:keepLines w:val="false"/>
              <w:widowControl w:val="false"/>
              <w:pBdr/>
              <w:shd w:val="clear" w:fill="auto"/>
              <w:spacing w:lineRule="auto" w:line="240" w:before="46" w:after="0"/>
              <w:ind w:hanging="0" w:start="62"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4</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197</w:t>
            </w:r>
          </w:p>
        </w:tc>
        <w:tc>
          <w:tcPr>
            <w:tcW w:w="790" w:type="dxa"/>
            <w:tcBorders/>
          </w:tcPr>
          <w:p>
            <w:pPr>
              <w:pStyle w:val="normal1"/>
              <w:keepNext w:val="false"/>
              <w:keepLines w:val="false"/>
              <w:widowControl w:val="false"/>
              <w:pBdr/>
              <w:shd w:val="clear" w:fill="auto"/>
              <w:spacing w:lineRule="auto" w:line="240" w:before="46" w:after="0"/>
              <w:ind w:hanging="0" w:start="13"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&lt; 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001</w:t>
            </w:r>
          </w:p>
        </w:tc>
      </w:tr>
      <w:tr>
        <w:trPr>
          <w:trHeight w:val="248" w:hRule="atLeast"/>
        </w:trPr>
        <w:tc>
          <w:tcPr>
            <w:tcW w:w="1168" w:type="dxa"/>
            <w:tcBorders>
              <w:bottom w:val="single" w:sz="4" w:space="0" w:color="000000"/>
            </w:tcBorders>
            <w:shd w:fill="F7F7F7" w:val="clear"/>
          </w:tcPr>
          <w:p>
            <w:pPr>
              <w:pStyle w:val="normal1"/>
              <w:keepNext w:val="false"/>
              <w:keepLines w:val="false"/>
              <w:widowControl w:val="false"/>
              <w:pBdr/>
              <w:shd w:val="clear" w:fill="auto"/>
              <w:spacing w:lineRule="auto" w:line="240" w:before="46" w:after="0"/>
              <w:ind w:hanging="0" w:start="7" w:end="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Precipitación anual</w:t>
            </w:r>
          </w:p>
        </w:tc>
        <w:tc>
          <w:tcPr>
            <w:tcW w:w="889" w:type="dxa"/>
            <w:tcBorders>
              <w:bottom w:val="single" w:sz="4" w:space="0" w:color="000000"/>
            </w:tcBorders>
            <w:shd w:fill="F7F7F7" w:val="clear"/>
          </w:tcPr>
          <w:p>
            <w:pPr>
              <w:pStyle w:val="normal1"/>
              <w:keepNext w:val="false"/>
              <w:keepLines w:val="false"/>
              <w:widowControl w:val="false"/>
              <w:pBdr/>
              <w:shd w:val="clear" w:fill="auto"/>
              <w:spacing w:lineRule="auto" w:line="240" w:before="46" w:after="0"/>
              <w:ind w:hanging="0" w:start="0" w:end="63"/>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508</w:t>
            </w:r>
          </w:p>
        </w:tc>
        <w:tc>
          <w:tcPr>
            <w:tcW w:w="763" w:type="dxa"/>
            <w:tcBorders>
              <w:bottom w:val="single" w:sz="4" w:space="0" w:color="000000"/>
            </w:tcBorders>
            <w:shd w:fill="F7F7F7" w:val="clear"/>
          </w:tcPr>
          <w:p>
            <w:pPr>
              <w:pStyle w:val="normal1"/>
              <w:keepNext w:val="false"/>
              <w:keepLines w:val="false"/>
              <w:widowControl w:val="false"/>
              <w:pBdr/>
              <w:shd w:val="clear" w:fill="auto"/>
              <w:spacing w:lineRule="auto" w:line="240" w:before="46" w:after="0"/>
              <w:ind w:hanging="0" w:start="0" w:end="1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173</w:t>
            </w:r>
          </w:p>
        </w:tc>
        <w:tc>
          <w:tcPr>
            <w:tcW w:w="791" w:type="dxa"/>
            <w:tcBorders>
              <w:bottom w:val="single" w:sz="4" w:space="0" w:color="000000"/>
            </w:tcBorders>
            <w:shd w:fill="F7F7F7" w:val="clear"/>
          </w:tcPr>
          <w:p>
            <w:pPr>
              <w:pStyle w:val="normal1"/>
              <w:keepNext w:val="false"/>
              <w:keepLines w:val="false"/>
              <w:widowControl w:val="false"/>
              <w:pBdr/>
              <w:shd w:val="clear" w:fill="auto"/>
              <w:spacing w:lineRule="auto" w:line="240" w:before="46" w:after="0"/>
              <w:ind w:hanging="0" w:start="62"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-2</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935</w:t>
            </w:r>
          </w:p>
        </w:tc>
        <w:tc>
          <w:tcPr>
            <w:tcW w:w="790" w:type="dxa"/>
            <w:tcBorders>
              <w:bottom w:val="single" w:sz="4" w:space="0" w:color="000000"/>
            </w:tcBorders>
            <w:shd w:fill="F7F7F7" w:val="clear"/>
          </w:tcPr>
          <w:p>
            <w:pPr>
              <w:pStyle w:val="normal1"/>
              <w:keepNext w:val="false"/>
              <w:keepLines w:val="false"/>
              <w:widowControl w:val="false"/>
              <w:pBdr/>
              <w:shd w:val="clear" w:fill="auto"/>
              <w:spacing w:lineRule="auto" w:line="240" w:before="46" w:after="0"/>
              <w:ind w:hanging="0" w:start="13"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00333</w:t>
            </w:r>
          </w:p>
        </w:tc>
      </w:tr>
      <w:tr>
        <w:trPr>
          <w:trHeight w:val="258" w:hRule="atLeast"/>
        </w:trPr>
        <w:tc>
          <w:tcPr>
            <w:tcW w:w="1168"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 xml:space="preserve">Cox &amp; Snell </w:t>
            </w:r>
            <w:r>
              <w:rPr>
                <w:rFonts w:eastAsia="Times New Roman" w:cs="Times New Roman" w:ascii="Times New Roman" w:hAnsi="Times New Roman"/>
                <w:b w:val="false"/>
                <w:bCs w:val="false"/>
                <w:i/>
                <w:iCs/>
                <w:caps w:val="false"/>
                <w:smallCaps w:val="false"/>
                <w:strike w:val="false"/>
                <w:dstrike w:val="false"/>
                <w:color w:val="000000"/>
                <w:position w:val="0"/>
                <w:sz w:val="16"/>
                <w:sz w:val="16"/>
                <w:szCs w:val="16"/>
                <w:u w:val="none"/>
                <w:shd w:fill="auto" w:val="clear"/>
                <w:vertAlign w:val="baseline"/>
              </w:rPr>
              <w:t>R</w:t>
            </w:r>
            <w:r>
              <w:rPr>
                <w:rFonts w:eastAsia="Times New Roman" w:cs="Times New Roman" w:ascii="Times New Roman" w:hAnsi="Times New Roman"/>
                <w:b w:val="false"/>
                <w:bCs w:val="false"/>
                <w:i w:val="false"/>
                <w:iCs w:val="false"/>
                <w:caps w:val="false"/>
                <w:smallCaps w:val="false"/>
                <w:strike w:val="false"/>
                <w:dstrike w:val="false"/>
                <w:color w:val="000000"/>
                <w:sz w:val="16"/>
                <w:szCs w:val="16"/>
                <w:u w:val="none"/>
                <w:shd w:fill="auto" w:val="clear"/>
                <w:vertAlign w:val="superscript"/>
              </w:rPr>
              <w:t>2</w:t>
            </w:r>
          </w:p>
        </w:tc>
        <w:tc>
          <w:tcPr>
            <w:tcW w:w="889"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63"/>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354</w:t>
            </w:r>
          </w:p>
        </w:tc>
        <w:tc>
          <w:tcPr>
            <w:tcW w:w="763"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1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NA</w:t>
            </w:r>
          </w:p>
        </w:tc>
        <w:tc>
          <w:tcPr>
            <w:tcW w:w="791" w:type="dxa"/>
            <w:tcBorders>
              <w:top w:val="single" w:sz="4" w:space="0" w:color="000000"/>
            </w:tcBorders>
          </w:tcPr>
          <w:p>
            <w:pPr>
              <w:pStyle w:val="normal1"/>
              <w:keepNext w:val="false"/>
              <w:keepLines w:val="false"/>
              <w:widowControl w:val="false"/>
              <w:pBdr/>
              <w:shd w:val="clear" w:fill="auto"/>
              <w:spacing w:lineRule="auto" w:line="240" w:before="46" w:after="0"/>
              <w:ind w:hanging="0" w:start="62"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NA</w:t>
            </w:r>
          </w:p>
        </w:tc>
        <w:tc>
          <w:tcPr>
            <w:tcW w:w="790" w:type="dxa"/>
            <w:tcBorders>
              <w:top w:val="single" w:sz="4" w:space="0" w:color="000000"/>
            </w:tcBorders>
          </w:tcPr>
          <w:p>
            <w:pPr>
              <w:pStyle w:val="normal1"/>
              <w:keepNext w:val="false"/>
              <w:keepLines w:val="false"/>
              <w:widowControl w:val="false"/>
              <w:pBdr/>
              <w:shd w:val="clear" w:fill="auto"/>
              <w:spacing w:lineRule="auto" w:line="240" w:before="46" w:after="0"/>
              <w:ind w:hanging="0" w:start="13"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NA</w:t>
            </w:r>
          </w:p>
        </w:tc>
      </w:tr>
      <w:tr>
        <w:trPr>
          <w:trHeight w:val="244" w:hRule="atLeast"/>
        </w:trPr>
        <w:tc>
          <w:tcPr>
            <w:tcW w:w="1168" w:type="dxa"/>
            <w:tcBorders>
              <w:bottom w:val="single" w:sz="8" w:space="0" w:color="000000"/>
            </w:tcBorders>
            <w:shd w:fill="F7F7F7" w:val="clear"/>
          </w:tcPr>
          <w:p>
            <w:pPr>
              <w:pStyle w:val="normal1"/>
              <w:keepNext w:val="false"/>
              <w:keepLines w:val="false"/>
              <w:widowControl w:val="false"/>
              <w:pBdr/>
              <w:shd w:val="clear" w:fill="auto"/>
              <w:spacing w:lineRule="auto" w:line="185" w:before="46" w:after="0"/>
              <w:ind w:hanging="0" w:start="7" w:end="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AIC</w:t>
            </w:r>
          </w:p>
        </w:tc>
        <w:tc>
          <w:tcPr>
            <w:tcW w:w="889" w:type="dxa"/>
            <w:tcBorders>
              <w:bottom w:val="single" w:sz="8" w:space="0" w:color="000000"/>
            </w:tcBorders>
            <w:shd w:fill="F7F7F7" w:val="clear"/>
          </w:tcPr>
          <w:p>
            <w:pPr>
              <w:pStyle w:val="normal1"/>
              <w:keepNext w:val="false"/>
              <w:keepLines w:val="false"/>
              <w:widowControl w:val="false"/>
              <w:pBdr/>
              <w:shd w:val="clear" w:fill="auto"/>
              <w:spacing w:lineRule="auto" w:line="185" w:before="46" w:after="0"/>
              <w:ind w:hanging="0" w:start="0" w:end="63"/>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397</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828</w:t>
            </w:r>
          </w:p>
        </w:tc>
        <w:tc>
          <w:tcPr>
            <w:tcW w:w="763" w:type="dxa"/>
            <w:tcBorders>
              <w:bottom w:val="single" w:sz="8" w:space="0" w:color="000000"/>
            </w:tcBorders>
            <w:shd w:fill="F7F7F7" w:val="clear"/>
          </w:tcPr>
          <w:p>
            <w:pPr>
              <w:pStyle w:val="normal1"/>
              <w:keepNext w:val="false"/>
              <w:keepLines w:val="false"/>
              <w:widowControl w:val="false"/>
              <w:pBdr/>
              <w:shd w:val="clear" w:fill="auto"/>
              <w:spacing w:lineRule="auto" w:line="185" w:before="46" w:after="0"/>
              <w:ind w:hanging="0" w:start="0" w:end="17"/>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NA</w:t>
            </w:r>
          </w:p>
        </w:tc>
        <w:tc>
          <w:tcPr>
            <w:tcW w:w="791" w:type="dxa"/>
            <w:tcBorders>
              <w:bottom w:val="single" w:sz="8" w:space="0" w:color="000000"/>
            </w:tcBorders>
            <w:shd w:fill="F7F7F7" w:val="clear"/>
          </w:tcPr>
          <w:p>
            <w:pPr>
              <w:pStyle w:val="normal1"/>
              <w:keepNext w:val="false"/>
              <w:keepLines w:val="false"/>
              <w:widowControl w:val="false"/>
              <w:pBdr/>
              <w:shd w:val="clear" w:fill="auto"/>
              <w:spacing w:lineRule="auto" w:line="185" w:before="46" w:after="0"/>
              <w:ind w:hanging="0" w:start="62"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NA</w:t>
            </w:r>
          </w:p>
        </w:tc>
        <w:tc>
          <w:tcPr>
            <w:tcW w:w="790" w:type="dxa"/>
            <w:tcBorders>
              <w:bottom w:val="single" w:sz="8" w:space="0" w:color="000000"/>
            </w:tcBorders>
            <w:shd w:fill="F7F7F7" w:val="clear"/>
          </w:tcPr>
          <w:p>
            <w:pPr>
              <w:pStyle w:val="normal1"/>
              <w:keepNext w:val="false"/>
              <w:keepLines w:val="false"/>
              <w:widowControl w:val="false"/>
              <w:pBdr/>
              <w:shd w:val="clear" w:fill="auto"/>
              <w:spacing w:lineRule="auto" w:line="185" w:before="46" w:after="0"/>
              <w:ind w:hanging="0" w:start="13"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NA</w:t>
            </w:r>
          </w:p>
        </w:tc>
      </w:tr>
    </w:tbl>
    <w:p>
      <w:pPr>
        <w:pStyle w:val="normal1"/>
        <w:keepNext w:val="false"/>
        <w:keepLines w:val="false"/>
        <w:pageBreakBefore w:val="false"/>
        <w:widowControl w:val="false"/>
        <w:pBdr/>
        <w:shd w:val="clear" w:fill="auto"/>
        <w:spacing w:lineRule="auto" w:line="240" w:before="15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Heading1"/>
        <w:tabs>
          <w:tab w:val="clear" w:pos="720"/>
          <w:tab w:val="right" w:pos="8562" w:leader="none"/>
        </w:tabs>
        <w:spacing w:lineRule="auto" w:line="240" w:before="338" w:after="0"/>
        <w:ind w:firstLine="113" w:start="113"/>
        <w:jc w:val="both"/>
        <w:rPr/>
      </w:pPr>
      <w:r>
        <w:rPr>
          <w:color w:val="000000"/>
        </w:rPr>
        <w:t>Las variables predictoras, como la elevación, el relieve, el área y la precipitación media anual, presentan coeficientes estadísticamente significativos (valor P &lt; 0</w:t>
      </w:r>
      <w:r>
        <w:rPr/>
        <w:t>,</w:t>
      </w:r>
      <w:r>
        <w:rPr>
          <w:color w:val="000000"/>
        </w:rPr>
        <w:t>05). La variable de elevación tiene un coeficiente positivo, indicando una asociación directa entre mayores altitudes y la ocurrencia de movimientos en masa. El relieve local también muestra una influencia positiva, sugiriendo que las cuencas de mayor pendiente son más inestables. Respecto al área de la subcuenca, se observa que aquellas de mayor tamaño tienden a contener más eventos registrados. Por su parte, la precipitación media anual presenta un coeficiente negativo. Si bien esto último puede parecer contradictorio, es importante destacar que esta variable no se interpreta como un desencadenante inmediato, sino como un indicador de las condiciones climáticas dominantes de largo plazo. En este contexto, una mayor precipitación media puede estar asociada a una mayor cobertura vegetal o a suelos más estabilizados por la humedad constante, reduciendo así la susceptibilidad general a movimientos en masa.</w:t>
      </w:r>
    </w:p>
    <w:p>
      <w:pPr>
        <w:pStyle w:val="normal1"/>
        <w:keepNext w:val="false"/>
        <w:keepLines w:val="false"/>
        <w:pageBreakBefore w:val="false"/>
        <w:widowControl w:val="false"/>
        <w:pBdr/>
        <w:shd w:val="clear" w:fill="auto"/>
        <w:spacing w:lineRule="auto" w:line="240" w:before="15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bookmarkStart w:id="9" w:name="bookmark=id.hr02i3rox4q9"/>
      <w:bookmarkStart w:id="10" w:name="bookmark=id.hr02i3rox4q9"/>
      <w:bookmarkEnd w:id="10"/>
    </w:p>
    <w:p>
      <w:pPr>
        <w:pStyle w:val="normal1"/>
        <w:keepNext w:val="false"/>
        <w:keepLines w:val="false"/>
        <w:pageBreakBefore w:val="false"/>
        <w:widowControl w:val="false"/>
        <w:numPr>
          <w:ilvl w:val="1"/>
          <w:numId w:val="1"/>
        </w:numPr>
        <w:pBdr/>
        <w:shd w:val="clear" w:fill="auto"/>
        <w:tabs>
          <w:tab w:val="clear" w:pos="720"/>
          <w:tab w:val="left" w:pos="565" w:leader="none"/>
          <w:tab w:val="left" w:pos="8414" w:leader="none"/>
        </w:tabs>
        <w:spacing w:lineRule="auto" w:line="240" w:before="0" w:after="0"/>
        <w:ind w:hanging="452" w:start="565" w:end="0"/>
        <w:jc w:val="start"/>
        <w:rPr>
          <w:rFonts w:ascii="Palatino Linotype" w:hAnsi="Palatino Linotype" w:eastAsia="Palatino Linotype" w:cs="Palatino Linotyp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bookmarkStart w:id="11" w:name="bookmark=id.hr02i3rox4q9"/>
      <w:bookmarkEnd w:id="11"/>
      <w:r>
        <w:rPr>
          <w:rFonts w:eastAsia="Palatino Linotype" w:cs="Palatino Linotype" w:ascii="Palatino Linotype" w:hAnsi="Palatino Linotype"/>
          <w:b/>
          <w:bCs/>
          <w:i w:val="false"/>
          <w:iCs w:val="false"/>
          <w:caps w:val="false"/>
          <w:smallCaps w:val="false"/>
          <w:strike w:val="false"/>
          <w:dstrike w:val="false"/>
          <w:color w:val="00004C"/>
          <w:position w:val="0"/>
          <w:sz w:val="20"/>
          <w:sz w:val="20"/>
          <w:szCs w:val="20"/>
          <w:u w:val="none"/>
          <w:shd w:fill="auto" w:val="clear"/>
          <w:vertAlign w:val="baseline"/>
        </w:rPr>
        <w:t>Modelos de regresión logística multiniveles</w:t>
      </w:r>
      <w:r>
        <w:rPr>
          <w:rFonts w:eastAsia="Times New Roman" w:cs="Times New Roman" w:ascii="Times New Roman" w:hAnsi="Times New Roman"/>
          <w:b w:val="false"/>
          <w:bCs w:val="false"/>
          <w:i w:val="false"/>
          <w:iCs w:val="false"/>
          <w:caps w:val="false"/>
          <w:smallCaps w:val="false"/>
          <w:strike w:val="false"/>
          <w:dstrike w:val="false"/>
          <w:color w:val="00004C"/>
          <w:position w:val="0"/>
          <w:sz w:val="20"/>
          <w:sz w:val="20"/>
          <w:szCs w:val="20"/>
          <w:u w:val="none"/>
          <w:shd w:fill="auto" w:val="clear"/>
          <w:vertAlign w:val="baseline"/>
        </w:rPr>
        <w:tab/>
      </w:r>
    </w:p>
    <w:p>
      <w:pPr>
        <w:pStyle w:val="Heading1"/>
        <w:tabs>
          <w:tab w:val="clear" w:pos="720"/>
          <w:tab w:val="right" w:pos="8562" w:leader="none"/>
        </w:tabs>
        <w:spacing w:lineRule="auto" w:line="240" w:before="9" w:after="0"/>
        <w:ind w:hanging="0" w:start="0"/>
        <w:jc w:val="both"/>
        <w:rPr>
          <w:color w:val="000000"/>
        </w:rPr>
      </w:pPr>
      <w:r>
        <w:rPr/>
        <w:t>Para implementar los modelos multinivel es necesario establecer regiones homogéneas. La segmentación g</w:t>
      </w:r>
      <w:r>
        <w:rPr>
          <w:color w:val="000000"/>
        </w:rPr>
        <w:t>eográfica y natural en cuencas no necesariamente explica la ocurrencia de movimientos en masa. Aunque el área de estudio se divide naturalmente en las cuencas de los ríos Atrato, Cauca y Magdalena, se exploraron dos enfoques complementarios para definir regiones espaciales multinivel (Fig. 3). El primero corresponde a la jerarquía hidrográfica tradicional de cuencas y subcuencas (modelo ‘cuencas’), y el segundo a una agrupación espacial derivada de parámetros morfométricos (modelo ‘cluster’). Este último fue obtenido mediante un análisis de clusterización aglomerativa espacial, utilizando diferentes números de vecinos. El mejor resultado, según el método del codo y el coeficiente de Silhouette, se obtuvo con K=5 vecinos y cuatro grupos. El grupo A corresponde a los terrenos aluviales bajos a lo largo de las cuencas del Magdalena y Cauca; el grupo B representa los terrenos de alto relieve a lo largo del cañón del Cauca; el grupo C corresponde a los terrenos aluviales bajos a lo largo de la cuenca del Atrato; y el grupo D comprende las superficies de alta elevación y bajo relieve en el eje de la Cordillera Central. Así, este enfoque ofrece una visión alternativa y complementaria para capturar la heterogeneidad espacial del área de estudio más allá de los límites hidrográficos. La comparación entre ambos modelos se muestra en la tabla 2.</w:t>
      </w:r>
    </w:p>
    <w:p>
      <w:pPr>
        <w:pStyle w:val="Heading1"/>
        <w:tabs>
          <w:tab w:val="clear" w:pos="720"/>
          <w:tab w:val="right" w:pos="8562" w:leader="none"/>
        </w:tabs>
        <w:spacing w:lineRule="auto" w:line="240" w:before="9" w:after="0"/>
        <w:ind w:firstLine="113" w:start="113"/>
        <w:jc w:val="both"/>
        <w:rPr>
          <w:color w:val="000000"/>
        </w:rPr>
      </w:pPr>
      <w:r>
        <w:rPr>
          <w:color w:val="000000"/>
        </w:rPr>
      </w:r>
    </w:p>
    <w:p>
      <w:pPr>
        <w:pStyle w:val="normal1"/>
        <w:ind w:hanging="0" w:start="195"/>
        <w:rPr>
          <w:b/>
          <w:bCs/>
        </w:rPr>
      </w:pPr>
      <w:bookmarkStart w:id="12" w:name="_heading=h.klg3ekrk01t6"/>
      <w:bookmarkEnd w:id="12"/>
      <w:r>
        <w:rPr>
          <w:rFonts w:eastAsia="Times New Roman" w:cs="Times New Roman" w:ascii="Times New Roman" w:hAnsi="Times New Roman"/>
          <w:sz w:val="33"/>
          <w:szCs w:val="33"/>
          <w:vertAlign w:val="superscript"/>
        </w:rPr>
        <w:t xml:space="preserve"> </w:t>
      </w:r>
    </w:p>
    <w:p>
      <w:pPr>
        <w:pStyle w:val="normal1"/>
        <w:keepNext w:val="false"/>
        <w:keepLines w:val="false"/>
        <w:pageBreakBefore w:val="false"/>
        <w:widowControl w:val="false"/>
        <w:pBdr/>
        <w:shd w:val="clear" w:fill="auto"/>
        <w:spacing w:lineRule="auto" w:line="240" w:before="0" w:after="0"/>
        <w:ind w:hanging="0" w:start="113" w:end="536"/>
        <w:jc w:val="both"/>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sdt>
        <w:sdtPr>
          <w:tag w:val="goog_rdk_4"/>
          <w:id w:val="-650986961"/>
        </w:sdtPr>
        <w:sdtContent>
          <w:r>
            <w:rPr/>
          </w:r>
          <w:r>
            <w:rPr/>
          </w:r>
        </w:sdtContent>
      </w:sdt>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 xml:space="preserve">Fig. 3. </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Comparación de los regímenes espaciales utilizados en el análisis multinivel de susceptibilidad a movimientos en masa. El mapa a la izquierda muestra la división por cuencas hidrográficas (Atrato, Cauca y Magdalena), utilizadas como unidades espaciales de nivel superior. El mapa a la derecha muestra el resultado de la clusterización espacial utilizando cinco vecinos más cercanos, lo cual permitió definir cuatro regiones morfométricamente homogéneas (A, B, C, D).</w:t>
      </w:r>
    </w:p>
    <w:p>
      <w:pPr>
        <w:pStyle w:val="Heading1"/>
        <w:tabs>
          <w:tab w:val="clear" w:pos="720"/>
          <w:tab w:val="left" w:pos="8414" w:leader="none"/>
        </w:tabs>
        <w:spacing w:lineRule="auto" w:line="240" w:before="9" w:after="0"/>
        <w:ind w:firstLine="113" w:start="113"/>
        <w:jc w:val="both"/>
        <w:rPr/>
      </w:pPr>
      <w:r>
        <w:rPr/>
      </w:r>
    </w:p>
    <w:p>
      <w:pPr>
        <w:pStyle w:val="Heading1"/>
        <w:tabs>
          <w:tab w:val="clear" w:pos="720"/>
          <w:tab w:val="left" w:pos="8414" w:leader="none"/>
        </w:tabs>
        <w:spacing w:lineRule="auto" w:line="240" w:before="9" w:after="0"/>
        <w:ind w:firstLine="113" w:start="113"/>
        <w:jc w:val="both"/>
        <w:rPr/>
      </w:pPr>
      <w:r>
        <w:rPr/>
      </w:r>
    </w:p>
    <w:p>
      <w:pPr>
        <w:pStyle w:val="Heading1"/>
        <w:tabs>
          <w:tab w:val="clear" w:pos="720"/>
          <w:tab w:val="left" w:pos="8414" w:leader="none"/>
        </w:tabs>
        <w:spacing w:lineRule="auto" w:line="240" w:before="9" w:after="0"/>
        <w:ind w:firstLine="113" w:start="113"/>
        <w:jc w:val="center"/>
        <w:rPr>
          <w:rFonts w:ascii="Trebuchet MS" w:hAnsi="Trebuchet MS" w:eastAsia="Trebuchet MS" w:cs="Trebuchet MS"/>
          <w:sz w:val="16"/>
          <w:szCs w:val="16"/>
        </w:rPr>
      </w:pPr>
      <w:r>
        <w:rPr>
          <w:rFonts w:eastAsia="Trebuchet MS" w:cs="Trebuchet MS" w:ascii="Trebuchet MS" w:hAnsi="Trebuchet MS"/>
          <w:b/>
          <w:bCs/>
          <w:sz w:val="16"/>
          <w:szCs w:val="16"/>
        </w:rPr>
        <w:t xml:space="preserve">Tabla 2. </w:t>
      </w:r>
      <w:r>
        <w:rPr>
          <w:rFonts w:eastAsia="Trebuchet MS" w:cs="Trebuchet MS" w:ascii="Trebuchet MS" w:hAnsi="Trebuchet MS"/>
          <w:sz w:val="16"/>
          <w:szCs w:val="16"/>
        </w:rPr>
        <w:t>Comparación de modelos de regresión logística multinivel.</w:t>
      </w:r>
    </w:p>
    <w:p>
      <w:pPr>
        <w:pStyle w:val="normal1"/>
        <w:keepNext w:val="false"/>
        <w:keepLines w:val="false"/>
        <w:pageBreakBefore w:val="false"/>
        <w:widowControl w:val="false"/>
        <w:pBdr/>
        <w:shd w:val="clear" w:fill="auto"/>
        <w:spacing w:lineRule="auto" w:line="240" w:before="8"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9"/>
          <w:sz w:val="19"/>
          <w:szCs w:val="19"/>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9"/>
          <w:sz w:val="19"/>
          <w:szCs w:val="19"/>
          <w:u w:val="none"/>
          <w:shd w:fill="auto" w:val="clear"/>
          <w:vertAlign w:val="baseline"/>
        </w:rPr>
      </w:r>
    </w:p>
    <w:tbl>
      <w:tblPr>
        <w:tblStyle w:val="Table2"/>
        <w:tblW w:w="5783" w:type="dxa"/>
        <w:jc w:val="start"/>
        <w:tblInd w:w="1117" w:type="dxa"/>
        <w:tblLayout w:type="fixed"/>
        <w:tblCellMar>
          <w:top w:w="0" w:type="dxa"/>
          <w:start w:w="108" w:type="dxa"/>
          <w:bottom w:w="0" w:type="dxa"/>
          <w:end w:w="108" w:type="dxa"/>
        </w:tblCellMar>
        <w:tblLook w:val="0000"/>
      </w:tblPr>
      <w:tblGrid>
        <w:gridCol w:w="2516"/>
        <w:gridCol w:w="1717"/>
        <w:gridCol w:w="1550"/>
      </w:tblGrid>
      <w:tr>
        <w:trPr>
          <w:trHeight w:val="253" w:hRule="atLeast"/>
        </w:trPr>
        <w:tc>
          <w:tcPr>
            <w:tcW w:w="2516"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119" w:end="0"/>
              <w:jc w:val="start"/>
              <w:rPr>
                <w:rFonts w:ascii="Trebuchet MS" w:hAnsi="Trebuchet MS" w:eastAsia="Trebuchet MS" w:cs="Trebuchet MS"/>
                <w:b/>
                <w:bCs/>
                <w:i w:val="false"/>
                <w:i w:val="false"/>
                <w:iCs w:val="false"/>
                <w:caps w:val="false"/>
                <w:smallCaps w:val="false"/>
                <w:strike w:val="false"/>
                <w:dstrike w:val="false"/>
                <w:color w:val="000000"/>
                <w:position w:val="0"/>
                <w:sz w:val="22"/>
                <w:sz w:val="22"/>
                <w:szCs w:val="22"/>
                <w:u w:val="none"/>
                <w:shd w:fill="auto" w:val="clear"/>
                <w:vertAlign w:val="baseline"/>
              </w:rPr>
            </w:pPr>
            <w:bookmarkStart w:id="13" w:name="_heading=h.e3gn68rh1o28"/>
            <w:bookmarkEnd w:id="13"/>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Estadístico</w:t>
            </w:r>
          </w:p>
        </w:tc>
        <w:tc>
          <w:tcPr>
            <w:tcW w:w="1717"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0" w:end="118"/>
              <w:jc w:val="end"/>
              <w:rPr>
                <w:rFonts w:ascii="Trebuchet MS" w:hAnsi="Trebuchet MS" w:eastAsia="Trebuchet MS" w:cs="Trebuchet MS"/>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Modelo ‘cuencas’</w:t>
            </w:r>
          </w:p>
        </w:tc>
        <w:tc>
          <w:tcPr>
            <w:tcW w:w="1550"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0" w:end="118"/>
              <w:jc w:val="end"/>
              <w:rPr>
                <w:rFonts w:ascii="Trebuchet MS" w:hAnsi="Trebuchet MS" w:eastAsia="Trebuchet MS" w:cs="Trebuchet MS"/>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Modelo ‘cluster’</w:t>
            </w:r>
          </w:p>
        </w:tc>
      </w:tr>
      <w:tr>
        <w:trPr>
          <w:trHeight w:val="258" w:hRule="atLeast"/>
        </w:trPr>
        <w:tc>
          <w:tcPr>
            <w:tcW w:w="2516" w:type="dxa"/>
            <w:tcBorders>
              <w:top w:val="single" w:sz="4" w:space="0" w:color="000000"/>
            </w:tcBorders>
            <w:shd w:fill="F7F7F7" w:val="clear"/>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AIC</w:t>
            </w:r>
          </w:p>
        </w:tc>
        <w:tc>
          <w:tcPr>
            <w:tcW w:w="1717" w:type="dxa"/>
            <w:tcBorders>
              <w:top w:val="single" w:sz="4" w:space="0" w:color="000000"/>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405,5</w:t>
            </w:r>
          </w:p>
        </w:tc>
        <w:tc>
          <w:tcPr>
            <w:tcW w:w="1550" w:type="dxa"/>
            <w:tcBorders>
              <w:top w:val="single" w:sz="4" w:space="0" w:color="000000"/>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420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5</w:t>
            </w:r>
          </w:p>
        </w:tc>
      </w:tr>
      <w:tr>
        <w:trPr>
          <w:trHeight w:val="253" w:hRule="atLeast"/>
        </w:trPr>
        <w:tc>
          <w:tcPr>
            <w:tcW w:w="2516" w:type="dxa"/>
            <w:tcBorders/>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BIC</w:t>
            </w:r>
          </w:p>
        </w:tc>
        <w:tc>
          <w:tcPr>
            <w:tcW w:w="1717" w:type="dxa"/>
            <w:tcBorders/>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490,8</w:t>
            </w:r>
          </w:p>
        </w:tc>
        <w:tc>
          <w:tcPr>
            <w:tcW w:w="1550" w:type="dxa"/>
            <w:tcBorders/>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505</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8</w:t>
            </w:r>
          </w:p>
        </w:tc>
      </w:tr>
      <w:tr>
        <w:trPr>
          <w:trHeight w:val="253" w:hRule="atLeast"/>
        </w:trPr>
        <w:tc>
          <w:tcPr>
            <w:tcW w:w="2516" w:type="dxa"/>
            <w:tcBorders/>
            <w:shd w:fill="F7F7F7" w:val="clear"/>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Log-verosimilitud</w:t>
            </w:r>
          </w:p>
        </w:tc>
        <w:tc>
          <w:tcPr>
            <w:tcW w:w="1717" w:type="dxa"/>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-182,7</w:t>
            </w:r>
          </w:p>
        </w:tc>
        <w:tc>
          <w:tcPr>
            <w:tcW w:w="1550" w:type="dxa"/>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-190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2</w:t>
            </w:r>
          </w:p>
        </w:tc>
      </w:tr>
      <w:tr>
        <w:trPr>
          <w:trHeight w:val="248" w:hRule="atLeast"/>
        </w:trPr>
        <w:tc>
          <w:tcPr>
            <w:tcW w:w="2516" w:type="dxa"/>
            <w:tcBorders>
              <w:bottom w:val="single" w:sz="4" w:space="0" w:color="000000"/>
            </w:tcBorders>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Desviación</w:t>
            </w:r>
          </w:p>
        </w:tc>
        <w:tc>
          <w:tcPr>
            <w:tcW w:w="1717" w:type="dxa"/>
            <w:tcBorders>
              <w:bottom w:val="single" w:sz="4" w:space="0" w:color="000000"/>
            </w:tcBorders>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365</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5</w:t>
            </w:r>
          </w:p>
        </w:tc>
        <w:tc>
          <w:tcPr>
            <w:tcW w:w="1550" w:type="dxa"/>
            <w:tcBorders>
              <w:bottom w:val="single" w:sz="4" w:space="0" w:color="000000"/>
            </w:tcBorders>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380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5</w:t>
            </w:r>
          </w:p>
        </w:tc>
      </w:tr>
      <w:tr>
        <w:trPr>
          <w:trHeight w:val="258" w:hRule="atLeast"/>
        </w:trPr>
        <w:tc>
          <w:tcPr>
            <w:tcW w:w="2516" w:type="dxa"/>
            <w:tcBorders>
              <w:top w:val="single" w:sz="4" w:space="0" w:color="000000"/>
            </w:tcBorders>
            <w:shd w:fill="F7F7F7" w:val="clear"/>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Efectos fijos</w:t>
            </w:r>
          </w:p>
        </w:tc>
        <w:tc>
          <w:tcPr>
            <w:tcW w:w="1717" w:type="dxa"/>
            <w:tcBorders>
              <w:top w:val="single" w:sz="4" w:space="0" w:color="000000"/>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1550" w:type="dxa"/>
            <w:tcBorders>
              <w:top w:val="single" w:sz="4" w:space="0" w:color="000000"/>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22"/>
                <w:sz w:val="22"/>
                <w:szCs w:val="22"/>
                <w:u w:val="none"/>
                <w:shd w:fill="auto" w:val="clear"/>
                <w:vertAlign w:val="baseline"/>
              </w:rPr>
            </w:r>
          </w:p>
        </w:tc>
      </w:tr>
      <w:tr>
        <w:trPr>
          <w:trHeight w:val="223" w:hRule="atLeast"/>
        </w:trPr>
        <w:tc>
          <w:tcPr>
            <w:tcW w:w="2516" w:type="dxa"/>
            <w:tcBorders/>
            <w:shd w:fill="F7F7F7" w:val="clear"/>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Intercepto</w:t>
            </w:r>
          </w:p>
        </w:tc>
        <w:tc>
          <w:tcPr>
            <w:tcW w:w="1717" w:type="dxa"/>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2</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0011</w:t>
            </w:r>
          </w:p>
        </w:tc>
        <w:tc>
          <w:tcPr>
            <w:tcW w:w="1550" w:type="dxa"/>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2</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0580</w:t>
            </w:r>
          </w:p>
        </w:tc>
      </w:tr>
      <w:tr>
        <w:trPr>
          <w:trHeight w:val="174" w:hRule="atLeast"/>
        </w:trPr>
        <w:tc>
          <w:tcPr>
            <w:tcW w:w="2516" w:type="dxa"/>
            <w:tcBorders/>
          </w:tcPr>
          <w:p>
            <w:pPr>
              <w:pStyle w:val="normal1"/>
              <w:keepNext w:val="false"/>
              <w:keepLines w:val="false"/>
              <w:widowControl w:val="false"/>
              <w:pBdr/>
              <w:shd w:val="clear" w:fill="auto"/>
              <w:spacing w:lineRule="auto" w:line="240" w:before="1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Elevación</w:t>
            </w:r>
          </w:p>
        </w:tc>
        <w:tc>
          <w:tcPr>
            <w:tcW w:w="1717" w:type="dxa"/>
            <w:tcBorders/>
          </w:tcPr>
          <w:p>
            <w:pPr>
              <w:pStyle w:val="normal1"/>
              <w:keepNext w:val="false"/>
              <w:keepLines w:val="false"/>
              <w:widowControl w:val="false"/>
              <w:pBdr/>
              <w:shd w:val="clear" w:fill="auto"/>
              <w:spacing w:lineRule="auto" w:line="240" w:before="1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8566</w:t>
            </w:r>
          </w:p>
        </w:tc>
        <w:tc>
          <w:tcPr>
            <w:tcW w:w="1550" w:type="dxa"/>
            <w:tcBorders/>
          </w:tcPr>
          <w:p>
            <w:pPr>
              <w:pStyle w:val="normal1"/>
              <w:keepNext w:val="false"/>
              <w:keepLines w:val="false"/>
              <w:widowControl w:val="false"/>
              <w:pBdr/>
              <w:shd w:val="clear" w:fill="auto"/>
              <w:spacing w:lineRule="auto" w:line="240" w:before="1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7834</w:t>
            </w:r>
          </w:p>
        </w:tc>
      </w:tr>
      <w:tr>
        <w:trPr>
          <w:trHeight w:val="253" w:hRule="atLeast"/>
        </w:trPr>
        <w:tc>
          <w:tcPr>
            <w:tcW w:w="2516" w:type="dxa"/>
            <w:tcBorders/>
            <w:shd w:fill="F7F7F7" w:val="clear"/>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Relieve</w:t>
            </w:r>
          </w:p>
        </w:tc>
        <w:tc>
          <w:tcPr>
            <w:tcW w:w="1717" w:type="dxa"/>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0958</w:t>
            </w:r>
          </w:p>
        </w:tc>
        <w:tc>
          <w:tcPr>
            <w:tcW w:w="1550" w:type="dxa"/>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2863</w:t>
            </w:r>
          </w:p>
        </w:tc>
      </w:tr>
      <w:tr>
        <w:trPr>
          <w:trHeight w:val="253" w:hRule="atLeast"/>
        </w:trPr>
        <w:tc>
          <w:tcPr>
            <w:tcW w:w="2516" w:type="dxa"/>
            <w:tcBorders/>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Área subcuenca</w:t>
            </w:r>
          </w:p>
        </w:tc>
        <w:tc>
          <w:tcPr>
            <w:tcW w:w="1717" w:type="dxa"/>
            <w:tcBorders/>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7033</w:t>
            </w:r>
          </w:p>
        </w:tc>
        <w:tc>
          <w:tcPr>
            <w:tcW w:w="1550" w:type="dxa"/>
            <w:tcBorders/>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2102</w:t>
            </w:r>
          </w:p>
        </w:tc>
      </w:tr>
      <w:tr>
        <w:trPr>
          <w:trHeight w:val="248" w:hRule="atLeast"/>
        </w:trPr>
        <w:tc>
          <w:tcPr>
            <w:tcW w:w="2516" w:type="dxa"/>
            <w:tcBorders>
              <w:bottom w:val="single" w:sz="4" w:space="0" w:color="000000"/>
            </w:tcBorders>
            <w:shd w:fill="F7F7F7" w:val="clear"/>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Precipitación anual</w:t>
            </w:r>
          </w:p>
        </w:tc>
        <w:tc>
          <w:tcPr>
            <w:tcW w:w="1717" w:type="dxa"/>
            <w:tcBorders>
              <w:bottom w:val="single" w:sz="4" w:space="0" w:color="000000"/>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3884</w:t>
            </w:r>
          </w:p>
        </w:tc>
        <w:tc>
          <w:tcPr>
            <w:tcW w:w="1550" w:type="dxa"/>
            <w:tcBorders>
              <w:bottom w:val="single" w:sz="4" w:space="0" w:color="000000"/>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4966</w:t>
            </w:r>
          </w:p>
        </w:tc>
      </w:tr>
      <w:tr>
        <w:trPr>
          <w:trHeight w:val="350" w:hRule="atLeast"/>
        </w:trPr>
        <w:tc>
          <w:tcPr>
            <w:tcW w:w="2516" w:type="dxa"/>
            <w:tcBorders>
              <w:top w:val="single" w:sz="4" w:space="0" w:color="000000"/>
            </w:tcBorders>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Efectos aleatorios (Varianza)</w:t>
            </w:r>
          </w:p>
        </w:tc>
        <w:tc>
          <w:tcPr>
            <w:tcW w:w="1717"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1550"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22"/>
                <w:sz w:val="22"/>
                <w:szCs w:val="22"/>
                <w:u w:val="none"/>
                <w:shd w:fill="auto" w:val="clear"/>
                <w:vertAlign w:val="baseline"/>
              </w:rPr>
            </w:r>
          </w:p>
        </w:tc>
      </w:tr>
      <w:tr>
        <w:trPr>
          <w:trHeight w:val="350" w:hRule="atLeast"/>
        </w:trPr>
        <w:tc>
          <w:tcPr>
            <w:tcW w:w="2516" w:type="dxa"/>
            <w:tcBorders/>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Intercepto</w:t>
            </w:r>
          </w:p>
        </w:tc>
        <w:tc>
          <w:tcPr>
            <w:tcW w:w="1717" w:type="dxa"/>
            <w:tcBorders/>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0000</w:t>
            </w:r>
          </w:p>
        </w:tc>
        <w:tc>
          <w:tcPr>
            <w:tcW w:w="1550" w:type="dxa"/>
            <w:tcBorders/>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0000</w:t>
            </w:r>
          </w:p>
        </w:tc>
      </w:tr>
      <w:tr>
        <w:trPr>
          <w:trHeight w:val="260" w:hRule="atLeast"/>
        </w:trPr>
        <w:tc>
          <w:tcPr>
            <w:tcW w:w="2516" w:type="dxa"/>
            <w:tcBorders/>
            <w:shd w:fill="F7F7F7" w:val="clear"/>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Elevación</w:t>
            </w:r>
          </w:p>
        </w:tc>
        <w:tc>
          <w:tcPr>
            <w:tcW w:w="1717" w:type="dxa"/>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0033</w:t>
            </w:r>
          </w:p>
        </w:tc>
        <w:tc>
          <w:tcPr>
            <w:tcW w:w="1550" w:type="dxa"/>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0007</w:t>
            </w:r>
          </w:p>
        </w:tc>
      </w:tr>
      <w:tr>
        <w:trPr>
          <w:trHeight w:val="253" w:hRule="atLeast"/>
        </w:trPr>
        <w:tc>
          <w:tcPr>
            <w:tcW w:w="2516" w:type="dxa"/>
            <w:tcBorders/>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Relieve</w:t>
            </w:r>
          </w:p>
        </w:tc>
        <w:tc>
          <w:tcPr>
            <w:tcW w:w="1717" w:type="dxa"/>
            <w:tcBorders/>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8298</w:t>
            </w:r>
          </w:p>
        </w:tc>
        <w:tc>
          <w:tcPr>
            <w:tcW w:w="1550" w:type="dxa"/>
            <w:tcBorders/>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1016</w:t>
            </w:r>
          </w:p>
        </w:tc>
      </w:tr>
      <w:tr>
        <w:trPr>
          <w:trHeight w:val="253" w:hRule="atLeast"/>
        </w:trPr>
        <w:tc>
          <w:tcPr>
            <w:tcW w:w="2516" w:type="dxa"/>
            <w:tcBorders/>
            <w:shd w:fill="F7F7F7" w:val="clear"/>
          </w:tcPr>
          <w:p>
            <w:pPr>
              <w:pStyle w:val="normal1"/>
              <w:keepNext w:val="false"/>
              <w:keepLines w:val="false"/>
              <w:widowControl w:val="false"/>
              <w:pBdr/>
              <w:shd w:val="clear" w:fill="auto"/>
              <w:spacing w:lineRule="auto" w:line="240" w:before="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Área subcuenca</w:t>
            </w:r>
          </w:p>
        </w:tc>
        <w:tc>
          <w:tcPr>
            <w:tcW w:w="1717" w:type="dxa"/>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0075</w:t>
            </w:r>
          </w:p>
        </w:tc>
        <w:tc>
          <w:tcPr>
            <w:tcW w:w="1550" w:type="dxa"/>
            <w:tcBorders/>
            <w:shd w:fill="F7F7F7" w:val="clear"/>
          </w:tcPr>
          <w:p>
            <w:pPr>
              <w:pStyle w:val="normal1"/>
              <w:keepNext w:val="false"/>
              <w:keepLines w:val="false"/>
              <w:widowControl w:val="false"/>
              <w:pBdr/>
              <w:shd w:val="clear" w:fill="auto"/>
              <w:spacing w:lineRule="auto" w:line="240"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3551</w:t>
            </w:r>
          </w:p>
        </w:tc>
      </w:tr>
      <w:tr>
        <w:trPr>
          <w:trHeight w:val="244" w:hRule="atLeast"/>
        </w:trPr>
        <w:tc>
          <w:tcPr>
            <w:tcW w:w="2516" w:type="dxa"/>
            <w:tcBorders>
              <w:bottom w:val="single" w:sz="8" w:space="0" w:color="000000"/>
            </w:tcBorders>
          </w:tcPr>
          <w:p>
            <w:pPr>
              <w:pStyle w:val="normal1"/>
              <w:keepNext w:val="false"/>
              <w:keepLines w:val="false"/>
              <w:widowControl w:val="false"/>
              <w:pBdr/>
              <w:shd w:val="clear" w:fill="auto"/>
              <w:spacing w:lineRule="auto" w:line="185" w:before="46" w:after="0"/>
              <w:ind w:hanging="0" w:start="119"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Precipitación anual</w:t>
            </w:r>
          </w:p>
        </w:tc>
        <w:tc>
          <w:tcPr>
            <w:tcW w:w="1717" w:type="dxa"/>
            <w:tcBorders>
              <w:bottom w:val="single" w:sz="8" w:space="0" w:color="000000"/>
            </w:tcBorders>
          </w:tcPr>
          <w:p>
            <w:pPr>
              <w:pStyle w:val="normal1"/>
              <w:keepNext w:val="false"/>
              <w:keepLines w:val="false"/>
              <w:widowControl w:val="false"/>
              <w:pBdr/>
              <w:shd w:val="clear" w:fill="auto"/>
              <w:spacing w:lineRule="auto" w:line="185"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2781</w:t>
            </w:r>
          </w:p>
        </w:tc>
        <w:tc>
          <w:tcPr>
            <w:tcW w:w="1550" w:type="dxa"/>
            <w:tcBorders>
              <w:bottom w:val="single" w:sz="8" w:space="0" w:color="000000"/>
            </w:tcBorders>
          </w:tcPr>
          <w:p>
            <w:pPr>
              <w:pStyle w:val="normal1"/>
              <w:keepNext w:val="false"/>
              <w:keepLines w:val="false"/>
              <w:widowControl w:val="false"/>
              <w:pBdr/>
              <w:shd w:val="clear" w:fill="auto"/>
              <w:spacing w:lineRule="auto" w:line="185" w:before="46" w:after="0"/>
              <w:ind w:hanging="0" w:start="0" w:end="118"/>
              <w:jc w:val="end"/>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0007</w:t>
            </w:r>
          </w:p>
        </w:tc>
      </w:tr>
    </w:tbl>
    <w:p>
      <w:pPr>
        <w:pStyle w:val="Heading1"/>
        <w:tabs>
          <w:tab w:val="clear" w:pos="720"/>
          <w:tab w:val="left" w:pos="8414" w:leader="none"/>
        </w:tabs>
        <w:spacing w:lineRule="auto" w:line="240" w:before="9" w:after="0"/>
        <w:ind w:firstLine="113" w:start="113"/>
        <w:rPr>
          <w:sz w:val="16"/>
          <w:szCs w:val="16"/>
        </w:rPr>
      </w:pPr>
      <w:r>
        <w:rPr>
          <w:sz w:val="16"/>
          <w:szCs w:val="16"/>
        </w:rPr>
        <w:t>AIC: Akaike Information Criterion.</w:t>
      </w:r>
    </w:p>
    <w:p>
      <w:pPr>
        <w:pStyle w:val="Heading1"/>
        <w:tabs>
          <w:tab w:val="clear" w:pos="720"/>
          <w:tab w:val="left" w:pos="8414" w:leader="none"/>
        </w:tabs>
        <w:spacing w:lineRule="auto" w:line="240" w:before="9" w:after="0"/>
        <w:ind w:firstLine="113" w:start="113"/>
        <w:rPr/>
      </w:pPr>
      <w:r>
        <w:rPr>
          <w:sz w:val="16"/>
          <w:szCs w:val="16"/>
        </w:rPr>
        <w:t>BIC: Bayesian Information Criterion.</w:t>
      </w:r>
      <w:r>
        <w:rPr/>
        <w:tab/>
      </w:r>
    </w:p>
    <w:p>
      <w:pPr>
        <w:pStyle w:val="Heading1"/>
        <w:tabs>
          <w:tab w:val="clear" w:pos="720"/>
          <w:tab w:val="left" w:pos="8414" w:leader="none"/>
        </w:tabs>
        <w:spacing w:lineRule="auto" w:line="240" w:before="9" w:after="0"/>
        <w:ind w:firstLine="113" w:start="113"/>
        <w:rPr/>
      </w:pPr>
      <w:r>
        <w:rPr/>
      </w:r>
    </w:p>
    <w:p>
      <w:pPr>
        <w:pStyle w:val="Heading1"/>
        <w:tabs>
          <w:tab w:val="clear" w:pos="720"/>
          <w:tab w:val="left" w:pos="8414" w:leader="none"/>
        </w:tabs>
        <w:spacing w:lineRule="auto" w:line="240" w:before="9" w:after="0"/>
        <w:ind w:firstLine="113" w:start="113"/>
        <w:jc w:val="both"/>
        <w:rPr/>
      </w:pPr>
      <w:r>
        <w:rPr>
          <w:color w:val="000000"/>
        </w:rPr>
        <w:t>El ajuste de ambos modelos se efectuó mediante el Criterio de Información de Akaike (AIC), el Criterio de Información Bayesiano (BIC), el logaritmo de máxima verosimilitud y la desviación (Tabla 2). El BIC, al igual que el AIC, también mide el ajuste, aunque el primero penaliza más fuertemente la complejidad del modelo. El logaritmo de verosimilitud mide qué tan bien el modelo se ajusta a los datos; valores más altos (i.e., menos negativos) indican un mejor ajuste. La desviación es una medida del aju</w:t>
      </w:r>
      <w:r>
        <w:rPr/>
        <w:t xml:space="preserve">ste del modelo, similar a la suma de cuadrados residuales en modelos lineales: valores más bajos son mejores. En términos de los estadísticos AIC y BIC, el modelo ‘cuencas’ presenta valores más bajos (AIC: 405,5; BIC: 490,8) en comparación con el modelo ‘cluster’ (AIC: 420,5; BIC: 505,8), lo cual sugiere que el modelo basado en cuencas logra un mejor equilibrio entre ajuste y </w:t>
      </w:r>
      <w:r>
        <w:rPr>
          <w:color w:val="000000"/>
        </w:rPr>
        <w:t>co</w:t>
      </w:r>
      <w:r>
        <w:rPr/>
        <w:t>mplejidad del modelo. De manera similar, el logaritmo de verosimilitud y la desviación indican un mejor ajuste para el modelo ‘cuencas’ (-182,7 y 365,5, respectivamente) frente al modelo ‘cluster’ (-190,2 y 380,5).</w:t>
      </w:r>
    </w:p>
    <w:p>
      <w:pPr>
        <w:pStyle w:val="Heading1"/>
        <w:tabs>
          <w:tab w:val="clear" w:pos="720"/>
          <w:tab w:val="left" w:pos="8414" w:leader="none"/>
        </w:tabs>
        <w:spacing w:lineRule="auto" w:line="240" w:before="183" w:after="0"/>
        <w:ind w:firstLine="113" w:start="113"/>
        <w:jc w:val="both"/>
        <w:rPr/>
      </w:pPr>
      <w:r>
        <w:rPr/>
        <w:t xml:space="preserve">En cuanto a los efectos fijos, los coeficientes representan el efecto promedio de cada variable predictora en todos los grupos (Tabla 2). Los coeficientes de las variables predictoras, por ejemplo, elevación media, indican que un aumento de una unidad en la elevación incrementa el logaritmo de la probabilidad de la ocurrencia de un movimiento en masa en 0,8566. Los efectos fijos para ambos modelos muestran coeficientes relativamente similares, pero con algunas diferencias: el relieve tiene un coeficiente más alto en el modelo ‘cluster’ (1,2863) en comparación con el modelo ‘cuencas’ (1,0958), lo cual indica una mayor influencia del relieve en la susceptibilidad. Por otro lado, el área de la subcuenca muestra un incremento significativo en su influencia en el modelo ‘cluster’ (1,2102) frente al otro modelo (0,7033). En cambio, la precipitación anual tiene un efecto negativo en ambos modelos, pero es más pronunciado en el modelo ‘cluster’ (-0,4966). </w:t>
      </w:r>
    </w:p>
    <w:p>
      <w:pPr>
        <w:pStyle w:val="Heading1"/>
        <w:tabs>
          <w:tab w:val="clear" w:pos="720"/>
          <w:tab w:val="left" w:pos="8414" w:leader="none"/>
        </w:tabs>
        <w:spacing w:lineRule="auto" w:line="240" w:before="178" w:after="0"/>
        <w:ind w:firstLine="113" w:start="113"/>
        <w:jc w:val="both"/>
        <w:rPr/>
      </w:pPr>
      <w:r>
        <w:rPr/>
        <w:t xml:space="preserve">En cuanto a los efectos aleatorios, la varianza del intercepto es cero en ambos modelos, indicando que no hay una variabilidad considerable entre las regiones en términos del valor base. Sin embargo, la varianza del relieve es mucho mayor en el modelo ‘cuencas’ (0,8298) comparado con el modelo ‘cluster’ (0,1016), lo cual sugiere una mayor heterogeneidad en el efecto del relieve entre las cuencas. De manera similar, la varianza del área de la subcuenca es mayor en el modelo ‘cluster’ (0,3551) en comparación con el otro modelo (0,0075), indicando que la variabilidad espacial de esta variable se captura mejor en el análisis basado en grupos. </w:t>
      </w:r>
    </w:p>
    <w:p>
      <w:pPr>
        <w:pStyle w:val="Heading1"/>
        <w:tabs>
          <w:tab w:val="clear" w:pos="720"/>
          <w:tab w:val="left" w:pos="8414" w:leader="none"/>
        </w:tabs>
        <w:spacing w:lineRule="auto" w:line="240" w:before="193" w:after="0"/>
        <w:ind w:firstLine="113" w:start="113"/>
        <w:jc w:val="both"/>
        <w:rPr/>
      </w:pPr>
      <w:r>
        <w:rPr/>
        <w:t xml:space="preserve">En la tabla </w:t>
      </w:r>
      <w:r>
        <w:rPr>
          <w:color w:val="00004C"/>
        </w:rPr>
        <w:t xml:space="preserve">3 </w:t>
      </w:r>
      <w:r>
        <w:rPr/>
        <w:t xml:space="preserve">se presentan los coeficientes de los efectos aleatorios para cada cuenca utilizada como variable aleatoria en el modelo multinivel. El intercepto para cada cuenca es 0, lo cual implica que el punto de partida de la predicción es consistente entre todas las cuencas. En las cuencas del Atrato y del Magdalena, el coeficiente de la elevación media es negativo, lo cual indica que la elevación tiene un efecto ligeramente reducido sobre la susceptibilidad a movimientos en masa comparado con el valor general del modelo. En la cuenca del Cauca, en tanto, este coeficiente es positivo, indicando que la elevación media aumenta la probabilidad de movimientos en masa y que su efecto es mayor que el promedio. </w:t>
      </w:r>
    </w:p>
    <w:p>
      <w:pPr>
        <w:pStyle w:val="Heading1"/>
        <w:tabs>
          <w:tab w:val="clear" w:pos="720"/>
          <w:tab w:val="left" w:pos="8414" w:leader="none"/>
        </w:tabs>
        <w:spacing w:lineRule="auto" w:line="240" w:before="193" w:after="0"/>
        <w:ind w:firstLine="113" w:start="113"/>
        <w:jc w:val="both"/>
        <w:rPr/>
      </w:pPr>
      <w:r>
        <w:rPr/>
        <w:t>Respecto al coeficiente de relieve, en el Atrato este es marcadamente negativo (-1,017), lo cual indica que el relieve medio tiene un efecto considerablemente menor en esta cuenca y que otras características del terreno estarían moderando el impacto del relieve en la susceptibilidad. En el Cauca, este coeficiente es marcadamente positivo (1,118), por lo que el relieve medio tendría una influencia fuerte y positiva en la probabilidad de movimientos en masa. Mientras que en el Magdalena este valor es bajo (-0.133), sugiriendo que el efecto del relieve medio en esta cuenca es limitado</w:t>
      </w:r>
    </w:p>
    <w:p>
      <w:pPr>
        <w:pStyle w:val="Heading1"/>
        <w:tabs>
          <w:tab w:val="clear" w:pos="720"/>
          <w:tab w:val="left" w:pos="8414" w:leader="none"/>
        </w:tabs>
        <w:spacing w:lineRule="auto" w:line="240" w:before="193" w:after="0"/>
        <w:ind w:firstLine="113" w:start="113"/>
        <w:jc w:val="both"/>
        <w:rPr/>
      </w:pPr>
      <w:r>
        <w:rPr/>
        <w:t xml:space="preserve">La variable predictora área subcuenca muestra valores cercanos a cero para todas las cuencas, por lo que el área no contribuiría de manera importante a aumentar la susceptibilidad. En el Atrato, el coeficiente de precipitación anual es negativo (-0,510), lo que indica que mayores niveles de lluvia anual tienden a disminuir la susceptibilidad a movimientos en masa. Para el Cauca el valor de este coeficiente también es negativo, aunque más pequeño (-0,079), mientras que en el Magdalena es positivo (0,600), lo que indica una relación directa entre la lluvia anual y la susceptibilidad a movimientos en masa. </w:t>
      </w:r>
    </w:p>
    <w:p>
      <w:pPr>
        <w:pStyle w:val="Heading1"/>
        <w:tabs>
          <w:tab w:val="clear" w:pos="720"/>
          <w:tab w:val="left" w:pos="8414" w:leader="none"/>
        </w:tabs>
        <w:spacing w:lineRule="auto" w:line="240" w:before="9" w:after="0"/>
        <w:ind w:firstLine="113" w:start="113"/>
        <w:rPr/>
      </w:pPr>
      <w:r>
        <w:rPr/>
      </w:r>
    </w:p>
    <w:p>
      <w:pPr>
        <w:pStyle w:val="Heading1"/>
        <w:spacing w:lineRule="auto" w:line="240" w:before="9" w:after="0"/>
        <w:ind w:firstLine="113" w:start="113"/>
        <w:jc w:val="both"/>
        <w:rPr/>
      </w:pPr>
      <w:r>
        <w:rPr>
          <w:b/>
          <w:bCs/>
        </w:rPr>
        <w:t xml:space="preserve">Tabla 3. </w:t>
      </w:r>
      <w:r>
        <w:rPr/>
        <w:t>Efectos aleatorios para cada cuenca. Los coeficientes para cada cuenca (Atrato, Cauca y Magdalena) muestran la variabilidad en el efecto de las variables predictoras en el modelo multinivel.</w:t>
      </w:r>
    </w:p>
    <w:p>
      <w:pPr>
        <w:pStyle w:val="normal1"/>
        <w:keepNext w:val="false"/>
        <w:keepLines w:val="false"/>
        <w:pageBreakBefore w:val="false"/>
        <w:widowControl w:val="false"/>
        <w:pBdr/>
        <w:shd w:val="clear" w:fill="auto"/>
        <w:spacing w:lineRule="auto" w:line="240" w:before="4"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9"/>
          <w:sz w:val="19"/>
          <w:szCs w:val="19"/>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9"/>
          <w:sz w:val="19"/>
          <w:szCs w:val="19"/>
          <w:u w:val="none"/>
          <w:shd w:fill="auto" w:val="clear"/>
          <w:vertAlign w:val="baseline"/>
        </w:rPr>
      </w:r>
    </w:p>
    <w:tbl>
      <w:tblPr>
        <w:tblStyle w:val="Table3"/>
        <w:tblW w:w="6825" w:type="dxa"/>
        <w:jc w:val="start"/>
        <w:tblInd w:w="719" w:type="dxa"/>
        <w:tblLayout w:type="fixed"/>
        <w:tblCellMar>
          <w:top w:w="0" w:type="dxa"/>
          <w:start w:w="108" w:type="dxa"/>
          <w:bottom w:w="0" w:type="dxa"/>
          <w:end w:w="108" w:type="dxa"/>
        </w:tblCellMar>
        <w:tblLook w:val="0000"/>
      </w:tblPr>
      <w:tblGrid>
        <w:gridCol w:w="969"/>
        <w:gridCol w:w="926"/>
        <w:gridCol w:w="1318"/>
        <w:gridCol w:w="1161"/>
        <w:gridCol w:w="963"/>
        <w:gridCol w:w="1488"/>
      </w:tblGrid>
      <w:tr>
        <w:trPr>
          <w:trHeight w:val="253" w:hRule="atLeast"/>
        </w:trPr>
        <w:tc>
          <w:tcPr>
            <w:tcW w:w="969"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0"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bookmarkStart w:id="14" w:name="_heading=h.ppou9wv6ptab"/>
            <w:bookmarkEnd w:id="14"/>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Cuenca</w:t>
            </w:r>
          </w:p>
        </w:tc>
        <w:tc>
          <w:tcPr>
            <w:tcW w:w="926"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Intercepto</w:t>
            </w:r>
          </w:p>
        </w:tc>
        <w:tc>
          <w:tcPr>
            <w:tcW w:w="1318"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Elevación</w:t>
            </w:r>
          </w:p>
        </w:tc>
        <w:tc>
          <w:tcPr>
            <w:tcW w:w="1161"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0" w:end="2"/>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Relieve</w:t>
            </w:r>
          </w:p>
        </w:tc>
        <w:tc>
          <w:tcPr>
            <w:tcW w:w="963"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1"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Área subcuenca</w:t>
            </w:r>
          </w:p>
        </w:tc>
        <w:tc>
          <w:tcPr>
            <w:tcW w:w="1488"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0"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Precipitación anual</w:t>
            </w:r>
          </w:p>
        </w:tc>
      </w:tr>
      <w:tr>
        <w:trPr>
          <w:trHeight w:val="273" w:hRule="atLeast"/>
        </w:trPr>
        <w:tc>
          <w:tcPr>
            <w:tcW w:w="969"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Atrato</w:t>
            </w:r>
          </w:p>
        </w:tc>
        <w:tc>
          <w:tcPr>
            <w:tcW w:w="926"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p>
        </w:tc>
        <w:tc>
          <w:tcPr>
            <w:tcW w:w="1318"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0322642</w:t>
            </w:r>
          </w:p>
        </w:tc>
        <w:tc>
          <w:tcPr>
            <w:tcW w:w="1161"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2"/>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0171946</w:t>
            </w:r>
          </w:p>
        </w:tc>
        <w:tc>
          <w:tcPr>
            <w:tcW w:w="963" w:type="dxa"/>
            <w:tcBorders>
              <w:top w:val="single" w:sz="4" w:space="0" w:color="000000"/>
            </w:tcBorders>
          </w:tcPr>
          <w:p>
            <w:pPr>
              <w:pStyle w:val="normal1"/>
              <w:keepNext w:val="false"/>
              <w:keepLines w:val="false"/>
              <w:widowControl w:val="false"/>
              <w:pBdr/>
              <w:shd w:val="clear" w:fill="auto"/>
              <w:spacing w:lineRule="auto" w:line="240" w:before="46" w:after="0"/>
              <w:ind w:hanging="0" w:start="1"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1127104</w:t>
            </w:r>
          </w:p>
        </w:tc>
        <w:tc>
          <w:tcPr>
            <w:tcW w:w="1488"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5098330</w:t>
            </w:r>
          </w:p>
        </w:tc>
      </w:tr>
      <w:tr>
        <w:trPr>
          <w:trHeight w:val="253" w:hRule="atLeast"/>
        </w:trPr>
        <w:tc>
          <w:tcPr>
            <w:tcW w:w="969" w:type="dxa"/>
            <w:tcBorders/>
          </w:tcPr>
          <w:p>
            <w:pPr>
              <w:pStyle w:val="normal1"/>
              <w:keepNext w:val="false"/>
              <w:keepLines w:val="false"/>
              <w:widowControl w:val="false"/>
              <w:pBdr/>
              <w:shd w:val="clear" w:fill="auto"/>
              <w:spacing w:lineRule="auto" w:line="240" w:before="24" w:after="0"/>
              <w:ind w:hanging="0" w:start="0"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Cauca</w:t>
            </w:r>
          </w:p>
        </w:tc>
        <w:tc>
          <w:tcPr>
            <w:tcW w:w="926" w:type="dxa"/>
            <w:tcBorders/>
          </w:tcPr>
          <w:p>
            <w:pPr>
              <w:pStyle w:val="normal1"/>
              <w:keepNext w:val="false"/>
              <w:keepLines w:val="false"/>
              <w:widowControl w:val="false"/>
              <w:pBdr/>
              <w:shd w:val="clear" w:fill="auto"/>
              <w:spacing w:lineRule="auto" w:line="240" w:before="24"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p>
        </w:tc>
        <w:tc>
          <w:tcPr>
            <w:tcW w:w="1318" w:type="dxa"/>
            <w:tcBorders/>
          </w:tcPr>
          <w:p>
            <w:pPr>
              <w:pStyle w:val="normal1"/>
              <w:keepNext w:val="false"/>
              <w:keepLines w:val="false"/>
              <w:widowControl w:val="false"/>
              <w:pBdr/>
              <w:shd w:val="clear" w:fill="auto"/>
              <w:spacing w:lineRule="auto" w:line="240" w:before="24"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0731148</w:t>
            </w:r>
          </w:p>
        </w:tc>
        <w:tc>
          <w:tcPr>
            <w:tcW w:w="1161" w:type="dxa"/>
            <w:tcBorders/>
          </w:tcPr>
          <w:p>
            <w:pPr>
              <w:pStyle w:val="normal1"/>
              <w:keepNext w:val="false"/>
              <w:keepLines w:val="false"/>
              <w:widowControl w:val="false"/>
              <w:pBdr/>
              <w:shd w:val="clear" w:fill="auto"/>
              <w:spacing w:lineRule="auto" w:line="240" w:before="24" w:after="0"/>
              <w:ind w:hanging="0" w:start="0" w:end="2"/>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1184392</w:t>
            </w:r>
          </w:p>
        </w:tc>
        <w:tc>
          <w:tcPr>
            <w:tcW w:w="963" w:type="dxa"/>
            <w:tcBorders/>
          </w:tcPr>
          <w:p>
            <w:pPr>
              <w:pStyle w:val="normal1"/>
              <w:keepNext w:val="false"/>
              <w:keepLines w:val="false"/>
              <w:widowControl w:val="false"/>
              <w:pBdr/>
              <w:shd w:val="clear" w:fill="auto"/>
              <w:spacing w:lineRule="auto" w:line="240" w:before="24" w:after="0"/>
              <w:ind w:hanging="0" w:start="1"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0475954</w:t>
            </w:r>
          </w:p>
        </w:tc>
        <w:tc>
          <w:tcPr>
            <w:tcW w:w="1488" w:type="dxa"/>
            <w:tcBorders/>
          </w:tcPr>
          <w:p>
            <w:pPr>
              <w:pStyle w:val="normal1"/>
              <w:keepNext w:val="false"/>
              <w:keepLines w:val="false"/>
              <w:widowControl w:val="false"/>
              <w:pBdr/>
              <w:shd w:val="clear" w:fill="auto"/>
              <w:spacing w:lineRule="auto" w:line="240" w:before="24" w:after="0"/>
              <w:ind w:hanging="0" w:start="0"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0786611</w:t>
            </w:r>
          </w:p>
        </w:tc>
      </w:tr>
      <w:tr>
        <w:trPr>
          <w:trHeight w:val="229" w:hRule="atLeast"/>
        </w:trPr>
        <w:tc>
          <w:tcPr>
            <w:tcW w:w="969" w:type="dxa"/>
            <w:tcBorders>
              <w:bottom w:val="single" w:sz="8" w:space="0" w:color="000000"/>
            </w:tcBorders>
          </w:tcPr>
          <w:p>
            <w:pPr>
              <w:pStyle w:val="normal1"/>
              <w:keepNext w:val="false"/>
              <w:keepLines w:val="false"/>
              <w:widowControl w:val="false"/>
              <w:pBdr/>
              <w:shd w:val="clear" w:fill="auto"/>
              <w:spacing w:lineRule="auto" w:line="185" w:before="24" w:after="0"/>
              <w:ind w:hanging="0" w:start="0"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Magdalena</w:t>
            </w:r>
          </w:p>
        </w:tc>
        <w:tc>
          <w:tcPr>
            <w:tcW w:w="926" w:type="dxa"/>
            <w:tcBorders>
              <w:bottom w:val="single" w:sz="8" w:space="0" w:color="000000"/>
            </w:tcBorders>
          </w:tcPr>
          <w:p>
            <w:pPr>
              <w:pStyle w:val="normal1"/>
              <w:keepNext w:val="false"/>
              <w:keepLines w:val="false"/>
              <w:widowControl w:val="false"/>
              <w:pBdr/>
              <w:shd w:val="clear" w:fill="auto"/>
              <w:spacing w:lineRule="auto" w:line="185" w:before="24"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p>
        </w:tc>
        <w:tc>
          <w:tcPr>
            <w:tcW w:w="1318" w:type="dxa"/>
            <w:tcBorders>
              <w:bottom w:val="single" w:sz="8" w:space="0" w:color="000000"/>
            </w:tcBorders>
          </w:tcPr>
          <w:p>
            <w:pPr>
              <w:pStyle w:val="normal1"/>
              <w:keepNext w:val="false"/>
              <w:keepLines w:val="false"/>
              <w:widowControl w:val="false"/>
              <w:pBdr/>
              <w:shd w:val="clear" w:fill="auto"/>
              <w:spacing w:lineRule="auto" w:line="185" w:before="24"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0434983</w:t>
            </w:r>
          </w:p>
        </w:tc>
        <w:tc>
          <w:tcPr>
            <w:tcW w:w="1161" w:type="dxa"/>
            <w:tcBorders>
              <w:bottom w:val="single" w:sz="8" w:space="0" w:color="000000"/>
            </w:tcBorders>
          </w:tcPr>
          <w:p>
            <w:pPr>
              <w:pStyle w:val="normal1"/>
              <w:keepNext w:val="false"/>
              <w:keepLines w:val="false"/>
              <w:widowControl w:val="false"/>
              <w:pBdr/>
              <w:shd w:val="clear" w:fill="auto"/>
              <w:spacing w:lineRule="auto" w:line="185" w:before="24" w:after="0"/>
              <w:ind w:hanging="0" w:start="0" w:end="2"/>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1330732</w:t>
            </w:r>
          </w:p>
        </w:tc>
        <w:tc>
          <w:tcPr>
            <w:tcW w:w="963" w:type="dxa"/>
            <w:tcBorders>
              <w:bottom w:val="single" w:sz="8" w:space="0" w:color="000000"/>
            </w:tcBorders>
          </w:tcPr>
          <w:p>
            <w:pPr>
              <w:pStyle w:val="normal1"/>
              <w:keepNext w:val="false"/>
              <w:keepLines w:val="false"/>
              <w:widowControl w:val="false"/>
              <w:pBdr/>
              <w:shd w:val="clear" w:fill="auto"/>
              <w:spacing w:lineRule="auto" w:line="185" w:before="24" w:after="0"/>
              <w:ind w:hanging="0" w:start="1"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0649104</w:t>
            </w:r>
          </w:p>
        </w:tc>
        <w:tc>
          <w:tcPr>
            <w:tcW w:w="1488" w:type="dxa"/>
            <w:tcBorders>
              <w:bottom w:val="single" w:sz="8" w:space="0" w:color="000000"/>
            </w:tcBorders>
          </w:tcPr>
          <w:p>
            <w:pPr>
              <w:pStyle w:val="normal1"/>
              <w:keepNext w:val="false"/>
              <w:keepLines w:val="false"/>
              <w:widowControl w:val="false"/>
              <w:pBdr/>
              <w:shd w:val="clear" w:fill="auto"/>
              <w:spacing w:lineRule="auto" w:line="185" w:before="24" w:after="0"/>
              <w:ind w:hanging="0" w:start="0"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6003614</w:t>
            </w:r>
          </w:p>
        </w:tc>
      </w:tr>
    </w:tbl>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6"/>
          <w:sz w:val="16"/>
          <w:szCs w:val="16"/>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Heading1"/>
        <w:tabs>
          <w:tab w:val="clear" w:pos="720"/>
          <w:tab w:val="left" w:pos="8414" w:leader="none"/>
        </w:tabs>
        <w:spacing w:lineRule="auto" w:line="240" w:before="9" w:after="0"/>
        <w:ind w:firstLine="113" w:start="113"/>
        <w:rPr/>
      </w:pPr>
      <w:r>
        <w:rPr/>
      </w:r>
    </w:p>
    <w:p>
      <w:pPr>
        <w:pStyle w:val="normal1"/>
        <w:tabs>
          <w:tab w:val="clear" w:pos="720"/>
          <w:tab w:val="left" w:pos="8414" w:leader="none"/>
        </w:tabs>
        <w:spacing w:lineRule="auto" w:line="240" w:before="9" w:after="0"/>
        <w:ind w:hanging="0" w:start="113"/>
        <w:jc w:val="both"/>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t>La tabla 4 muestra los coeficientes de los efectos aleatorios para cada una de la</w:t>
      </w:r>
      <w:r>
        <w:rPr>
          <w:rFonts w:eastAsia="Times New Roman" w:cs="Times New Roman" w:ascii="Times New Roman" w:hAnsi="Times New Roman"/>
          <w:sz w:val="20"/>
          <w:szCs w:val="20"/>
        </w:rPr>
        <w:t xml:space="preserve">s regiones definidas utilizando el método de agrupamiento. En el grupo A, el relieve medio presenta un coeficiente positivo significativo, lo cual sugiere que las zonas con mayor relieve son más susceptibles a movimientos en masa; la lluvia anual tiene un efecto mínimo y positivo sobre la susceptibilidad, mientras que la elevación media tiene un efecto negativo. Para el grupo B, la elevación media y el relieve medio se comportan de manera opuesta con respecto al grupo A, y la lluvia anual posee un coeficiente negativo leve, sugiriendo una pequeña reducción en la susceptibilidad. En el grupo C, los coeficientes son relativamente pequeños para todas las variables, por lo </w:t>
      </w:r>
      <w:r>
        <w:rPr>
          <w:rFonts w:eastAsia="Times New Roman" w:cs="Times New Roman" w:ascii="Times New Roman" w:hAnsi="Times New Roman"/>
          <w:color w:val="000000"/>
          <w:sz w:val="20"/>
          <w:szCs w:val="20"/>
        </w:rPr>
        <w:t>que el efecto de todas estas variables en la susceptibilidad es bajo; lo mismo ocurre para el grupo D.</w:t>
      </w:r>
    </w:p>
    <w:p>
      <w:pPr>
        <w:pStyle w:val="normal1"/>
        <w:tabs>
          <w:tab w:val="clear" w:pos="720"/>
          <w:tab w:val="left" w:pos="8414" w:leader="none"/>
        </w:tabs>
        <w:spacing w:lineRule="auto" w:line="240" w:before="9" w:after="0"/>
        <w:ind w:hanging="0" w:start="113"/>
        <w:jc w:val="both"/>
        <w:rPr/>
      </w:pPr>
      <w:r>
        <w:rPr>
          <w:rFonts w:eastAsia="Times New Roman" w:cs="Times New Roman" w:ascii="Times New Roman" w:hAnsi="Times New Roman"/>
          <w:color w:val="000000"/>
          <w:sz w:val="20"/>
          <w:szCs w:val="20"/>
        </w:rPr>
        <w:tab/>
      </w:r>
      <w:bookmarkStart w:id="15" w:name="bookmark=id.fge1be6trp87"/>
    </w:p>
    <w:p>
      <w:pPr>
        <w:pStyle w:val="Heading1"/>
        <w:tabs>
          <w:tab w:val="clear" w:pos="720"/>
          <w:tab w:val="left" w:pos="8414" w:leader="none"/>
        </w:tabs>
        <w:spacing w:lineRule="auto" w:line="240" w:before="9" w:after="0"/>
        <w:ind w:firstLine="113" w:start="113"/>
        <w:rPr/>
      </w:pPr>
      <w:bookmarkEnd w:id="15"/>
      <w:r>
        <w:rPr>
          <w:b/>
          <w:bCs/>
        </w:rPr>
        <w:t xml:space="preserve">Tabla 4. </w:t>
      </w:r>
      <w:r>
        <w:rPr/>
        <w:t>Efectos aleatorios para regiones por grupos. Los coeficientes para cada grupo muestran la variabilidad en el efecto de las variables predictoras en el modelo multinivel.</w:t>
      </w:r>
    </w:p>
    <w:p>
      <w:pPr>
        <w:pStyle w:val="normal1"/>
        <w:keepNext w:val="false"/>
        <w:keepLines w:val="false"/>
        <w:pageBreakBefore w:val="false"/>
        <w:widowControl w:val="false"/>
        <w:pBdr/>
        <w:shd w:val="clear" w:fill="auto"/>
        <w:spacing w:lineRule="auto" w:line="240" w:before="8"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19"/>
          <w:sz w:val="19"/>
          <w:szCs w:val="19"/>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9"/>
          <w:sz w:val="19"/>
          <w:szCs w:val="19"/>
          <w:u w:val="none"/>
          <w:shd w:fill="auto" w:val="clear"/>
          <w:vertAlign w:val="baseline"/>
        </w:rPr>
      </w:r>
    </w:p>
    <w:tbl>
      <w:tblPr>
        <w:tblStyle w:val="Table4"/>
        <w:tblW w:w="6472" w:type="dxa"/>
        <w:jc w:val="start"/>
        <w:tblInd w:w="912" w:type="dxa"/>
        <w:tblLayout w:type="fixed"/>
        <w:tblCellMar>
          <w:top w:w="0" w:type="dxa"/>
          <w:start w:w="108" w:type="dxa"/>
          <w:bottom w:w="0" w:type="dxa"/>
          <w:end w:w="108" w:type="dxa"/>
        </w:tblCellMar>
        <w:tblLook w:val="0000"/>
      </w:tblPr>
      <w:tblGrid>
        <w:gridCol w:w="616"/>
        <w:gridCol w:w="926"/>
        <w:gridCol w:w="1317"/>
        <w:gridCol w:w="1162"/>
        <w:gridCol w:w="963"/>
        <w:gridCol w:w="1488"/>
      </w:tblGrid>
      <w:tr>
        <w:trPr>
          <w:trHeight w:val="253" w:hRule="atLeast"/>
        </w:trPr>
        <w:tc>
          <w:tcPr>
            <w:tcW w:w="616"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0" w:end="0"/>
              <w:jc w:val="center"/>
              <w:rPr>
                <w:rFonts w:ascii="Trebuchet MS" w:hAnsi="Trebuchet MS" w:eastAsia="Trebuchet MS" w:cs="Trebuchet MS"/>
                <w:b/>
                <w:bCs/>
                <w:i w:val="false"/>
                <w:i w:val="false"/>
                <w:iCs w:val="false"/>
                <w:caps w:val="false"/>
                <w:smallCaps w:val="false"/>
                <w:strike w:val="false"/>
                <w:dstrike w:val="false"/>
                <w:color w:val="000000"/>
                <w:position w:val="0"/>
                <w:sz w:val="22"/>
                <w:sz w:val="22"/>
                <w:szCs w:val="22"/>
                <w:u w:val="none"/>
                <w:shd w:fill="auto" w:val="clear"/>
                <w:vertAlign w:val="baseline"/>
              </w:rPr>
            </w:pPr>
            <w:bookmarkStart w:id="16" w:name="_heading=h.7jpsfmozb2y0"/>
            <w:bookmarkEnd w:id="16"/>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Región</w:t>
            </w:r>
          </w:p>
        </w:tc>
        <w:tc>
          <w:tcPr>
            <w:tcW w:w="926"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0" w:end="1"/>
              <w:jc w:val="center"/>
              <w:rPr>
                <w:rFonts w:ascii="Trebuchet MS" w:hAnsi="Trebuchet MS" w:eastAsia="Trebuchet MS" w:cs="Trebuchet MS"/>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Intercepto</w:t>
            </w:r>
          </w:p>
        </w:tc>
        <w:tc>
          <w:tcPr>
            <w:tcW w:w="1317"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0" w:end="1"/>
              <w:jc w:val="center"/>
              <w:rPr>
                <w:rFonts w:ascii="Trebuchet MS" w:hAnsi="Trebuchet MS" w:eastAsia="Trebuchet MS" w:cs="Trebuchet MS"/>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Elevación</w:t>
            </w:r>
          </w:p>
        </w:tc>
        <w:tc>
          <w:tcPr>
            <w:tcW w:w="1162"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0" w:end="2"/>
              <w:jc w:val="center"/>
              <w:rPr>
                <w:rFonts w:ascii="Trebuchet MS" w:hAnsi="Trebuchet MS" w:eastAsia="Trebuchet MS" w:cs="Trebuchet MS"/>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Relieve</w:t>
            </w:r>
          </w:p>
        </w:tc>
        <w:tc>
          <w:tcPr>
            <w:tcW w:w="963"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0" w:end="4"/>
              <w:jc w:val="center"/>
              <w:rPr>
                <w:rFonts w:ascii="Trebuchet MS" w:hAnsi="Trebuchet MS" w:eastAsia="Trebuchet MS" w:cs="Trebuchet MS"/>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Área subcuenca</w:t>
            </w:r>
          </w:p>
        </w:tc>
        <w:tc>
          <w:tcPr>
            <w:tcW w:w="1488" w:type="dxa"/>
            <w:tcBorders>
              <w:top w:val="single" w:sz="8" w:space="0" w:color="000000"/>
              <w:bottom w:val="single" w:sz="4" w:space="0" w:color="000000"/>
            </w:tcBorders>
          </w:tcPr>
          <w:p>
            <w:pPr>
              <w:pStyle w:val="normal1"/>
              <w:keepNext w:val="false"/>
              <w:keepLines w:val="false"/>
              <w:widowControl w:val="false"/>
              <w:pBdr/>
              <w:shd w:val="clear" w:fill="auto"/>
              <w:spacing w:lineRule="auto" w:line="240" w:before="44" w:after="0"/>
              <w:ind w:hanging="0" w:start="0" w:end="4"/>
              <w:jc w:val="center"/>
              <w:rPr>
                <w:rFonts w:ascii="Trebuchet MS" w:hAnsi="Trebuchet MS" w:eastAsia="Trebuchet MS" w:cs="Trebuchet MS"/>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bCs/>
                <w:i w:val="false"/>
                <w:iCs w:val="false"/>
                <w:caps w:val="false"/>
                <w:smallCaps w:val="false"/>
                <w:strike w:val="false"/>
                <w:dstrike w:val="false"/>
                <w:color w:val="000000"/>
                <w:position w:val="0"/>
                <w:sz w:val="16"/>
                <w:sz w:val="16"/>
                <w:szCs w:val="16"/>
                <w:u w:val="none"/>
                <w:shd w:fill="auto" w:val="clear"/>
                <w:vertAlign w:val="baseline"/>
              </w:rPr>
              <w:t>Precipitación anual</w:t>
            </w:r>
          </w:p>
        </w:tc>
      </w:tr>
      <w:tr>
        <w:trPr>
          <w:trHeight w:val="273" w:hRule="atLeast"/>
        </w:trPr>
        <w:tc>
          <w:tcPr>
            <w:tcW w:w="616"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A</w:t>
            </w:r>
          </w:p>
        </w:tc>
        <w:tc>
          <w:tcPr>
            <w:tcW w:w="926"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p>
        </w:tc>
        <w:tc>
          <w:tcPr>
            <w:tcW w:w="1317"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0324473</w:t>
            </w:r>
          </w:p>
        </w:tc>
        <w:tc>
          <w:tcPr>
            <w:tcW w:w="1162"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2"/>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3944349</w:t>
            </w:r>
          </w:p>
        </w:tc>
        <w:tc>
          <w:tcPr>
            <w:tcW w:w="963"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7375476</w:t>
            </w:r>
          </w:p>
        </w:tc>
        <w:tc>
          <w:tcPr>
            <w:tcW w:w="1488" w:type="dxa"/>
            <w:tcBorders>
              <w:top w:val="single" w:sz="4" w:space="0" w:color="000000"/>
            </w:tcBorders>
          </w:tcPr>
          <w:p>
            <w:pPr>
              <w:pStyle w:val="normal1"/>
              <w:keepNext w:val="false"/>
              <w:keepLines w:val="false"/>
              <w:widowControl w:val="false"/>
              <w:pBdr/>
              <w:shd w:val="clear" w:fill="auto"/>
              <w:spacing w:lineRule="auto" w:line="240" w:before="46" w:after="0"/>
              <w:ind w:hanging="0" w:start="0"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0328496</w:t>
            </w:r>
          </w:p>
        </w:tc>
      </w:tr>
      <w:tr>
        <w:trPr>
          <w:trHeight w:val="253" w:hRule="atLeast"/>
        </w:trPr>
        <w:tc>
          <w:tcPr>
            <w:tcW w:w="616" w:type="dxa"/>
            <w:tcBorders/>
          </w:tcPr>
          <w:p>
            <w:pPr>
              <w:pStyle w:val="normal1"/>
              <w:keepNext w:val="false"/>
              <w:keepLines w:val="false"/>
              <w:widowControl w:val="false"/>
              <w:pBdr/>
              <w:shd w:val="clear" w:fill="auto"/>
              <w:spacing w:lineRule="auto" w:line="240" w:before="24" w:after="0"/>
              <w:ind w:hanging="0" w:start="0"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B</w:t>
            </w:r>
          </w:p>
        </w:tc>
        <w:tc>
          <w:tcPr>
            <w:tcW w:w="926" w:type="dxa"/>
            <w:tcBorders/>
          </w:tcPr>
          <w:p>
            <w:pPr>
              <w:pStyle w:val="normal1"/>
              <w:keepNext w:val="false"/>
              <w:keepLines w:val="false"/>
              <w:widowControl w:val="false"/>
              <w:pBdr/>
              <w:shd w:val="clear" w:fill="auto"/>
              <w:spacing w:lineRule="auto" w:line="240" w:before="24"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p>
        </w:tc>
        <w:tc>
          <w:tcPr>
            <w:tcW w:w="1317" w:type="dxa"/>
            <w:tcBorders/>
          </w:tcPr>
          <w:p>
            <w:pPr>
              <w:pStyle w:val="normal1"/>
              <w:keepNext w:val="false"/>
              <w:keepLines w:val="false"/>
              <w:widowControl w:val="false"/>
              <w:pBdr/>
              <w:shd w:val="clear" w:fill="auto"/>
              <w:spacing w:lineRule="auto" w:line="240" w:before="24"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0316389</w:t>
            </w:r>
          </w:p>
        </w:tc>
        <w:tc>
          <w:tcPr>
            <w:tcW w:w="1162" w:type="dxa"/>
            <w:tcBorders/>
          </w:tcPr>
          <w:p>
            <w:pPr>
              <w:pStyle w:val="normal1"/>
              <w:keepNext w:val="false"/>
              <w:keepLines w:val="false"/>
              <w:widowControl w:val="false"/>
              <w:pBdr/>
              <w:shd w:val="clear" w:fill="auto"/>
              <w:spacing w:lineRule="auto" w:line="240" w:before="24" w:after="0"/>
              <w:ind w:hanging="0" w:start="0" w:end="2"/>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3846077</w:t>
            </w:r>
          </w:p>
        </w:tc>
        <w:tc>
          <w:tcPr>
            <w:tcW w:w="963" w:type="dxa"/>
            <w:tcBorders/>
          </w:tcPr>
          <w:p>
            <w:pPr>
              <w:pStyle w:val="normal1"/>
              <w:keepNext w:val="false"/>
              <w:keepLines w:val="false"/>
              <w:widowControl w:val="false"/>
              <w:pBdr/>
              <w:shd w:val="clear" w:fill="auto"/>
              <w:spacing w:lineRule="auto" w:line="240" w:before="24" w:after="0"/>
              <w:ind w:hanging="0" w:start="0"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7191720</w:t>
            </w:r>
          </w:p>
        </w:tc>
        <w:tc>
          <w:tcPr>
            <w:tcW w:w="1488" w:type="dxa"/>
            <w:tcBorders/>
          </w:tcPr>
          <w:p>
            <w:pPr>
              <w:pStyle w:val="normal1"/>
              <w:keepNext w:val="false"/>
              <w:keepLines w:val="false"/>
              <w:widowControl w:val="false"/>
              <w:pBdr/>
              <w:shd w:val="clear" w:fill="auto"/>
              <w:spacing w:lineRule="auto" w:line="240" w:before="24" w:after="0"/>
              <w:ind w:hanging="0" w:start="0"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0320312</w:t>
            </w:r>
          </w:p>
        </w:tc>
      </w:tr>
      <w:tr>
        <w:trPr>
          <w:trHeight w:val="253" w:hRule="atLeast"/>
        </w:trPr>
        <w:tc>
          <w:tcPr>
            <w:tcW w:w="616" w:type="dxa"/>
            <w:tcBorders/>
          </w:tcPr>
          <w:p>
            <w:pPr>
              <w:pStyle w:val="normal1"/>
              <w:keepNext w:val="false"/>
              <w:keepLines w:val="false"/>
              <w:widowControl w:val="false"/>
              <w:pBdr/>
              <w:shd w:val="clear" w:fill="auto"/>
              <w:spacing w:lineRule="auto" w:line="240" w:before="24" w:after="0"/>
              <w:ind w:hanging="0" w:start="0"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C</w:t>
            </w:r>
          </w:p>
        </w:tc>
        <w:tc>
          <w:tcPr>
            <w:tcW w:w="926" w:type="dxa"/>
            <w:tcBorders/>
          </w:tcPr>
          <w:p>
            <w:pPr>
              <w:pStyle w:val="normal1"/>
              <w:keepNext w:val="false"/>
              <w:keepLines w:val="false"/>
              <w:widowControl w:val="false"/>
              <w:pBdr/>
              <w:shd w:val="clear" w:fill="auto"/>
              <w:spacing w:lineRule="auto" w:line="240" w:before="24"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p>
        </w:tc>
        <w:tc>
          <w:tcPr>
            <w:tcW w:w="1317" w:type="dxa"/>
            <w:tcBorders/>
          </w:tcPr>
          <w:p>
            <w:pPr>
              <w:pStyle w:val="normal1"/>
              <w:keepNext w:val="false"/>
              <w:keepLines w:val="false"/>
              <w:widowControl w:val="false"/>
              <w:pBdr/>
              <w:shd w:val="clear" w:fill="auto"/>
              <w:spacing w:lineRule="auto" w:line="240" w:before="24"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0051221</w:t>
            </w:r>
          </w:p>
        </w:tc>
        <w:tc>
          <w:tcPr>
            <w:tcW w:w="1162" w:type="dxa"/>
            <w:tcBorders/>
          </w:tcPr>
          <w:p>
            <w:pPr>
              <w:pStyle w:val="normal1"/>
              <w:keepNext w:val="false"/>
              <w:keepLines w:val="false"/>
              <w:widowControl w:val="false"/>
              <w:pBdr/>
              <w:shd w:val="clear" w:fill="auto"/>
              <w:spacing w:lineRule="auto" w:line="240" w:before="24" w:after="0"/>
              <w:ind w:hanging="0" w:start="0" w:end="2"/>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0622649</w:t>
            </w:r>
          </w:p>
        </w:tc>
        <w:tc>
          <w:tcPr>
            <w:tcW w:w="963" w:type="dxa"/>
            <w:tcBorders/>
          </w:tcPr>
          <w:p>
            <w:pPr>
              <w:pStyle w:val="normal1"/>
              <w:keepNext w:val="false"/>
              <w:keepLines w:val="false"/>
              <w:widowControl w:val="false"/>
              <w:pBdr/>
              <w:shd w:val="clear" w:fill="auto"/>
              <w:spacing w:lineRule="auto" w:line="240" w:before="24" w:after="0"/>
              <w:ind w:hanging="0" w:start="0"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1164282</w:t>
            </w:r>
          </w:p>
        </w:tc>
        <w:tc>
          <w:tcPr>
            <w:tcW w:w="1488" w:type="dxa"/>
            <w:tcBorders/>
          </w:tcPr>
          <w:p>
            <w:pPr>
              <w:pStyle w:val="normal1"/>
              <w:keepNext w:val="false"/>
              <w:keepLines w:val="false"/>
              <w:widowControl w:val="false"/>
              <w:pBdr/>
              <w:shd w:val="clear" w:fill="auto"/>
              <w:spacing w:lineRule="auto" w:line="240" w:before="24" w:after="0"/>
              <w:ind w:hanging="0" w:start="0"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0051856</w:t>
            </w:r>
          </w:p>
        </w:tc>
      </w:tr>
      <w:tr>
        <w:trPr>
          <w:trHeight w:val="229" w:hRule="atLeast"/>
        </w:trPr>
        <w:tc>
          <w:tcPr>
            <w:tcW w:w="616" w:type="dxa"/>
            <w:tcBorders>
              <w:bottom w:val="single" w:sz="8" w:space="0" w:color="000000"/>
            </w:tcBorders>
          </w:tcPr>
          <w:p>
            <w:pPr>
              <w:pStyle w:val="normal1"/>
              <w:keepNext w:val="false"/>
              <w:keepLines w:val="false"/>
              <w:widowControl w:val="false"/>
              <w:pBdr/>
              <w:shd w:val="clear" w:fill="auto"/>
              <w:spacing w:lineRule="auto" w:line="185" w:before="24" w:after="0"/>
              <w:ind w:hanging="0" w:start="0" w:end="0"/>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D</w:t>
            </w:r>
          </w:p>
        </w:tc>
        <w:tc>
          <w:tcPr>
            <w:tcW w:w="926" w:type="dxa"/>
            <w:tcBorders>
              <w:bottom w:val="single" w:sz="8" w:space="0" w:color="000000"/>
            </w:tcBorders>
          </w:tcPr>
          <w:p>
            <w:pPr>
              <w:pStyle w:val="normal1"/>
              <w:keepNext w:val="false"/>
              <w:keepLines w:val="false"/>
              <w:widowControl w:val="false"/>
              <w:pBdr/>
              <w:shd w:val="clear" w:fill="auto"/>
              <w:spacing w:lineRule="auto" w:line="185" w:before="24"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p>
        </w:tc>
        <w:tc>
          <w:tcPr>
            <w:tcW w:w="1317" w:type="dxa"/>
            <w:tcBorders>
              <w:bottom w:val="single" w:sz="8" w:space="0" w:color="000000"/>
            </w:tcBorders>
          </w:tcPr>
          <w:p>
            <w:pPr>
              <w:pStyle w:val="normal1"/>
              <w:keepNext w:val="false"/>
              <w:keepLines w:val="false"/>
              <w:widowControl w:val="false"/>
              <w:pBdr/>
              <w:shd w:val="clear" w:fill="auto"/>
              <w:spacing w:lineRule="auto" w:line="185" w:before="24" w:after="0"/>
              <w:ind w:hanging="0" w:start="0" w:end="1"/>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0034080</w:t>
            </w:r>
          </w:p>
        </w:tc>
        <w:tc>
          <w:tcPr>
            <w:tcW w:w="1162" w:type="dxa"/>
            <w:tcBorders>
              <w:bottom w:val="single" w:sz="8" w:space="0" w:color="000000"/>
            </w:tcBorders>
          </w:tcPr>
          <w:p>
            <w:pPr>
              <w:pStyle w:val="normal1"/>
              <w:keepNext w:val="false"/>
              <w:keepLines w:val="false"/>
              <w:widowControl w:val="false"/>
              <w:pBdr/>
              <w:shd w:val="clear" w:fill="auto"/>
              <w:spacing w:lineRule="auto" w:line="185" w:before="24" w:after="0"/>
              <w:ind w:hanging="0" w:start="0" w:end="2"/>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0414280</w:t>
            </w:r>
          </w:p>
        </w:tc>
        <w:tc>
          <w:tcPr>
            <w:tcW w:w="963" w:type="dxa"/>
            <w:tcBorders>
              <w:bottom w:val="single" w:sz="8" w:space="0" w:color="000000"/>
            </w:tcBorders>
          </w:tcPr>
          <w:p>
            <w:pPr>
              <w:pStyle w:val="normal1"/>
              <w:keepNext w:val="false"/>
              <w:keepLines w:val="false"/>
              <w:widowControl w:val="false"/>
              <w:pBdr/>
              <w:shd w:val="clear" w:fill="auto"/>
              <w:spacing w:lineRule="auto" w:line="185" w:before="24" w:after="0"/>
              <w:ind w:hanging="0" w:start="0"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0774655</w:t>
            </w:r>
          </w:p>
        </w:tc>
        <w:tc>
          <w:tcPr>
            <w:tcW w:w="1488" w:type="dxa"/>
            <w:tcBorders>
              <w:bottom w:val="single" w:sz="8" w:space="0" w:color="000000"/>
            </w:tcBorders>
          </w:tcPr>
          <w:p>
            <w:pPr>
              <w:pStyle w:val="normal1"/>
              <w:keepNext w:val="false"/>
              <w:keepLines w:val="false"/>
              <w:widowControl w:val="false"/>
              <w:pBdr/>
              <w:shd w:val="clear" w:fill="auto"/>
              <w:spacing w:lineRule="auto" w:line="185" w:before="24" w:after="0"/>
              <w:ind w:hanging="0" w:start="0" w:end="4"/>
              <w:jc w:val="center"/>
              <w:rPr>
                <w:rFonts w:ascii="Trebuchet MS" w:hAnsi="Trebuchet MS" w:eastAsia="Trebuchet MS" w:cs="Trebuchet M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w:t>
            </w:r>
            <w:r>
              <w:rPr>
                <w:sz w:val="16"/>
                <w:szCs w:val="16"/>
              </w:rPr>
              <w:t>,</w:t>
            </w:r>
            <w:r>
              <w:rPr>
                <w:rFonts w:eastAsia="Trebuchet MS" w:cs="Trebuchet MS"/>
                <w:b w:val="false"/>
                <w:bCs w:val="false"/>
                <w:i w:val="false"/>
                <w:iCs w:val="false"/>
                <w:caps w:val="false"/>
                <w:smallCaps w:val="false"/>
                <w:strike w:val="false"/>
                <w:dstrike w:val="false"/>
                <w:color w:val="000000"/>
                <w:position w:val="0"/>
                <w:sz w:val="16"/>
                <w:sz w:val="16"/>
                <w:szCs w:val="16"/>
                <w:u w:val="none"/>
                <w:shd w:fill="auto" w:val="clear"/>
                <w:vertAlign w:val="baseline"/>
              </w:rPr>
              <w:t>0034502</w:t>
            </w:r>
          </w:p>
        </w:tc>
      </w:tr>
    </w:tbl>
    <w:p>
      <w:pPr>
        <w:pStyle w:val="Heading1"/>
        <w:tabs>
          <w:tab w:val="clear" w:pos="720"/>
          <w:tab w:val="left" w:pos="8414" w:leader="none"/>
        </w:tabs>
        <w:spacing w:lineRule="auto" w:line="240" w:before="9" w:after="0"/>
        <w:ind w:firstLine="113" w:start="113"/>
        <w:rPr/>
      </w:pPr>
      <w:r>
        <w:rPr/>
        <w:tab/>
      </w:r>
    </w:p>
    <w:p>
      <w:pPr>
        <w:pStyle w:val="Heading1"/>
        <w:tabs>
          <w:tab w:val="clear" w:pos="720"/>
          <w:tab w:val="left" w:pos="8414" w:leader="none"/>
        </w:tabs>
        <w:spacing w:lineRule="auto" w:line="240" w:before="9" w:after="0"/>
        <w:ind w:firstLine="113" w:start="113"/>
        <w:jc w:val="both"/>
        <w:rPr/>
      </w:pPr>
      <w:r>
        <w:rPr/>
      </w:r>
    </w:p>
    <w:p>
      <w:pPr>
        <w:pStyle w:val="Heading1"/>
        <w:tabs>
          <w:tab w:val="clear" w:pos="720"/>
          <w:tab w:val="left" w:pos="8414" w:leader="none"/>
        </w:tabs>
        <w:spacing w:lineRule="auto" w:line="240" w:before="9" w:after="0"/>
        <w:ind w:firstLine="113" w:start="113"/>
        <w:jc w:val="both"/>
        <w:rPr/>
      </w:pPr>
      <w:r>
        <w:rPr>
          <w:color w:val="000000"/>
        </w:rPr>
        <w:t>La figura 4 presenta las curvas ROC (</w:t>
      </w:r>
      <w:r>
        <w:rPr>
          <w:i/>
          <w:iCs/>
          <w:color w:val="000000"/>
        </w:rPr>
        <w:t>receiver operating characteristic curve</w:t>
      </w:r>
      <w:r>
        <w:rPr>
          <w:color w:val="000000"/>
        </w:rPr>
        <w:t>) para el modelo de regresión logística simple (azul) y los dos modelos multivariados de regresión logística con multiniveles. Tanto el modelo de cuencas (representado en color verde) como el modelo de clusterización (en color rojo) muestran un rendimiento predictivo superior al modelo simple, con valores de área bajo la curva (AUC) de 0,909 y 0,897, respectivamente. La proximidad de ambas curvas refleja una capacidad similar para predecir el resultado de la variable dependiente, aunque el modelo de cuencas presenta un leve incremento en su AUC, lo que sugiere un mejor desempeño predictivo. Es importante aclarar que estos valores elevados de AUC se refieren únicamente a la capacidad del modelo para discriminar entre subcuencas con presencia y ausencia de movimientos en masa conforme al planteamiento de un modelo logístico binario. Dado que el análisis se realiza a nivel de unidad hidrográfica, no implica necesariamente un alto nivel de precisión espacial como sí ocurriría, por ejemplo, con modelos a escala de ladera. Este tipo de modelado debe, por lo tanto, entenderse como una aproximación regional inicial, de utilidad para identificar patrones generales (regionales) de susceptibilidad sin sustituir análisis detallados a escala de ladera.</w:t>
      </w:r>
    </w:p>
    <w:p>
      <w:pPr>
        <w:pStyle w:val="Heading1"/>
        <w:tabs>
          <w:tab w:val="clear" w:pos="720"/>
          <w:tab w:val="left" w:pos="8414" w:leader="none"/>
        </w:tabs>
        <w:spacing w:lineRule="auto" w:line="240" w:before="9" w:after="0"/>
        <w:ind w:firstLine="113" w:start="113"/>
        <w:rPr/>
      </w:pPr>
      <w:r>
        <w:rPr/>
      </w:r>
    </w:p>
    <w:p>
      <w:pPr>
        <w:pStyle w:val="Heading1"/>
        <w:tabs>
          <w:tab w:val="clear" w:pos="720"/>
          <w:tab w:val="left" w:pos="8414" w:leader="none"/>
        </w:tabs>
        <w:spacing w:lineRule="auto" w:line="240" w:before="9" w:after="0"/>
        <w:ind w:firstLine="113" w:start="113"/>
        <w:rPr/>
      </w:pPr>
      <w:r>
        <w:rPr/>
      </w:r>
    </w:p>
    <w:p>
      <w:pPr>
        <w:pStyle w:val="Heading1"/>
        <w:tabs>
          <w:tab w:val="clear" w:pos="720"/>
          <w:tab w:val="left" w:pos="8414" w:leader="none"/>
        </w:tabs>
        <w:spacing w:lineRule="auto" w:line="240" w:before="9" w:after="0"/>
        <w:ind w:firstLine="113" w:start="113"/>
        <w:rPr/>
      </w:pPr>
      <w:r>
        <w:rPr/>
      </w:r>
    </w:p>
    <w:p>
      <w:pPr>
        <w:pStyle w:val="Heading1"/>
        <w:tabs>
          <w:tab w:val="clear" w:pos="720"/>
          <w:tab w:val="left" w:pos="8414" w:leader="none"/>
        </w:tabs>
        <w:spacing w:lineRule="auto" w:line="240" w:before="9" w:after="0"/>
        <w:ind w:firstLine="113" w:start="113"/>
        <w:jc w:val="both"/>
        <w:rPr/>
      </w:pPr>
      <w:bookmarkStart w:id="17" w:name="_heading=h.gpzwtmhmk7au"/>
      <w:bookmarkEnd w:id="17"/>
      <w:sdt>
        <w:sdtPr>
          <w:tag w:val="goog_rdk_5"/>
          <w:id w:val="-422972902"/>
        </w:sdtPr>
        <w:sdtContent>
          <w:r>
            <w:rPr/>
          </w:r>
          <w:r>
            <w:rPr/>
          </w:r>
        </w:sdtContent>
      </w:sdt>
      <w:r>
        <w:rPr>
          <w:b/>
          <w:bCs/>
        </w:rPr>
        <w:t xml:space="preserve">Fig. 4. </w:t>
      </w:r>
      <w:r>
        <w:rPr/>
        <w:t xml:space="preserve">Curvas ROC </w:t>
      </w:r>
      <w:r>
        <w:rPr>
          <w:color w:val="000000"/>
        </w:rPr>
        <w:t>(</w:t>
      </w:r>
      <w:r>
        <w:rPr>
          <w:i/>
          <w:iCs/>
          <w:color w:val="000000"/>
        </w:rPr>
        <w:t>receiver operating characteristic curve</w:t>
      </w:r>
      <w:r>
        <w:rPr>
          <w:color w:val="000000"/>
        </w:rPr>
        <w:t>)</w:t>
      </w:r>
      <w:r>
        <w:rPr/>
        <w:t xml:space="preserve"> para los modelos de regresión logística simple (azul) y multinivel (verde, rojo). Cada curva muestra el rendimiento predictivo de cada modelo en términos de sensibilidad (verdadero positivo) frente a 1 – especificidad (falso positivo). Se incluyen los valores del área bajo la curva (AUC) para cada modelo.</w:t>
      </w:r>
    </w:p>
    <w:p>
      <w:pPr>
        <w:pStyle w:val="Heading1"/>
        <w:tabs>
          <w:tab w:val="clear" w:pos="720"/>
          <w:tab w:val="left" w:pos="8414" w:leader="none"/>
        </w:tabs>
        <w:spacing w:lineRule="auto" w:line="240" w:before="9" w:after="0"/>
        <w:ind w:firstLine="113" w:start="113"/>
        <w:rPr/>
      </w:pPr>
      <w:r>
        <w:rPr/>
      </w:r>
    </w:p>
    <w:p>
      <w:pPr>
        <w:pStyle w:val="Heading1"/>
        <w:tabs>
          <w:tab w:val="clear" w:pos="720"/>
          <w:tab w:val="left" w:pos="8414" w:leader="none"/>
        </w:tabs>
        <w:spacing w:lineRule="auto" w:line="240" w:before="9" w:after="0"/>
        <w:ind w:firstLine="113" w:start="113"/>
        <w:jc w:val="both"/>
        <w:rPr/>
      </w:pPr>
      <w:r>
        <w:rPr>
          <w:color w:val="000000"/>
        </w:rPr>
        <w:t>Tomando en consideración los resultados de la figura 4 y los valores de AUC, la distribución espacial de la susceptibilidad a movimientos en masa dentro del área de estudio se estimó utilizando el modelo de regresión logística multinivel con cuencas como regiones. La zona de alta susceptibilidad se presenta para el sector central, en cuencas con laderas de fuertes pendientes, alto relieve y procesos geomorfológicos activos. Los sectores este y noroeste presentan una susceptibilidad comparativamente menor, caracterizada por cuencas con pendientes más suaves y menor elevación, mientras que los menores valores de susceptibilidad se obtuvieron para los sectores noreste y suroeste. Es importante aclarar que valores bajos de susceptibilidad no implica necesariamente la ausencia de movimientos en masa, sino que refleja una menor probabilidad relativa de ocurrencia en comparación con otras zonas dentro del área de estudio.</w:t>
      </w:r>
    </w:p>
    <w:p>
      <w:pPr>
        <w:sectPr>
          <w:type w:val="continuous"/>
          <w:pgSz w:w="9978" w:h="14173"/>
          <w:pgMar w:left="850" w:right="720" w:gutter="0" w:header="0" w:top="800" w:footer="0" w:bottom="280"/>
          <w:lnNumType w:countBy="1" w:restart="continuous" w:distance="283"/>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121" w:after="1"/>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20"/>
          <w:sz w:val="20"/>
          <w:szCs w:val="20"/>
          <w:u w:val="none"/>
          <w:shd w:fill="auto" w:val="clear"/>
          <w:vertAlign w:val="baseline"/>
        </w:rPr>
      </w:r>
      <w:bookmarkStart w:id="18" w:name="_heading=h.li0ybfoa1ubr"/>
      <w:bookmarkStart w:id="19" w:name="_heading=h.li0ybfoa1ubr"/>
      <w:bookmarkEnd w:id="19"/>
    </w:p>
    <w:p>
      <w:pPr>
        <w:sectPr>
          <w:headerReference w:type="even" r:id="rId3"/>
          <w:headerReference w:type="default" r:id="rId4"/>
          <w:type w:val="nextPage"/>
          <w:pgSz w:w="9978" w:h="14173"/>
          <w:pgMar w:left="850" w:right="425" w:gutter="0" w:header="626" w:top="900" w:footer="0" w:bottom="280"/>
          <w:lnNumType w:countBy="1" w:restart="continuous" w:distance="283"/>
          <w:pgNumType w:fmt="decimal"/>
          <w:formProt w:val="false"/>
          <w:textDirection w:val="lrTb"/>
          <w:docGrid w:type="default" w:linePitch="100" w:charSpace="0"/>
        </w:sectPr>
        <w:pStyle w:val="Heading1"/>
        <w:tabs>
          <w:tab w:val="clear" w:pos="720"/>
          <w:tab w:val="left" w:pos="8414" w:leader="none"/>
        </w:tabs>
        <w:spacing w:lineRule="auto" w:line="240" w:before="9" w:after="0"/>
        <w:ind w:firstLine="113" w:start="113"/>
        <w:rPr/>
      </w:pPr>
      <w:bookmarkStart w:id="20" w:name="_heading=h.6nh0izio0wfk"/>
      <w:bookmarkEnd w:id="20"/>
      <w:sdt>
        <w:sdtPr>
          <w:tag w:val="goog_rdk_6"/>
          <w:id w:val="-1310355333"/>
        </w:sdtPr>
        <w:sdtContent>
          <w:r>
            <w:rPr/>
          </w:r>
          <w:r>
            <w:rPr/>
          </w:r>
        </w:sdtContent>
      </w:sdt>
      <w:r>
        <w:rPr>
          <w:b/>
          <w:bCs/>
        </w:rPr>
        <w:t xml:space="preserve">Fig. 5. </w:t>
      </w:r>
      <w:r>
        <w:rPr/>
        <w:t>Distribución espacial de la susceptibilidad a movimientos en masa en el área de estudio utilizando el modelo de regresión logística multinivel agrupada en cuencas hidrográficas (modelo ‘cuencas’). La susceptibilidad se expresa en una escala continua que varía desde muy baja (morado) hasta muy alta (rojo).</w:t>
        <w:tab/>
      </w:r>
      <w:r>
        <w:br w:type="page"/>
      </w:r>
    </w:p>
    <w:p>
      <w:pPr>
        <w:pStyle w:val="normal1"/>
        <w:keepNext w:val="false"/>
        <w:keepLines w:val="false"/>
        <w:pageBreakBefore w:val="false"/>
        <w:widowControl w:val="false"/>
        <w:numPr>
          <w:ilvl w:val="0"/>
          <w:numId w:val="1"/>
        </w:numPr>
        <w:pBdr/>
        <w:shd w:val="clear" w:fill="auto"/>
        <w:tabs>
          <w:tab w:val="clear" w:pos="720"/>
          <w:tab w:val="left" w:pos="397" w:leader="none"/>
          <w:tab w:val="left" w:pos="8414" w:leader="none"/>
        </w:tabs>
        <w:spacing w:lineRule="auto" w:line="240" w:before="425" w:after="0"/>
        <w:ind w:hanging="284" w:start="397" w:end="0"/>
        <w:jc w:val="start"/>
        <w:rPr>
          <w:rFonts w:ascii="Palatino Linotype" w:hAnsi="Palatino Linotype" w:eastAsia="Palatino Linotype" w:cs="Palatino Linotyp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sdt>
        <w:sdtPr>
          <w:tag w:val="goog_rdk_7"/>
          <w:id w:val="-1013454436"/>
        </w:sdtPr>
        <w:sdtContent>
          <w:r>
            <w:rPr/>
          </w:r>
          <w:r>
            <w:rPr/>
          </w:r>
        </w:sdtContent>
      </w:sdt>
      <w:r>
        <w:rPr>
          <w:rFonts w:eastAsia="Palatino Linotype" w:cs="Palatino Linotype" w:ascii="Palatino Linotype" w:hAnsi="Palatino Linotype"/>
          <w:b/>
          <w:bCs/>
          <w:i w:val="false"/>
          <w:iCs w:val="false"/>
          <w:caps w:val="false"/>
          <w:smallCaps w:val="false"/>
          <w:strike w:val="false"/>
          <w:dstrike w:val="false"/>
          <w:color w:val="00004C"/>
          <w:position w:val="0"/>
          <w:sz w:val="24"/>
          <w:sz w:val="24"/>
          <w:szCs w:val="24"/>
          <w:u w:val="none"/>
          <w:shd w:fill="auto" w:val="clear"/>
          <w:vertAlign w:val="baseline"/>
        </w:rPr>
        <w:t>Discusión</w:t>
      </w:r>
      <w:r>
        <w:rPr>
          <w:rFonts w:eastAsia="Times New Roman" w:cs="Times New Roman" w:ascii="Times New Roman" w:hAnsi="Times New Roman"/>
          <w:b w:val="false"/>
          <w:bCs w:val="false"/>
          <w:i w:val="false"/>
          <w:iCs w:val="false"/>
          <w:caps w:val="false"/>
          <w:smallCaps w:val="false"/>
          <w:strike w:val="false"/>
          <w:dstrike w:val="false"/>
          <w:color w:val="00004C"/>
          <w:position w:val="0"/>
          <w:sz w:val="24"/>
          <w:sz w:val="24"/>
          <w:szCs w:val="24"/>
          <w:u w:val="none"/>
          <w:shd w:fill="auto" w:val="clear"/>
          <w:vertAlign w:val="baseline"/>
        </w:rPr>
        <w:tab/>
      </w:r>
    </w:p>
    <w:p>
      <w:pPr>
        <w:pStyle w:val="Heading1"/>
        <w:tabs>
          <w:tab w:val="clear" w:pos="720"/>
          <w:tab w:val="left" w:pos="8414" w:leader="none"/>
        </w:tabs>
        <w:spacing w:lineRule="auto" w:line="240" w:before="217" w:after="0"/>
        <w:ind w:firstLine="113" w:start="113"/>
        <w:jc w:val="both"/>
        <w:rPr/>
      </w:pPr>
      <w:r>
        <w:rPr/>
        <w:t>La evolución de los modelos de regresión para evaluar la susceptibilidad a movimientos en masa ha avanzado considerablemente, evolucionando de modelos lineales tradicionales a la familia de Modelos Lineales Generalizados (GLM) (</w:t>
      </w:r>
      <w:sdt>
        <w:sdtPr>
          <w:tag w:val="goog_rdk_8"/>
          <w:id w:val="-807268935"/>
        </w:sdtPr>
        <w:sdtContent>
          <w:r>
            <w:rPr/>
          </w:r>
          <w:r>
            <w:rPr/>
          </w:r>
        </w:sdtContent>
      </w:sdt>
      <w:r>
        <w:rPr/>
        <w:t xml:space="preserve">Fox, </w:t>
      </w:r>
      <w:hyperlink w:anchor="_heading=h.yupxwiemxctu">
        <w:r>
          <w:rPr>
            <w:rStyle w:val="Style3"/>
            <w:color w:val="00004C"/>
          </w:rPr>
          <w:t>2015</w:t>
        </w:r>
      </w:hyperlink>
      <w:r>
        <w:rPr>
          <w:color w:val="00004C"/>
        </w:rPr>
        <w:t>;</w:t>
      </w:r>
      <w:r>
        <w:rPr>
          <w:rFonts w:eastAsia="Times New Roman" w:cs="Times New Roman"/>
          <w:sz w:val="20"/>
          <w:szCs w:val="20"/>
        </w:rPr>
        <w:t xml:space="preserve"> Chen et al., 2019; Patané et al., 2025). Esta últim</w:t>
      </w:r>
      <w:r>
        <w:rPr/>
        <w:t xml:space="preserve">a incluye funciones de enlace empleadas en regresión logística, como la función </w:t>
      </w:r>
      <w:r>
        <w:rPr>
          <w:i/>
          <w:iCs/>
        </w:rPr>
        <w:t>logit</w:t>
      </w:r>
      <w:r>
        <w:rPr/>
        <w:t>, facilitando así la representación de relaciones no lineales entre la variable dependiente (presencia de deslizamientos) y variables predictoras (e.g., pendiente, geología, cobertura del suelo). Estas relaciones son críticas en regiones de alta complejidad topográfica y geológica como los Andes colombianos, donde la orogenia activa ha dado lugar a un relieve montañoso con laderas de fuerte pendiente. La combinación de pendientes pronunciadas y lluvias intensas inducidas por la topografía crea un escenario propenso a la ocurrencia recurrente de movimientos en masa (Aristizábal y Korup, 2025).</w:t>
      </w:r>
    </w:p>
    <w:p>
      <w:pPr>
        <w:pStyle w:val="Heading1"/>
        <w:tabs>
          <w:tab w:val="clear" w:pos="720"/>
          <w:tab w:val="left" w:pos="8414" w:leader="none"/>
        </w:tabs>
        <w:spacing w:lineRule="auto" w:line="240" w:before="132" w:after="0"/>
        <w:ind w:firstLine="113" w:start="113"/>
        <w:jc w:val="both"/>
        <w:rPr/>
      </w:pPr>
      <w:r>
        <w:rPr/>
        <w:t xml:space="preserve">La incorporación de la heterogeneidad geológica y geomorfológica del terreno, así como de otros patrones espaciales, son importantes para evaluar adecuadamente la susceptibilidad a movimientos en masa. Por el contrario, asumir que las variables predictivas tienen una influencia homogénea en toda la región puede conducir a interpretaciones erróneas y a generalizaciones que no son adecuadas (Anselin, </w:t>
      </w:r>
      <w:hyperlink w:anchor="_heading=h.h2v39agr864r">
        <w:r>
          <w:rPr>
            <w:rStyle w:val="Style3"/>
            <w:color w:val="00004C"/>
          </w:rPr>
          <w:t>1990</w:t>
        </w:r>
      </w:hyperlink>
      <w:r>
        <w:rPr/>
        <w:t xml:space="preserve">; LeSage y Pace, </w:t>
      </w:r>
      <w:hyperlink w:anchor="_heading=h.ucgz95af8384">
        <w:r>
          <w:rPr>
            <w:rStyle w:val="Style3"/>
            <w:color w:val="00004C"/>
          </w:rPr>
          <w:t>2009</w:t>
        </w:r>
      </w:hyperlink>
      <w:r>
        <w:rPr/>
        <w:t xml:space="preserve">). Por ejemplo, en una región montañosa, la pendiente puede tener una influencia mucho mayor en la ocurrencia de movimientos en masa en comparación con una región de pendientes más suaves, donde el uso del suelo o sus características físicas serían factores más determinantes. Los modelos multiniveles proporcionan una solución robusta para capturar y manejar estas heterogeneidades, permitiendo modelar la variación de los coeficientes de diferentes unidades espaciales sin incrementar significativamente la complejidad computacional (Wong y Mason, </w:t>
      </w:r>
      <w:hyperlink w:anchor="_heading=h.xz5iqng58spk">
        <w:r>
          <w:rPr>
            <w:rStyle w:val="Style3"/>
            <w:color w:val="00004C"/>
          </w:rPr>
          <w:t>1985</w:t>
        </w:r>
      </w:hyperlink>
      <w:r>
        <w:rPr/>
        <w:t>). De esta manera, los modelos multiniveles pueden ofrecer una representación más precisa de los patrones de susceptibilidad a movimientos en masa, lo cual es particularmente relevante en zonas topográfica y geológicamente complejas como los Andes colombianos (Aristizábal et al., 2015).</w:t>
      </w:r>
    </w:p>
    <w:p>
      <w:pPr>
        <w:pStyle w:val="Heading1"/>
        <w:tabs>
          <w:tab w:val="clear" w:pos="720"/>
          <w:tab w:val="left" w:pos="8414" w:leader="none"/>
        </w:tabs>
        <w:spacing w:lineRule="auto" w:line="240" w:before="132" w:after="0"/>
        <w:ind w:firstLine="113" w:start="113"/>
        <w:jc w:val="both"/>
        <w:rPr/>
      </w:pPr>
      <w:r>
        <w:rPr>
          <w:color w:val="000000"/>
        </w:rPr>
        <w:t xml:space="preserve">Los coeficientes estimados del modelo permiten una lectura geológicamente coherente de los procesos condiciones a movimientos en masa en la región. En primer lugar, la </w:t>
      </w:r>
      <w:r>
        <w:rPr>
          <w:b w:val="false"/>
          <w:bCs w:val="false"/>
          <w:color w:val="000000"/>
        </w:rPr>
        <w:t>elevación</w:t>
      </w:r>
      <w:r>
        <w:rPr>
          <w:color w:val="000000"/>
        </w:rPr>
        <w:t xml:space="preserve"> muestra un efecto positivo sobre la probabilidad de movimientos en masa, lo cual puede explicarse por la asociación de mayores altitudes con zonas montañosas jóvenes. Estas zonas presentan una mayor energía del relieve y, a su vez, pendientes más marcadas, características que incrementan la inestabilidad del terreno. El </w:t>
      </w:r>
      <w:r>
        <w:rPr>
          <w:b w:val="false"/>
          <w:bCs w:val="false"/>
          <w:color w:val="000000"/>
        </w:rPr>
        <w:t>relieve relativo</w:t>
      </w:r>
      <w:r>
        <w:rPr>
          <w:color w:val="000000"/>
        </w:rPr>
        <w:t xml:space="preserve">, por otra parte, presenta el coeficiente fijo más alto del modelo (1,0958) y una varianza aleatoria también elevada (0,8298), lo cual refleja con claridad que la amplitud vertical del terreno es un determinante clave en la susceptibilidad. Las diferencias locales en esta variable, registradas por su varianza, revelan que en algunas regiones el relieve actúa como un fuerte disparador de inestabilidad, mientras que en otras su influencia es más moderada, lo que refleja la heterogeneidad del paisaje andino. En tercer lugar, el coeficiente positivo del </w:t>
      </w:r>
      <w:r>
        <w:rPr>
          <w:b w:val="false"/>
          <w:bCs w:val="false"/>
          <w:color w:val="000000"/>
        </w:rPr>
        <w:t xml:space="preserve">área como factor predictor señala </w:t>
      </w:r>
      <w:r>
        <w:rPr>
          <w:color w:val="000000"/>
        </w:rPr>
        <w:t xml:space="preserve">que subcuencas de mayor tamaño tienden a registrar más movimientos en masa, lo cual puede estar vinculado a una mayor diversidad topográfica y litológica, así como a la mayor probabilidad de incluir zonas con condiciones críticas de pendiente, cobertura vegetal y acumulación hídrica. Respecto a la </w:t>
      </w:r>
      <w:r>
        <w:rPr>
          <w:b w:val="false"/>
          <w:bCs w:val="false"/>
          <w:color w:val="000000"/>
        </w:rPr>
        <w:t>precipitación media anual</w:t>
      </w:r>
      <w:r>
        <w:rPr>
          <w:color w:val="000000"/>
        </w:rPr>
        <w:t xml:space="preserve">, su coeficiente negativo asociado a una alta variabilidad espacial indica un efecto complejo. Aunque la lluvia es reconocida como el principal </w:t>
      </w:r>
      <w:r>
        <w:rPr>
          <w:b w:val="false"/>
          <w:bCs w:val="false"/>
          <w:color w:val="000000"/>
        </w:rPr>
        <w:t>detonante</w:t>
      </w:r>
      <w:r>
        <w:rPr>
          <w:color w:val="000000"/>
        </w:rPr>
        <w:t xml:space="preserve"> de los movimientos en masa en la región andina (Aristizábal y Sanchez, 2020), en este caso su inclusión en el modelo responde a su papel como </w:t>
      </w:r>
      <w:r>
        <w:rPr>
          <w:b w:val="false"/>
          <w:bCs w:val="false"/>
          <w:color w:val="000000"/>
        </w:rPr>
        <w:t xml:space="preserve">variable condicionante y no gatillante </w:t>
      </w:r>
      <w:r>
        <w:rPr>
          <w:color w:val="000000"/>
        </w:rPr>
        <w:t xml:space="preserve">(van Westen et al., 2008). En este trabajo, la precipitación media anual no representa la intensidad o recurrencia de eventos extremos, sino condiciones climáticas dominantes de largo plazo que pueden estar asociadas a laderas más estables mediante una mayor cobertura vegetal. Así, el resultado negativo no significa una menor influencia de la lluvia como disparador, sino que refleja cómo las condiciones promedio de humedad pueden incidir en la configuración de laderas menos propensas a fallar. Finalmente, el modelo muestra que los </w:t>
      </w:r>
      <w:r>
        <w:rPr>
          <w:b w:val="false"/>
          <w:bCs w:val="false"/>
          <w:color w:val="000000"/>
        </w:rPr>
        <w:t>efectos aleatorios</w:t>
      </w:r>
      <w:r>
        <w:rPr>
          <w:color w:val="000000"/>
        </w:rPr>
        <w:t xml:space="preserve"> para relieve y precipitación son sustanciales, lo que confirma que estas variables no ejercen una influencia homogénea en toda la región, sino que su efecto depende de características geológicas y geomorfológicas locales, como el tipo de roca, la cobertura edáfica, la historia tectónica reciente o el grado de consolidación de los materiales.</w:t>
      </w:r>
    </w:p>
    <w:p>
      <w:pPr>
        <w:pStyle w:val="Heading1"/>
        <w:tabs>
          <w:tab w:val="clear" w:pos="720"/>
          <w:tab w:val="left" w:pos="8414" w:leader="none"/>
        </w:tabs>
        <w:spacing w:lineRule="auto" w:line="240" w:before="132" w:after="0"/>
        <w:ind w:firstLine="113" w:start="113"/>
        <w:jc w:val="both"/>
        <w:rPr/>
      </w:pPr>
      <w:r>
        <w:rPr/>
        <w:t>La mayoría de los estudios de susceptibilidad emplean celdas regulares en mapas ráster (Arnone et al.,</w:t>
      </w:r>
      <w:hyperlink w:anchor="_heading=h.iwtvyewpd">
        <w:r>
          <w:rPr>
            <w:rStyle w:val="Style3"/>
            <w:color w:val="00004C"/>
          </w:rPr>
          <w:t>2016</w:t>
        </w:r>
      </w:hyperlink>
      <w:r>
        <w:rPr/>
        <w:t xml:space="preserve">), lo cual, si bien facilita el análisis y la aplicación de técnicas computacionales, no necesariamente refleja las características naturales del paisaje. Esta representación arbitraria puede resultar inadecuada para capturar la dinámica de los movimientos en masa, dado que no respeta las divisiones naturales del terreno. En contraposición, estudios recientes han sugerido el uso de unidades de mapeo más representativas, como subcuencas para estudios regionales o unidades de ladera para estudios locales (Erener y Düzgün, </w:t>
      </w:r>
      <w:hyperlink w:anchor="_heading=h.8f7kn1v43zvh">
        <w:r>
          <w:rPr>
            <w:rStyle w:val="Style3"/>
            <w:color w:val="00004C"/>
          </w:rPr>
          <w:t>2012</w:t>
        </w:r>
      </w:hyperlink>
      <w:r>
        <w:rPr/>
        <w:t>). Estos enfoques permiten una evaluación más precisa de la susceptibilidad y mejoran la capacidad de los modelos para identificar áreas de susceptibilidad o amenaza. Es por ello que l</w:t>
      </w:r>
      <w:r>
        <w:rPr>
          <w:color w:val="000000"/>
        </w:rPr>
        <w:t xml:space="preserve"> definición adecuada de las regiones de análisis es una componente esencial en el éxito de los modelos de susceptibilidad a movimientos en masa. U</w:t>
      </w:r>
      <w:r>
        <w:rPr/>
        <w:t xml:space="preserve">na regionalización incorrecta puede resultar en la pérdida de información relevante o en la generación de límites que no capturarían de manera adecuada las características geomorfológicas y dinámicas de la zona, llevando así a un ajuste deficiente del modelo. En este estudio, se exploraron dos enfoques de regionalización: una natural basada en cuencas y otra basada en un análisis de agrupamiento espacial mediante técnicas de clusterización. Ambos agrupamientos presentan ventajas diferentes. La primera utiliza </w:t>
      </w:r>
      <w:r>
        <w:rPr>
          <w:color w:val="000000"/>
        </w:rPr>
        <w:t>cuencas hidrográficas, las cuales representan divisiones geográficas naturales alineadas con procesos geomorfológicos, por lo que proporcionan una estructura lógica para el análisis de la dinámica hidrológica</w:t>
      </w:r>
      <w:r>
        <w:rPr/>
        <w:t xml:space="preserve">. Por otro lado, los grupos definidos mediante agrupamiento espacial permiten crear regiones homogéneas desde un punto de vista morfométrico independientemente de las divisiones hidrológicas del terreno (Erener y Düzgün, 2010). Los resultados obtenidos muestran que la regionalización basada en cuencas presentó un mejor ajuste general (Fig. 4). Esto podría estar vinculado con la coherencia de los límites hidrográficos respecto a la dinámica de los movimientos en masa. Futuros trabajos podrían explorar otras estrategias de regionalización para determinar si existe una forma de mejorar la capacidad predictiva del modelo. Finalmente, el uso de </w:t>
      </w:r>
      <w:r>
        <w:rPr>
          <w:b w:val="false"/>
          <w:bCs w:val="false"/>
        </w:rPr>
        <w:t>subcuencas hidrográficas como unidades de mapeo</w:t>
      </w:r>
      <w:r>
        <w:rPr/>
        <w:t xml:space="preserve">, favorece la construcción de modelos jerárquicos hábiles en capturar variaciones regionales de los componentes considerados como importantes. </w:t>
      </w:r>
    </w:p>
    <w:p>
      <w:pPr>
        <w:pStyle w:val="Heading1"/>
        <w:tabs>
          <w:tab w:val="clear" w:pos="720"/>
          <w:tab w:val="left" w:pos="8414" w:leader="none"/>
        </w:tabs>
        <w:spacing w:lineRule="auto" w:line="240" w:before="132" w:after="0"/>
        <w:ind w:firstLine="113" w:start="113"/>
        <w:jc w:val="both"/>
        <w:rPr/>
      </w:pPr>
      <w:r>
        <w:rPr/>
        <w:t>La regresión logística ha sido ampliamente utilizada para la evaluación de la susceptibilidad a movimientos en masa (</w:t>
      </w:r>
      <w:sdt>
        <w:sdtPr>
          <w:tag w:val="goog_rdk_9"/>
          <w:id w:val="477742300"/>
        </w:sdtPr>
        <w:sdtContent>
          <w:r>
            <w:rPr/>
          </w:r>
          <w:r>
            <w:rPr/>
          </w:r>
        </w:sdtContent>
      </w:sdt>
      <w:r>
        <w:rPr/>
        <w:t xml:space="preserve">Budimir et al., </w:t>
      </w:r>
      <w:hyperlink w:anchor="_heading=h.ix6inzeusz07">
        <w:r>
          <w:rPr>
            <w:rStyle w:val="Style3"/>
            <w:color w:val="00004C"/>
          </w:rPr>
          <w:t>2015</w:t>
        </w:r>
      </w:hyperlink>
      <w:r>
        <w:rPr/>
        <w:t xml:space="preserve">; Lombardo y Mai, 2018; Reichenbach et al., </w:t>
      </w:r>
      <w:hyperlink w:anchor="_heading=h.lisasds4vndh">
        <w:r>
          <w:rPr>
            <w:rStyle w:val="Style3"/>
            <w:color w:val="00004C"/>
          </w:rPr>
          <w:t>2018</w:t>
        </w:r>
      </w:hyperlink>
      <w:r>
        <w:rPr/>
        <w:t xml:space="preserve">). Sin embargo, este enfoque presenta limitaciones significativas, particularmente cuando se intenta modelar la ocurrencia de múltiples movimientos en masa en áreas discretas de mayor extensión a celdas regulares (Lombardo et al., </w:t>
      </w:r>
      <w:hyperlink w:anchor="_heading=h.x57spegdwvi3">
        <w:r>
          <w:rPr>
            <w:rStyle w:val="Style3"/>
            <w:color w:val="00004C"/>
          </w:rPr>
          <w:t>2018</w:t>
        </w:r>
      </w:hyperlink>
      <w:r>
        <w:rPr>
          <w:color w:val="00004C"/>
        </w:rPr>
        <w:t>)</w:t>
      </w:r>
      <w:r>
        <w:rPr/>
        <w:t xml:space="preserve">. </w:t>
      </w:r>
      <w:r>
        <w:rPr>
          <w:color w:val="000000"/>
        </w:rPr>
        <w:t>La naturaleza binaria de la variable dependiente no permite distinguir entre la ocurrencia de un solo evento o múltiples eventos. Es decir, en una unidad de mapeo solo se puede especificar la ocurrencia (1) o no ocurrencia (0) de movimientos en masa. Esta limitación es especialmente relevante cuando se trabaja con unidades de análisis grandes, como subcuencas, en las cuales pueden registrarse múltiples eventos que no pueden ser diferenciados en un modelo logístico binario. En contraste, cuando se emplean celdas de resolución más fina, el tamaño de la celda puede ser comparable al de los deslizamientos, reduciendo así esta limitación; por tanto, la escala y resolución del análisis condicionan la precisión con la que se puede representar la frecuencia de eventos en el modelado de la susceptibilidad. Pero para unidades de m</w:t>
      </w:r>
      <w:r>
        <w:rPr/>
        <w:t xml:space="preserve">apeo con áreas mayores a las de los movimientos en masa, cada unidad de mapeo puede tener más de un evento, lo cual puede resultar en una subestimación de la susceptibilidad. En contraste, la regresión de tipo Poisson, también perteneciente a la familia de los GLM, ofrece la posibilidad de modelar el número de movimientos en masa esperados, mejorando la interpretación del modelo cuando se trata de áreas donde la frecuencia de movimientos en masa varía (Lombardo et al., </w:t>
      </w:r>
      <w:hyperlink w:anchor="_heading=h.32soo8fmxrnz">
        <w:r>
          <w:rPr>
            <w:rStyle w:val="Style3"/>
            <w:color w:val="00004C"/>
          </w:rPr>
          <w:t>2020</w:t>
        </w:r>
      </w:hyperlink>
      <w:r>
        <w:rPr/>
        <w:t>). Este último enfoque proporciona una forma más robusta de capturar la naturaleza del fenómeno y de reflejar la dinámica de los movimientos en masa en áreas más complejas.</w:t>
      </w:r>
    </w:p>
    <w:p>
      <w:pPr>
        <w:pStyle w:val="Heading1"/>
        <w:tabs>
          <w:tab w:val="clear" w:pos="720"/>
          <w:tab w:val="left" w:pos="8414" w:leader="none"/>
        </w:tabs>
        <w:spacing w:lineRule="auto" w:line="240" w:before="157" w:after="0"/>
        <w:ind w:firstLine="113" w:start="113"/>
        <w:jc w:val="both"/>
        <w:rPr/>
      </w:pPr>
      <w:r>
        <w:rPr/>
        <w:t>Un aspecto que requiere ser considerado con más frecuencia en estudios de susceptibilidad a movimientos en masa es la evaluación rigurosa del desempeño estadístico de los modelos (Goetz et al., 2015; Steger et al., 2016). En muchos casos, la evaluación del modelo se limita únicamente a su capacidad predictiva, utilizando herramientas como la curva ROC y el área bajo la curva (AUC). Aunque estas métricas son útiles, no aportan información sobre la validez estadística. Para asegurar la robustez y consistencia de los modelos, es crucial evaluar la significancia estadística de las variables predictoras, la aleatoriedad de los residuos, la ausencia de colinealidad y la homogeneidad de la varianza. La significancia estadística asegura que las variables predictoras contribuyan de manera relevante al modelo; la aleatoriedad de los residuos garantiza que el modelo no esté dejando patrones sin explicar; la ausencia de colinealidad evita problemas de redundancia entre variables predictoras, que podrían sesgar los resultados; y la homogeneidad de la varianza indica que el modelo se comporta de manera consistente a lo largo de toda la muestra. Estas validaciones no solo permiten seleccionar el mejor modelo, sino también asegurar que las relaciones entre las variables predictoras y la variable respuesta sean coherentes y representen adecuadamente el comportamiento del fenómeno.</w:t>
      </w:r>
      <w:bookmarkStart w:id="21" w:name="bookmark=id.kjy1gs1l1r75"/>
    </w:p>
    <w:p>
      <w:pPr>
        <w:pStyle w:val="normal1"/>
        <w:keepNext w:val="false"/>
        <w:keepLines w:val="false"/>
        <w:pageBreakBefore w:val="false"/>
        <w:widowControl w:val="false"/>
        <w:numPr>
          <w:ilvl w:val="0"/>
          <w:numId w:val="1"/>
        </w:numPr>
        <w:pBdr/>
        <w:shd w:val="clear" w:fill="auto"/>
        <w:tabs>
          <w:tab w:val="clear" w:pos="720"/>
          <w:tab w:val="left" w:pos="397" w:leader="none"/>
          <w:tab w:val="left" w:pos="8414" w:leader="none"/>
        </w:tabs>
        <w:spacing w:lineRule="auto" w:line="240" w:before="262" w:after="0"/>
        <w:ind w:hanging="284" w:start="397" w:end="0"/>
        <w:jc w:val="start"/>
        <w:rPr>
          <w:rFonts w:ascii="Palatino Linotype" w:hAnsi="Palatino Linotype" w:eastAsia="Palatino Linotype" w:cs="Palatino Linotyp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bookmarkEnd w:id="21"/>
      <w:r>
        <w:rPr>
          <w:rFonts w:eastAsia="Palatino Linotype" w:cs="Palatino Linotype" w:ascii="Palatino Linotype" w:hAnsi="Palatino Linotype"/>
          <w:b/>
          <w:bCs/>
          <w:i w:val="false"/>
          <w:iCs w:val="false"/>
          <w:caps w:val="false"/>
          <w:smallCaps w:val="false"/>
          <w:strike w:val="false"/>
          <w:dstrike w:val="false"/>
          <w:color w:val="00004C"/>
          <w:position w:val="0"/>
          <w:sz w:val="24"/>
          <w:sz w:val="24"/>
          <w:szCs w:val="24"/>
          <w:u w:val="none"/>
          <w:shd w:fill="auto" w:val="clear"/>
          <w:vertAlign w:val="baseline"/>
        </w:rPr>
        <w:t>Conclusiones</w:t>
      </w:r>
      <w:r>
        <w:rPr>
          <w:rFonts w:eastAsia="Times New Roman" w:cs="Times New Roman" w:ascii="Times New Roman" w:hAnsi="Times New Roman"/>
          <w:b w:val="false"/>
          <w:bCs w:val="false"/>
          <w:i w:val="false"/>
          <w:iCs w:val="false"/>
          <w:caps w:val="false"/>
          <w:smallCaps w:val="false"/>
          <w:strike w:val="false"/>
          <w:dstrike w:val="false"/>
          <w:color w:val="00004C"/>
          <w:position w:val="0"/>
          <w:sz w:val="24"/>
          <w:sz w:val="24"/>
          <w:szCs w:val="24"/>
          <w:u w:val="none"/>
          <w:shd w:fill="auto" w:val="clear"/>
          <w:vertAlign w:val="baseline"/>
        </w:rPr>
        <w:tab/>
      </w:r>
    </w:p>
    <w:p>
      <w:pPr>
        <w:pStyle w:val="Heading1"/>
        <w:tabs>
          <w:tab w:val="clear" w:pos="720"/>
          <w:tab w:val="left" w:pos="8414" w:leader="none"/>
        </w:tabs>
        <w:spacing w:lineRule="auto" w:line="240" w:before="192" w:after="0"/>
        <w:ind w:firstLine="113" w:start="113"/>
        <w:jc w:val="both"/>
        <w:rPr/>
      </w:pPr>
      <w:r>
        <w:rPr/>
        <w:t>En este estudio se ha implementado un modelo de regresión logística multinivel para evaluar la susceptibilidad a movimientos en masa en los Andes colombianos, utilizando tanto divisiones naturales en cuencas hidrográficas como un enfoque basado en clusterización espacial. Los resultados muestran que la consideración de la heterogeneidad espacial y la incorporación de efectos aleatorios mediante modelos multiniveles proporcionan una representación más precisa de la susceptibilidad a movimientos en masa, comparada con los modelos tradicionales de regresión logística, los cuales asumen una homogeneidad espacial inadecuada para este tipo de fenómenos.</w:t>
      </w:r>
    </w:p>
    <w:p>
      <w:pPr>
        <w:pStyle w:val="Heading1"/>
        <w:tabs>
          <w:tab w:val="clear" w:pos="720"/>
          <w:tab w:val="left" w:pos="8414" w:leader="none"/>
        </w:tabs>
        <w:spacing w:lineRule="auto" w:line="240" w:before="167" w:after="0"/>
        <w:ind w:firstLine="113" w:start="113"/>
        <w:jc w:val="both"/>
        <w:rPr/>
      </w:pPr>
      <w:r>
        <w:rPr/>
        <w:t>En el análisis comparativo de los enfoques de regionalización, se observó que la regionalización basada en cuencas hidrográficas logró un mejor ajuste global según las métricas de Akaike (AIC) y Bayesiana (BIC), en comparación con el modelo basado en grupos derivados del agrupamiento espacial. Esto sugiere que las divisiones geográficas naturales, al menos en la zona de estudio, proporcionan límites más consistentes para la dinámica de los movimientos en masa, alineados con los procesos geomorfológicos e hidrológicos subyacentes.</w:t>
      </w:r>
    </w:p>
    <w:p>
      <w:pPr>
        <w:pStyle w:val="Heading1"/>
        <w:tabs>
          <w:tab w:val="clear" w:pos="720"/>
          <w:tab w:val="left" w:pos="8414" w:leader="none"/>
        </w:tabs>
        <w:spacing w:lineRule="auto" w:line="240" w:before="167" w:after="0"/>
        <w:ind w:firstLine="113" w:start="113"/>
        <w:jc w:val="both"/>
        <w:rPr/>
      </w:pPr>
      <w:r>
        <w:rPr/>
        <w:t>En cuanto a la aplicación de modelos multiniveles, la utilización de efectos aleatorios para capturar la heterogeneidad espacial es importante para mejorar la interpretación y la capacidad predictiva de los modelos de susceptibilidad a movimientos en masa. Esto permite no solo entender mejor cómo varía la susceptibilidad entre diferentes regiones, sino que también ofrece una representación más robusta de los patrones que influyen en la inestabilidad del terreno. De esta manera, los modelos multiniveles ofrecen una metodología flexible y detallada que puede adaptarse a la naturaleza jerárquica y compleja de los fenómenos geológicos en ambientes montañosos.</w:t>
      </w:r>
    </w:p>
    <w:p>
      <w:pPr>
        <w:pStyle w:val="normal1"/>
        <w:tabs>
          <w:tab w:val="clear" w:pos="720"/>
          <w:tab w:val="right" w:pos="8562" w:leader="none"/>
        </w:tabs>
        <w:spacing w:lineRule="auto" w:line="240" w:before="223" w:after="0"/>
        <w:ind w:hanging="0" w:start="113"/>
        <w:rPr/>
      </w:pPr>
      <w:r>
        <w:rPr>
          <w:rFonts w:eastAsia="Palatino Linotype" w:cs="Palatino Linotype" w:ascii="Palatino Linotype" w:hAnsi="Palatino Linotype"/>
          <w:b/>
          <w:bCs/>
          <w:color w:val="00004C"/>
          <w:sz w:val="24"/>
          <w:szCs w:val="24"/>
        </w:rPr>
        <w:t>Agradecimientos</w:t>
      </w:r>
      <w:r>
        <w:rPr>
          <w:rFonts w:eastAsia="Times New Roman" w:cs="Times New Roman" w:ascii="Times New Roman" w:hAnsi="Times New Roman"/>
          <w:color w:val="00004C"/>
          <w:sz w:val="24"/>
          <w:szCs w:val="24"/>
        </w:rPr>
        <w:tab/>
      </w:r>
    </w:p>
    <w:p>
      <w:pPr>
        <w:pStyle w:val="Heading1"/>
        <w:tabs>
          <w:tab w:val="clear" w:pos="720"/>
          <w:tab w:val="left" w:pos="8414" w:leader="none"/>
        </w:tabs>
        <w:spacing w:lineRule="auto" w:line="240" w:before="151" w:after="0"/>
        <w:ind w:firstLine="113" w:start="113"/>
        <w:rPr/>
      </w:pPr>
      <w:r>
        <w:rPr/>
        <w:t>El presente trabajo se realizó con el apoyo de la Fundación Alexander von Humboldt (</w:t>
      </w:r>
      <w:hyperlink r:id="rId5">
        <w:r>
          <w:rPr>
            <w:rStyle w:val="Style3"/>
            <w:color w:val="00004C"/>
          </w:rPr>
          <w:t>https://www.humboldt-foundation.de/</w:t>
        </w:r>
      </w:hyperlink>
      <w:r>
        <w:rPr/>
        <w:t xml:space="preserve">) a través del programa </w:t>
      </w:r>
      <w:r>
        <w:rPr>
          <w:i/>
          <w:iCs/>
        </w:rPr>
        <w:t xml:space="preserve">Georg Forster Research Fellowship </w:t>
      </w:r>
      <w:r>
        <w:rPr/>
        <w:t>para investigadores</w:t>
      </w:r>
      <w:sdt>
        <w:sdtPr>
          <w:tag w:val="goog_rdk_10"/>
          <w:id w:val="-90373442"/>
        </w:sdtPr>
        <w:sdtContent>
          <w:r>
            <w:rPr/>
          </w:r>
          <w:r>
            <w:rPr/>
          </w:r>
        </w:sdtContent>
      </w:sdt>
      <w:r>
        <w:rPr/>
        <w:t>.</w:t>
      </w:r>
      <w:r>
        <w:rPr/>
        <w:t xml:space="preserve"> Se agradece a Daniel Bertin, a Marisol Lara y a los revisores anónimos por sus valiosos comentarios, los cuales contribuyeron significativamente a la mejora de este artículo. Los datos y códigos de este trabajo se encuentran disponibles en  Github (</w:t>
      </w:r>
      <w:hyperlink r:id="rId6">
        <w:r>
          <w:rPr>
            <w:rStyle w:val="Style3"/>
            <w:color w:val="00004C"/>
            <w:u w:val="single"/>
          </w:rPr>
          <w:t>https://github.com/edieraristizabal/ModeloMultinivel</w:t>
        </w:r>
      </w:hyperlink>
      <w:r>
        <w:rPr/>
        <w:t>).</w:t>
      </w:r>
    </w:p>
    <w:p>
      <w:pPr>
        <w:pStyle w:val="normal1"/>
        <w:tabs>
          <w:tab w:val="clear" w:pos="720"/>
          <w:tab w:val="right" w:pos="8562" w:leader="none"/>
        </w:tabs>
        <w:spacing w:lineRule="auto" w:line="240" w:before="223" w:after="0"/>
        <w:ind w:hanging="0" w:start="113"/>
        <w:rPr/>
      </w:pPr>
      <w:bookmarkStart w:id="22" w:name="bookmark=id.veyr1g1lh4mz"/>
      <w:bookmarkEnd w:id="22"/>
      <w:sdt>
        <w:sdtPr>
          <w:tag w:val="goog_rdk_11"/>
          <w:id w:val="744251164"/>
        </w:sdtPr>
        <w:sdtContent>
          <w:r>
            <w:rPr/>
          </w:r>
          <w:r>
            <w:rPr/>
          </w:r>
        </w:sdtContent>
      </w:sdt>
      <w:r>
        <w:rPr>
          <w:rFonts w:eastAsia="Palatino Linotype" w:cs="Palatino Linotype" w:ascii="Palatino Linotype" w:hAnsi="Palatino Linotype"/>
          <w:b/>
          <w:bCs/>
          <w:color w:val="00004C"/>
          <w:sz w:val="24"/>
          <w:szCs w:val="24"/>
        </w:rPr>
        <w:t>Referencias</w:t>
      </w:r>
      <w:r>
        <w:rPr>
          <w:rFonts w:eastAsia="Times New Roman" w:cs="Times New Roman" w:ascii="Times New Roman" w:hAnsi="Times New Roman"/>
          <w:color w:val="00004C"/>
          <w:sz w:val="24"/>
          <w:szCs w:val="24"/>
        </w:rPr>
        <w:tab/>
      </w:r>
    </w:p>
    <w:p>
      <w:pPr>
        <w:pStyle w:val="BodyText"/>
        <w:tabs>
          <w:tab w:val="clear" w:pos="720"/>
          <w:tab w:val="left" w:pos="8414" w:leader="none"/>
        </w:tabs>
        <w:spacing w:lineRule="auto" w:line="240" w:before="100" w:after="0"/>
        <w:ind w:hanging="0" w:start="0"/>
        <w:rPr/>
      </w:pPr>
      <w:r>
        <w:rPr/>
        <w:t>Anselin, L. 1990. Spatial dependence and spatial structural instability in applied regression analysis. Journal of Regional Science 30 (2): 185–207.</w:t>
      </w:r>
    </w:p>
    <w:p>
      <w:pPr>
        <w:pStyle w:val="BodyText"/>
        <w:tabs>
          <w:tab w:val="clear" w:pos="720"/>
          <w:tab w:val="left" w:pos="8414" w:leader="none"/>
        </w:tabs>
        <w:spacing w:before="100" w:after="283"/>
        <w:rPr/>
      </w:pPr>
      <w:r>
        <w:rPr/>
        <w:t>Anselin, L. 2022. Spatial econometrics. In Handbook of spatial analysis in the social sciences (Fisher, M.M.; Nijkamp, P.; editors). Edward Elgar Publishing: 101–122. Cheltenham.</w:t>
      </w:r>
    </w:p>
    <w:p>
      <w:pPr>
        <w:pStyle w:val="BodyText"/>
        <w:tabs>
          <w:tab w:val="clear" w:pos="720"/>
          <w:tab w:val="left" w:pos="8414" w:leader="none"/>
        </w:tabs>
        <w:spacing w:before="100" w:after="283"/>
        <w:rPr/>
      </w:pPr>
      <w:r>
        <w:rPr/>
        <w:t>Anselin, L.; Bera, A.K. 1996. Simple diagnostic tests for spatial dependence. Regional Science and Urban Economics 26 (1): 77–104.</w:t>
      </w:r>
    </w:p>
    <w:p>
      <w:pPr>
        <w:pStyle w:val="BodyText"/>
        <w:tabs>
          <w:tab w:val="clear" w:pos="720"/>
          <w:tab w:val="left" w:pos="8414" w:leader="none"/>
        </w:tabs>
        <w:spacing w:before="100" w:after="283"/>
        <w:rPr/>
      </w:pPr>
      <w:r>
        <w:rPr/>
        <w:t>Anselin, L.; Griffith, D.A. 1988. Do spatial effects really matter in regression analysis? Papers in Regional Science 65 (1): 11–34.</w:t>
      </w:r>
    </w:p>
    <w:p>
      <w:pPr>
        <w:pStyle w:val="BodyText"/>
        <w:tabs>
          <w:tab w:val="clear" w:pos="720"/>
          <w:tab w:val="left" w:pos="8414" w:leader="none"/>
        </w:tabs>
        <w:spacing w:before="100" w:after="283"/>
        <w:rPr/>
      </w:pPr>
      <w:r>
        <w:rPr/>
        <w:t>Aristizábal, E.; Korup, O. 2025. Linking landslide patterns to transient landscapes in the northern Colombian Andes. Journal of Geophysical Research: Earth Surface 130 (3): e2024JF008027.</w:t>
      </w:r>
    </w:p>
    <w:p>
      <w:pPr>
        <w:pStyle w:val="BodyText"/>
        <w:tabs>
          <w:tab w:val="clear" w:pos="720"/>
          <w:tab w:val="left" w:pos="8414" w:leader="none"/>
        </w:tabs>
        <w:spacing w:before="100" w:after="283"/>
        <w:rPr/>
      </w:pPr>
      <w:r>
        <w:rPr/>
        <w:t>Aristizábal, E.; Sánchez, O. 2020. Spatial and temporal patterns and the socioeconomic impacts of landslides in the tropical and mountainous Colombian Andes. Disasters 44 (3): 596-618.</w:t>
      </w:r>
    </w:p>
    <w:p>
      <w:pPr>
        <w:pStyle w:val="BodyText"/>
        <w:tabs>
          <w:tab w:val="clear" w:pos="720"/>
          <w:tab w:val="left" w:pos="8414" w:leader="none"/>
        </w:tabs>
        <w:spacing w:before="100" w:after="283"/>
        <w:ind w:hanging="0" w:start="0" w:end="0"/>
        <w:rPr/>
      </w:pPr>
      <w:r>
        <w:rPr/>
        <w:t>Aristizábal, E.; Velez, J.; Martinez, H.; Jaboyedoff, M. 2016. SHIA_Landslide: a distributed conceptual and physically based model to forecast the temporal and spatial occurrence of shallow landslides triggered by rainfall in tropical and mountainous basins. Landslides 13 (3): 497–517.</w:t>
      </w:r>
    </w:p>
    <w:p>
      <w:pPr>
        <w:pStyle w:val="BodyText"/>
        <w:tabs>
          <w:tab w:val="clear" w:pos="720"/>
          <w:tab w:val="left" w:pos="8414" w:leader="none"/>
        </w:tabs>
        <w:spacing w:before="100" w:after="283"/>
        <w:rPr/>
      </w:pPr>
      <w:r>
        <w:rPr/>
        <w:t>Aristizábal, E.; García, E.; Martínez, C. 2015. Susceptibility assessment of shallow landslides triggered by rainfall in tropical basins and mountainous terrains. Natural Hazards 78 (1): 621–634.</w:t>
      </w:r>
    </w:p>
    <w:p>
      <w:pPr>
        <w:pStyle w:val="BodyText"/>
        <w:tabs>
          <w:tab w:val="clear" w:pos="720"/>
          <w:tab w:val="left" w:pos="8414" w:leader="none"/>
        </w:tabs>
        <w:spacing w:before="100" w:after="283"/>
        <w:rPr/>
      </w:pPr>
      <w:r>
        <w:rPr/>
        <w:t>Arnone, E. 2016. Effect of raster resolution and polygon-conversion algorithm on landslide susceptibility mapping. Environmental Modelling &amp; Software 84: 467–481.</w:t>
      </w:r>
    </w:p>
    <w:p>
      <w:pPr>
        <w:pStyle w:val="BodyText"/>
        <w:tabs>
          <w:tab w:val="clear" w:pos="720"/>
          <w:tab w:val="left" w:pos="8414" w:leader="none"/>
        </w:tabs>
        <w:spacing w:before="100" w:after="283"/>
        <w:rPr/>
      </w:pPr>
      <w:r>
        <w:rPr/>
        <w:t>Ayalew, L.; Yamagishi, H. 2005. The application of GIS-based logistic regression for landslide susceptibility mapping in the Kakuda-Yahiko Mountains, Central Japan. Geomorphology 65 (1-2): 15–31.</w:t>
      </w:r>
    </w:p>
    <w:p>
      <w:pPr>
        <w:pStyle w:val="BodyText"/>
        <w:tabs>
          <w:tab w:val="clear" w:pos="720"/>
          <w:tab w:val="left" w:pos="8414" w:leader="none"/>
        </w:tabs>
        <w:spacing w:before="100" w:after="283"/>
        <w:rPr/>
      </w:pPr>
      <w:r>
        <w:rPr/>
        <w:t>Barredo, J.I. 2000. Comparing heuristic landslide hazard assessment techniques using GIS in the Tirajana basin, Gran Canaria Island, Spain. International Journal of Applied Earth Observation and Geoinformation 2 (1): 9–23.</w:t>
      </w:r>
    </w:p>
    <w:p>
      <w:pPr>
        <w:pStyle w:val="BodyText"/>
        <w:tabs>
          <w:tab w:val="clear" w:pos="720"/>
          <w:tab w:val="left" w:pos="8414" w:leader="none"/>
        </w:tabs>
        <w:spacing w:before="100" w:after="283"/>
        <w:rPr/>
      </w:pPr>
      <w:r>
        <w:rPr/>
        <w:t>Brabb, E.E. 1984. Innovative approaches to landslide hazard and risk mapping. In Proceedings of the 4th International Symposium on Landslides, Vol. 1: 307-324. Toronto.</w:t>
      </w:r>
    </w:p>
    <w:p>
      <w:pPr>
        <w:pStyle w:val="BodyText"/>
        <w:tabs>
          <w:tab w:val="clear" w:pos="720"/>
          <w:tab w:val="left" w:pos="8414" w:leader="none"/>
        </w:tabs>
        <w:spacing w:before="100" w:after="283"/>
        <w:rPr/>
      </w:pPr>
      <w:r>
        <w:rPr/>
        <w:t>Breiman, L. 2001. Random Forests. Machine Learning 45 (1): 5-32.</w:t>
      </w:r>
    </w:p>
    <w:p>
      <w:pPr>
        <w:pStyle w:val="BodyText"/>
        <w:tabs>
          <w:tab w:val="clear" w:pos="720"/>
          <w:tab w:val="left" w:pos="8414" w:leader="none"/>
        </w:tabs>
        <w:spacing w:before="100" w:after="283"/>
        <w:rPr/>
      </w:pPr>
      <w:r>
        <w:rPr/>
        <w:t>Budimir, M.E.A.; Atkinson, P.M.; Lewis, H.G. 2015. A systematic review of landslide probability mapping using logistic regression. Landslides 12 (3): 419–436.</w:t>
      </w:r>
    </w:p>
    <w:p>
      <w:pPr>
        <w:pStyle w:val="BodyText"/>
        <w:tabs>
          <w:tab w:val="clear" w:pos="720"/>
          <w:tab w:val="left" w:pos="8414" w:leader="none"/>
        </w:tabs>
        <w:spacing w:before="100" w:after="283"/>
        <w:rPr/>
      </w:pPr>
      <w:r>
        <w:rPr/>
        <w:t>Chen, W.; Pourghasemi, H.R.; Zhang, S.; Wang, J. 2019. A comparative study of functional data analysis and generalized linear model data-mining techniques for landslide spatial modeling. In Spatial Modeling in GIS and R for Earth and Environmental Sciences (Pourghasemi, H.R.; Rossi, M.; editors). Elsevier: 467-484.</w:t>
      </w:r>
    </w:p>
    <w:p>
      <w:pPr>
        <w:pStyle w:val="BodyText"/>
        <w:tabs>
          <w:tab w:val="clear" w:pos="720"/>
          <w:tab w:val="left" w:pos="8414" w:leader="none"/>
        </w:tabs>
        <w:spacing w:before="100" w:after="283"/>
        <w:rPr/>
      </w:pPr>
      <w:r>
        <w:rPr/>
        <w:t>Corominas, J. 2014. Recommendations for the quantitative analysis of landslide risk. Bulletin of Engineering Geology and the Environment 73 (2): 209–263.</w:t>
      </w:r>
    </w:p>
    <w:p>
      <w:pPr>
        <w:pStyle w:val="BodyText"/>
        <w:tabs>
          <w:tab w:val="clear" w:pos="720"/>
          <w:tab w:val="left" w:pos="8414" w:leader="none"/>
        </w:tabs>
        <w:spacing w:before="100" w:after="283"/>
        <w:rPr/>
      </w:pPr>
      <w:r>
        <w:rPr/>
        <w:t>Cressie, N. 2015. Statistics for spatial data. John Wiley &amp; Sons: 928 p. New York.</w:t>
      </w:r>
    </w:p>
    <w:p>
      <w:pPr>
        <w:pStyle w:val="BodyText"/>
        <w:tabs>
          <w:tab w:val="clear" w:pos="720"/>
          <w:tab w:val="left" w:pos="8414" w:leader="none"/>
        </w:tabs>
        <w:spacing w:before="100" w:after="283"/>
        <w:rPr/>
      </w:pPr>
      <w:r>
        <w:rPr/>
        <w:t>Erener, A.; Düzgün, H.S.B. 2010. Improvement of statistical landslide susceptibility mapping by using spatial and global regression methods in the case of More and Romsdal (Norway). Landslides 7 (1): 55-68.</w:t>
      </w:r>
    </w:p>
    <w:p>
      <w:pPr>
        <w:pStyle w:val="BodyText"/>
        <w:tabs>
          <w:tab w:val="clear" w:pos="720"/>
          <w:tab w:val="left" w:pos="8414" w:leader="none"/>
        </w:tabs>
        <w:spacing w:before="100" w:after="283"/>
        <w:rPr/>
      </w:pPr>
      <w:r>
        <w:rPr/>
        <w:t>Erener, A.; Düzgün, H.S.B. 2012. Landslide susceptibility assessment: what are the effects of mapping unit and mapping method? Environmental Earth Sciences 66 (3): 859–877.</w:t>
      </w:r>
    </w:p>
    <w:p>
      <w:pPr>
        <w:pStyle w:val="BodyText"/>
        <w:tabs>
          <w:tab w:val="clear" w:pos="720"/>
          <w:tab w:val="left" w:pos="8414" w:leader="none"/>
        </w:tabs>
        <w:spacing w:before="100" w:after="283"/>
        <w:rPr/>
      </w:pPr>
      <w:r>
        <w:rPr/>
        <w:t>Ermini, L.; Catani, F.; Casagli, N. 2005. Artificial neural networks applied to landslide susceptibility assessment. Geomorphology 66 (1-4): 327–343.</w:t>
      </w:r>
    </w:p>
    <w:p>
      <w:pPr>
        <w:pStyle w:val="BodyText"/>
        <w:tabs>
          <w:tab w:val="clear" w:pos="720"/>
          <w:tab w:val="left" w:pos="8414" w:leader="none"/>
        </w:tabs>
        <w:spacing w:before="100" w:after="283"/>
        <w:rPr/>
      </w:pPr>
      <w:r>
        <w:rPr/>
        <w:t>Fell, R. 2008. Guidelines for landslide susceptibility, hazard and risk zoning for land use planning. Engineering Geology 102 (3-4): 85–98.</w:t>
      </w:r>
    </w:p>
    <w:p>
      <w:pPr>
        <w:pStyle w:val="BodyText"/>
        <w:tabs>
          <w:tab w:val="clear" w:pos="720"/>
          <w:tab w:val="left" w:pos="8414" w:leader="none"/>
        </w:tabs>
        <w:spacing w:before="100" w:after="283"/>
        <w:rPr/>
      </w:pPr>
      <w:r>
        <w:rPr/>
        <w:t>Fotheringham, A.S.; Brunsdon, C.; Charlton, M.E. 2009. Geographically weighted regression. In The Sage Handbook of Spatial Analysis (Fotheringham, A.S.; Rogerson, P.A.; editors). Sage Publications: 243–254. London.</w:t>
      </w:r>
    </w:p>
    <w:p>
      <w:pPr>
        <w:pStyle w:val="BodyText"/>
        <w:tabs>
          <w:tab w:val="clear" w:pos="720"/>
          <w:tab w:val="left" w:pos="8414" w:leader="none"/>
        </w:tabs>
        <w:spacing w:before="100" w:after="283"/>
        <w:rPr/>
      </w:pPr>
      <w:r>
        <w:rPr/>
        <w:t>Fox, J. 2015. Applied regression analysis and generalized linear models. Sage Publications: 816 p. Thousand Oaks.</w:t>
      </w:r>
    </w:p>
    <w:p>
      <w:pPr>
        <w:pStyle w:val="BodyText"/>
        <w:tabs>
          <w:tab w:val="clear" w:pos="720"/>
          <w:tab w:val="left" w:pos="8414" w:leader="none"/>
        </w:tabs>
        <w:spacing w:before="100" w:after="283"/>
        <w:rPr/>
      </w:pPr>
      <w:r>
        <w:rPr/>
        <w:t>Funk, C.; Peterson, P.; Landsfeld, M. 2015. The Climate Hazard Group InfraRed Precipitation with Station Data (CHIRPS). Bulletin of the American Meteorological Society 96 (9): 1401–1419.</w:t>
      </w:r>
    </w:p>
    <w:p>
      <w:pPr>
        <w:pStyle w:val="BodyText"/>
        <w:tabs>
          <w:tab w:val="clear" w:pos="720"/>
          <w:tab w:val="left" w:pos="8414" w:leader="none"/>
        </w:tabs>
        <w:spacing w:before="100" w:after="283"/>
        <w:rPr/>
      </w:pPr>
      <w:r>
        <w:rPr/>
        <w:t>Goetz, J.N.; Brenning, A.; Petschko, H.; Leopold, P. 2015. Evaluating machine learning and statistical prediction techniques for landslide susceptibility modeling. Computers &amp; Geosciences 81: 1-11.</w:t>
      </w:r>
    </w:p>
    <w:p>
      <w:pPr>
        <w:pStyle w:val="BodyText"/>
        <w:tabs>
          <w:tab w:val="clear" w:pos="720"/>
          <w:tab w:val="left" w:pos="8414" w:leader="none"/>
        </w:tabs>
        <w:spacing w:before="100" w:after="283"/>
        <w:rPr/>
      </w:pPr>
      <w:r>
        <w:rPr/>
        <w:t>Huang, F. 2020. Comparisons of heuristic, general statistical and machine learning models for landslide susceptibility prediction and mapping. Catena 191: 104580.</w:t>
      </w:r>
    </w:p>
    <w:p>
      <w:pPr>
        <w:pStyle w:val="BodyText"/>
        <w:tabs>
          <w:tab w:val="clear" w:pos="720"/>
          <w:tab w:val="left" w:pos="8414" w:leader="none"/>
        </w:tabs>
        <w:spacing w:before="100" w:after="283"/>
        <w:rPr/>
      </w:pPr>
      <w:r>
        <w:rPr/>
        <w:t>Korup, O.; Stolle, A. 2014. Landslide prediction from machine learning. Geology Today 30 (1): 26–33.</w:t>
      </w:r>
    </w:p>
    <w:p>
      <w:pPr>
        <w:pStyle w:val="BodyText"/>
        <w:tabs>
          <w:tab w:val="clear" w:pos="720"/>
          <w:tab w:val="left" w:pos="8414" w:leader="none"/>
        </w:tabs>
        <w:spacing w:before="100" w:after="283"/>
        <w:rPr/>
      </w:pPr>
      <w:r>
        <w:rPr/>
        <w:t>Kriegler, F.J. 1969. Normalized Difference Vegetation Index (NDVI). In Proceedings of the 6th International Symposium on Remote Sensing of Environment: 112–116. Ann Arbor.</w:t>
      </w:r>
    </w:p>
    <w:p>
      <w:pPr>
        <w:pStyle w:val="BodyText"/>
        <w:tabs>
          <w:tab w:val="clear" w:pos="720"/>
          <w:tab w:val="left" w:pos="8414" w:leader="none"/>
        </w:tabs>
        <w:spacing w:before="100" w:after="283"/>
        <w:rPr/>
      </w:pPr>
      <w:r>
        <w:rPr/>
        <w:t>Kumar, N.; Mastrangelo, C.; Montgomery, D. 2011. Hierarchical modeling using generalized linear models. Quality and Reliability Engineering International 27 (6): 835–842.</w:t>
      </w:r>
    </w:p>
    <w:p>
      <w:pPr>
        <w:pStyle w:val="BodyText"/>
        <w:tabs>
          <w:tab w:val="clear" w:pos="720"/>
          <w:tab w:val="left" w:pos="8414" w:leader="none"/>
        </w:tabs>
        <w:spacing w:before="100" w:after="283"/>
        <w:rPr/>
      </w:pPr>
      <w:r>
        <w:rPr/>
        <w:t>Lee, Y.; Nelder, J.A. 1996. Hierarchical generalized linear models. Journal of the Royal Statistical Society Series B: Statistical Methodology 58 (4): 619–656.</w:t>
      </w:r>
    </w:p>
    <w:p>
      <w:pPr>
        <w:pStyle w:val="BodyText"/>
        <w:tabs>
          <w:tab w:val="clear" w:pos="720"/>
          <w:tab w:val="left" w:pos="8414" w:leader="none"/>
        </w:tabs>
        <w:spacing w:before="100" w:after="283"/>
        <w:rPr/>
      </w:pPr>
      <w:r>
        <w:rPr/>
        <w:t>LeSage, J.; Pace, R.K. 2009. Introduction to spatial econometrics. Chapman and Hall/CRC: 374 p. Boca Raton.</w:t>
      </w:r>
    </w:p>
    <w:p>
      <w:pPr>
        <w:pStyle w:val="BodyText"/>
        <w:tabs>
          <w:tab w:val="clear" w:pos="720"/>
          <w:tab w:val="left" w:pos="8414" w:leader="none"/>
        </w:tabs>
        <w:spacing w:before="100" w:after="283"/>
        <w:rPr/>
      </w:pPr>
      <w:r>
        <w:rPr/>
        <w:t>Li, P.; Shen, Q.; Guo, Y. 2014. Bare Soil Index for Land Cover Analysis. Journal of Applied Remote Sensing 8 (1): 083605.</w:t>
      </w:r>
    </w:p>
    <w:p>
      <w:pPr>
        <w:pStyle w:val="BodyText"/>
        <w:tabs>
          <w:tab w:val="clear" w:pos="720"/>
          <w:tab w:val="left" w:pos="8414" w:leader="none"/>
        </w:tabs>
        <w:spacing w:before="100" w:after="283"/>
        <w:rPr/>
      </w:pPr>
      <w:r>
        <w:rPr/>
        <w:t>Logan, T.L.; Karr, C.L. 2014. Advanced Land Observing Satellite (ALOS) – Phased Array-Type L-Band Synthetic Aperture Radar (PALSAR). Journal of Geospatial Research 7: 102–119.</w:t>
      </w:r>
    </w:p>
    <w:p>
      <w:pPr>
        <w:pStyle w:val="BodyText"/>
        <w:tabs>
          <w:tab w:val="clear" w:pos="720"/>
          <w:tab w:val="left" w:pos="8414" w:leader="none"/>
        </w:tabs>
        <w:spacing w:before="100" w:after="283"/>
        <w:rPr/>
      </w:pPr>
      <w:r>
        <w:rPr/>
        <w:t>Lombardo, L.; Mai, P.M. 2018. Presenting logistic regression-based landslide susceptibility results. Engineering Geology 244: 14-24.</w:t>
      </w:r>
    </w:p>
    <w:p>
      <w:pPr>
        <w:pStyle w:val="BodyText"/>
        <w:tabs>
          <w:tab w:val="clear" w:pos="720"/>
          <w:tab w:val="left" w:pos="8414" w:leader="none"/>
        </w:tabs>
        <w:spacing w:before="100" w:after="283"/>
        <w:rPr/>
      </w:pPr>
      <w:r>
        <w:rPr/>
        <w:t>Lombardo, L.; Opitz, T.; Ardizzone, F. 2020. Space-time landslide predictive modelling. Earth-Science Reviews 209: 103318.</w:t>
      </w:r>
    </w:p>
    <w:p>
      <w:pPr>
        <w:pStyle w:val="BodyText"/>
        <w:tabs>
          <w:tab w:val="clear" w:pos="720"/>
          <w:tab w:val="left" w:pos="8414" w:leader="none"/>
        </w:tabs>
        <w:spacing w:before="100" w:after="283"/>
        <w:rPr/>
      </w:pPr>
      <w:r>
        <w:rPr/>
        <w:t>Lombardo, L.; Opitz, T.; Huser, R. 2018. Point process-based modeling of multiple debris flow landslides using INLA: an application to the 2009 Messina disaster. Stochastic Environmental Research and Risk Assessment 32 (7): 2179–2198.</w:t>
      </w:r>
    </w:p>
    <w:p>
      <w:pPr>
        <w:pStyle w:val="BodyText"/>
        <w:tabs>
          <w:tab w:val="clear" w:pos="720"/>
          <w:tab w:val="left" w:pos="8414" w:leader="none"/>
        </w:tabs>
        <w:spacing w:before="100" w:after="283"/>
        <w:rPr/>
      </w:pPr>
      <w:r>
        <w:rPr/>
        <w:t>Marin, R.; Garcia, E.; Aristizabal, E. 2021. Assessing the effectiveness of TRIGRS for predicting unstable areas in a tropical mountain basin (Colombian Andes). Geotechnical and Geological Engineering 39 (3): 2329–2346.</w:t>
      </w:r>
    </w:p>
    <w:p>
      <w:pPr>
        <w:pStyle w:val="BodyText"/>
        <w:tabs>
          <w:tab w:val="clear" w:pos="720"/>
          <w:tab w:val="left" w:pos="8414" w:leader="none"/>
        </w:tabs>
        <w:spacing w:before="100" w:after="283"/>
        <w:rPr/>
      </w:pPr>
      <w:r>
        <w:rPr/>
        <w:t>Montgomery, D.R.; Dietrich, W.E. 1994. A physically based model for the topographic control on shallow landsliding. Water Resources Research 30 (4): 1153–1171.</w:t>
      </w:r>
    </w:p>
    <w:p>
      <w:pPr>
        <w:pStyle w:val="BodyText"/>
        <w:tabs>
          <w:tab w:val="clear" w:pos="720"/>
          <w:tab w:val="left" w:pos="8414" w:leader="none"/>
        </w:tabs>
        <w:spacing w:before="100" w:after="283"/>
        <w:rPr/>
      </w:pPr>
      <w:r>
        <w:rPr/>
        <w:t>Palacio, J.; Mergili, M.; Aristizabal, E. 2020. Probabilistic landslide susceptibility analysis in tropical mountainous terrain using the physically based r.slope.stability model. Natural Hazards and Earth System Sciences 20 (3): 815–829.</w:t>
      </w:r>
    </w:p>
    <w:p>
      <w:pPr>
        <w:pStyle w:val="BodyText"/>
        <w:tabs>
          <w:tab w:val="clear" w:pos="720"/>
          <w:tab w:val="left" w:pos="8414" w:leader="none"/>
        </w:tabs>
        <w:spacing w:before="100" w:after="283"/>
        <w:rPr/>
      </w:pPr>
      <w:r>
        <w:rPr/>
        <w:t>Patanè, G.; Bortolotti, T.; Yordanov, V.; Biagi, L.G.A.; Brovelli, M.A.; Truong, X.Q.; Vantini, S. 2025. An interpretable and transferable model for shallow landslides detachment combining spatial Poisson point processes and generalized additive models. Stochastic Environmental Research and Risk Assessment 39 (4): 1723-1740.</w:t>
      </w:r>
    </w:p>
    <w:p>
      <w:pPr>
        <w:pStyle w:val="BodyText"/>
        <w:tabs>
          <w:tab w:val="clear" w:pos="720"/>
          <w:tab w:val="left" w:pos="8414" w:leader="none"/>
        </w:tabs>
        <w:spacing w:before="100" w:after="283"/>
        <w:rPr/>
      </w:pPr>
      <w:r>
        <w:rPr/>
        <w:t>Pedregosa, F. 2011. Scikit-learn: Machine Learning in Python. Journal of Machine Learning Research 12: 2825-2830.</w:t>
      </w:r>
    </w:p>
    <w:p>
      <w:pPr>
        <w:pStyle w:val="BodyText"/>
        <w:tabs>
          <w:tab w:val="clear" w:pos="720"/>
          <w:tab w:val="left" w:pos="8414" w:leader="none"/>
        </w:tabs>
        <w:spacing w:before="100" w:after="283"/>
        <w:rPr/>
      </w:pPr>
      <w:r>
        <w:rPr/>
        <w:t>Petschko, H. 2012. Landslide susceptibility modeling with generalized additive models–facing the heterogeneity of large regions. In Landslides and Engineered Slopes, Protecting Society through Improved Understanding (Eberhardt, E.; editor). CRC Press: 769–777. Boca Raton.</w:t>
      </w:r>
    </w:p>
    <w:p>
      <w:pPr>
        <w:pStyle w:val="BodyText"/>
        <w:tabs>
          <w:tab w:val="clear" w:pos="720"/>
          <w:tab w:val="left" w:pos="8414" w:leader="none"/>
        </w:tabs>
        <w:spacing w:before="100" w:after="283"/>
        <w:rPr/>
      </w:pPr>
      <w:r>
        <w:rPr/>
        <w:t>Reichenbach, P. 2018. A review of statistically-based landslide susceptibility models. Earth-Science Reviews 180: 60–91.</w:t>
      </w:r>
    </w:p>
    <w:p>
      <w:pPr>
        <w:pStyle w:val="BodyText"/>
        <w:tabs>
          <w:tab w:val="clear" w:pos="720"/>
          <w:tab w:val="left" w:pos="8414" w:leader="none"/>
        </w:tabs>
        <w:spacing w:before="100" w:after="283"/>
        <w:rPr/>
      </w:pPr>
      <w:r>
        <w:rPr/>
        <w:t>Rousseeuw, P.J. 1987. Silhouettes: A Graphical Aid to the Interpretation and Validation of Cluster Analysis. Journal of Computational and Applied Mathematics 20: 53–65.</w:t>
      </w:r>
    </w:p>
    <w:p>
      <w:pPr>
        <w:pStyle w:val="BodyText"/>
        <w:tabs>
          <w:tab w:val="clear" w:pos="720"/>
          <w:tab w:val="left" w:pos="8414" w:leader="none"/>
        </w:tabs>
        <w:spacing w:before="100" w:after="283"/>
        <w:rPr/>
      </w:pPr>
      <w:r>
        <w:rPr/>
        <w:t>Sannino, G. et al. 2024. Deterministic Physically Based Distributed Models for Rainfall-Induced Shallow Landslides. Geosciences 14 (10): 255.</w:t>
      </w:r>
    </w:p>
    <w:p>
      <w:pPr>
        <w:pStyle w:val="BodyText"/>
        <w:tabs>
          <w:tab w:val="clear" w:pos="720"/>
          <w:tab w:val="left" w:pos="8414" w:leader="none"/>
        </w:tabs>
        <w:spacing w:before="100" w:after="283"/>
        <w:rPr/>
      </w:pPr>
      <w:r>
        <w:rPr/>
        <w:t>SGC Servicio Geológico Colombiano. 2013. Documento metodológico de la zonificación de susceptibilidad y amenaza por movimientos en masa escala 1: 100.000. Servicio Geológico Colombiano: 120 p. Bogotá DC.</w:t>
      </w:r>
    </w:p>
    <w:p>
      <w:pPr>
        <w:pStyle w:val="BodyText"/>
        <w:tabs>
          <w:tab w:val="clear" w:pos="720"/>
          <w:tab w:val="left" w:pos="8414" w:leader="none"/>
        </w:tabs>
        <w:spacing w:before="100" w:after="283"/>
        <w:rPr/>
      </w:pPr>
      <w:r>
        <w:rPr/>
        <w:t>Soeters, R.; Van Westen, C.J. 1996. Slope instability recognition, analysis and zonation. In Landslides: Investigation and Mitigation (Turner, A.K.; Schuster, R.L.; editors). National Academy Press: 129–177. Washington DC.</w:t>
      </w:r>
    </w:p>
    <w:p>
      <w:pPr>
        <w:pStyle w:val="BodyText"/>
        <w:tabs>
          <w:tab w:val="clear" w:pos="720"/>
          <w:tab w:val="left" w:pos="8414" w:leader="none"/>
        </w:tabs>
        <w:spacing w:before="100" w:after="283"/>
        <w:rPr/>
      </w:pPr>
      <w:r>
        <w:rPr/>
        <w:t>Steger, S.; Brenning, A.; Bell, R.; Petschko, H.; Glade, T. 2016. Exploring discrepancies between quantitative validation results and the geomorphic plausibility of statistical landslide susceptibility maps. Geomorphology 262: 8-23.</w:t>
      </w:r>
    </w:p>
    <w:p>
      <w:pPr>
        <w:pStyle w:val="BodyText"/>
        <w:tabs>
          <w:tab w:val="clear" w:pos="720"/>
          <w:tab w:val="left" w:pos="8414" w:leader="none"/>
        </w:tabs>
        <w:spacing w:before="100" w:after="283"/>
        <w:rPr/>
      </w:pPr>
      <w:r>
        <w:rPr/>
        <w:t>Tehrani, F.S.; Calvello, M.; Liu, Z.; Zhang, L.; Lacasse, S. 2022. Machine learning and landslide studies: recent advances and applications. Natural Hazards 114 (2): 1197–1245.</w:t>
      </w:r>
    </w:p>
    <w:p>
      <w:pPr>
        <w:pStyle w:val="BodyText"/>
        <w:tabs>
          <w:tab w:val="clear" w:pos="720"/>
          <w:tab w:val="left" w:pos="8414" w:leader="none"/>
        </w:tabs>
        <w:spacing w:before="100" w:after="283"/>
        <w:rPr/>
      </w:pPr>
      <w:r>
        <w:rPr/>
        <w:t>Thorndike, R.L. 1953. Who Belongs in the Family? Psychometrika 18 (4): 267–276.</w:t>
      </w:r>
    </w:p>
    <w:p>
      <w:pPr>
        <w:pStyle w:val="BodyText"/>
        <w:tabs>
          <w:tab w:val="clear" w:pos="720"/>
          <w:tab w:val="left" w:pos="8414" w:leader="none"/>
        </w:tabs>
        <w:spacing w:before="100" w:after="283"/>
        <w:rPr/>
      </w:pPr>
      <w:r>
        <w:rPr/>
        <w:t>Van Westen, C.J.; Castellanos, E.; Kuriakose, S.L. 2008. Spatial data for landslide susceptibility, hazard, and vulnerability assessment: An overview. Engineering Geology 102 (3-4): 112-131.</w:t>
      </w:r>
    </w:p>
    <w:p>
      <w:pPr>
        <w:pStyle w:val="BodyText"/>
        <w:tabs>
          <w:tab w:val="clear" w:pos="720"/>
          <w:tab w:val="left" w:pos="8414" w:leader="none"/>
        </w:tabs>
        <w:spacing w:before="100" w:after="283"/>
        <w:rPr/>
      </w:pPr>
      <w:r>
        <w:rPr/>
        <w:t>Wong, G.Y.; Mason, W.M. 1985. The hierarchical logistic regression model for multilevel analysis. Journal of the American Statistical Association 80 (391): 513–524.</w:t>
      </w:r>
    </w:p>
    <w:p>
      <w:pPr>
        <w:pStyle w:val="BodyText"/>
        <w:tabs>
          <w:tab w:val="clear" w:pos="720"/>
          <w:tab w:val="left" w:pos="8414" w:leader="none"/>
        </w:tabs>
        <w:spacing w:before="100" w:after="283"/>
        <w:rPr/>
      </w:pPr>
      <w:r>
        <w:rPr/>
        <w:t>Xu, H. 2006. Modification of Normalized Difference Water Index (MNDWI) to Enhance Open Water Features in Remotely Sensed Imagery. International Journal of Remote Sensing 27 (14): 3025–3033.</w:t>
      </w:r>
    </w:p>
    <w:p>
      <w:pPr>
        <w:pStyle w:val="BodyText"/>
        <w:tabs>
          <w:tab w:val="clear" w:pos="720"/>
          <w:tab w:val="left" w:pos="8414" w:leader="none"/>
        </w:tabs>
        <w:spacing w:before="100" w:after="283"/>
        <w:rPr/>
      </w:pPr>
      <w:r>
        <w:rPr/>
        <w:t>Youssef, K. et al. 2023. Landslide susceptibility modeling by interpretable neural network. Communications Earth &amp; Environment 4 (1): 162.</w:t>
      </w:r>
    </w:p>
    <w:p>
      <w:pPr>
        <w:pStyle w:val="BodyText"/>
        <w:tabs>
          <w:tab w:val="clear" w:pos="720"/>
          <w:tab w:val="left" w:pos="8414" w:leader="none"/>
        </w:tabs>
        <w:spacing w:before="100" w:after="283"/>
        <w:rPr/>
      </w:pPr>
      <w:r>
        <w:rPr/>
        <w:t>Zha, Y.; Gao, J.; Ni, S. 2003. Use of Normalized Difference Built-up Index in Automated Urban Area Mapping. Remote Sensing of Environment 87 (4): 467–480.</w:t>
      </w:r>
    </w:p>
    <w:p>
      <w:pPr>
        <w:pStyle w:val="normal1"/>
        <w:tabs>
          <w:tab w:val="clear" w:pos="720"/>
          <w:tab w:val="left" w:pos="8414" w:leader="none"/>
        </w:tabs>
        <w:spacing w:lineRule="auto" w:line="240" w:before="100" w:after="0"/>
        <w:ind w:firstLine="113" w:start="113"/>
        <w:rPr/>
      </w:pPr>
      <w:r>
        <w:rPr/>
      </w:r>
    </w:p>
    <w:sectPr>
      <w:headerReference w:type="even" r:id="rId7"/>
      <w:headerReference w:type="default" r:id="rId8"/>
      <w:headerReference w:type="first" r:id="rId9"/>
      <w:type w:val="nextPage"/>
      <w:pgSz w:w="9978" w:h="14173"/>
      <w:pgMar w:left="850" w:right="720" w:gutter="0" w:header="734" w:top="1008" w:footer="0" w:bottom="280"/>
      <w:lnNumType w:countBy="1"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rebuchet MS">
    <w:charset w:val="01" w:characterSet="utf-8"/>
    <w:family w:val="roman"/>
    <w:pitch w:val="variable"/>
  </w:font>
  <w:font w:name="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Palatino Linotype">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eorgia">
    <w:charset w:val="01" w:characterSet="utf-8"/>
    <w:family w:val="roman"/>
    <w:pitch w:val="variable"/>
  </w:font>
  <w:font w:name="Arial">
    <w:charset w:val="01" w:characterSet="utf-8"/>
    <w:family w:val="roman"/>
    <w:pitch w:val="variable"/>
  </w:font>
  <w:font w:name="Cambria Math">
    <w:charset w:val="01" w:characterSet="utf-8"/>
    <w:family w:val="roman"/>
    <w:pitch w:val="variable"/>
    <w:embedRegular r:id="rId13" w:fontKey="{0D014A78-CABC-4EF0-12AC-5CD89AEFDE0D}"/>
    <w:embedBold r:id="rId14" w:fontKey="{0E014A78-CABC-4EF0-12AC-5CD89AEFDE0E}"/>
  </w:font>
  <w:font w:name="Calibri">
    <w:charset w:val="01" w:characterSet="utf-8"/>
    <w:family w:val="roman"/>
    <w:pitch w:val="variable"/>
  </w:font>
  <w:font w:name="Verdana">
    <w:charset w:val="01" w:characterSet="utf-8"/>
    <w:family w:val="roman"/>
    <w:pitch w:val="variable"/>
  </w:font>
  <w:font w:name="Lucida Sans">
    <w:charset w:val="01" w:characterSet="utf-8"/>
    <w:family w:val="roman"/>
    <w:pitch w:val="variable"/>
  </w:font>
  <w:font w:name="Noto Sans Symbols">
    <w:charset w:val="01"/>
    <w:family w:val="swiss"/>
    <w:pitch w:val="variable"/>
    <w:embedRegular r:id="rId15" w:fontKey="{0F014A78-CABC-4EF0-12AC-5CD89AEFDE0F}"/>
    <w:embedBold r:id="rId16" w:fontKey="{10014A78-CABC-4EF0-12AC-5CD89AEFDE10}"/>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1" distT="0" distB="0" distL="0" distR="0" simplePos="0" locked="0" layoutInCell="0" allowOverlap="1" relativeHeight="4">
              <wp:simplePos x="0" y="0"/>
              <wp:positionH relativeFrom="page">
                <wp:posOffset>-4445</wp:posOffset>
              </wp:positionH>
              <wp:positionV relativeFrom="page">
                <wp:posOffset>-4445</wp:posOffset>
              </wp:positionV>
              <wp:extent cx="178435" cy="210185"/>
              <wp:effectExtent l="0" t="0" r="0" b="0"/>
              <wp:wrapNone/>
              <wp:docPr id="3" name="Shape 8"/>
              <a:graphic xmlns:a="http://schemas.openxmlformats.org/drawingml/2006/main">
                <a:graphicData uri="http://schemas.microsoft.com/office/word/2010/wordprocessingShape">
                  <wps:wsp>
                    <wps:cNvSpPr/>
                    <wps:spPr>
                      <a:xfrm>
                        <a:off x="0" y="0"/>
                        <a:ext cx="178560" cy="210240"/>
                      </a:xfrm>
                      <a:prstGeom prst="rect">
                        <a:avLst/>
                      </a:prstGeom>
                      <a:noFill/>
                      <a:ln w="0">
                        <a:noFill/>
                      </a:ln>
                    </wps:spPr>
                    <wps:style>
                      <a:lnRef idx="0"/>
                      <a:fillRef idx="0"/>
                      <a:effectRef idx="0"/>
                      <a:fontRef idx="minor"/>
                    </wps:style>
                    <wps:txbx>
                      <w:txbxContent>
                        <w:p>
                          <w:pPr>
                            <w:pStyle w:val="FrameContents"/>
                            <w:spacing w:lineRule="auto" w:line="240" w:before="57" w:after="0"/>
                            <w:ind w:hanging="0" w:start="60" w:end="0"/>
                            <w:jc w:val="start"/>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PAGE 0</w:t>
                          </w:r>
                        </w:p>
                      </w:txbxContent>
                    </wps:txbx>
                    <wps:bodyPr lIns="0" rIns="0" tIns="0" bIns="0" anchor="t">
                      <a:noAutofit/>
                    </wps:bodyPr>
                  </wps:wsp>
                </a:graphicData>
              </a:graphic>
            </wp:anchor>
          </w:drawing>
        </mc:Choice>
        <mc:Fallback>
          <w:pict>
            <v:rect id="shape_0" ID="Shape 8" path="m0,0l-2147483645,0l-2147483645,-2147483646l0,-2147483646xe" stroked="f" o:allowincell="f" style="position:absolute;margin-left:-0.35pt;margin-top:-0.35pt;width:14pt;height:16.5pt;mso-wrap-style:square;v-text-anchor:top;mso-position-horizontal-relative:page;mso-position-vertical-relative:page">
              <v:fill o:detectmouseclick="t" on="false"/>
              <v:stroke color="#3465a4" joinstyle="round" endcap="flat"/>
              <v:textbox>
                <w:txbxContent>
                  <w:p>
                    <w:pPr>
                      <w:pStyle w:val="FrameContents"/>
                      <w:spacing w:lineRule="auto" w:line="240" w:before="57" w:after="0"/>
                      <w:ind w:hanging="0" w:start="60" w:end="0"/>
                      <w:jc w:val="start"/>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PAGE 0</w:t>
                    </w:r>
                  </w:p>
                </w:txbxContent>
              </v:textbox>
              <w10:wrap type="none"/>
            </v:rect>
          </w:pict>
        </mc:Fallback>
      </mc:AlternateContent>
      <mc:AlternateContent>
        <mc:Choice Requires="wps">
          <w:drawing>
            <wp:anchor behindDoc="1" distT="0" distB="0" distL="0" distR="0" simplePos="0" locked="0" layoutInCell="0" allowOverlap="1" relativeHeight="5">
              <wp:simplePos x="0" y="0"/>
              <wp:positionH relativeFrom="page">
                <wp:posOffset>-4445</wp:posOffset>
              </wp:positionH>
              <wp:positionV relativeFrom="page">
                <wp:posOffset>-4445</wp:posOffset>
              </wp:positionV>
              <wp:extent cx="945515" cy="180975"/>
              <wp:effectExtent l="0" t="0" r="0" b="0"/>
              <wp:wrapNone/>
              <wp:docPr id="4" name="Shape 3"/>
              <a:graphic xmlns:a="http://schemas.openxmlformats.org/drawingml/2006/main">
                <a:graphicData uri="http://schemas.microsoft.com/office/word/2010/wordprocessingShape">
                  <wps:wsp>
                    <wps:cNvSpPr/>
                    <wps:spPr>
                      <a:xfrm>
                        <a:off x="0" y="0"/>
                        <a:ext cx="945360" cy="181080"/>
                      </a:xfrm>
                      <a:prstGeom prst="rect">
                        <a:avLst/>
                      </a:prstGeom>
                      <a:noFill/>
                      <a:ln w="0">
                        <a:noFill/>
                      </a:ln>
                    </wps:spPr>
                    <wps:style>
                      <a:lnRef idx="0"/>
                      <a:fillRef idx="0"/>
                      <a:effectRef idx="0"/>
                      <a:fontRef idx="minor"/>
                    </wps:style>
                    <wps:txbx>
                      <w:txbxContent>
                        <w:p>
                          <w:pPr>
                            <w:pStyle w:val="FrameContents"/>
                            <w:spacing w:lineRule="auto" w:line="240" w:before="50" w:after="0"/>
                            <w:ind w:hanging="0" w:start="20" w:end="0"/>
                            <w:jc w:val="start"/>
                            <w:rPr/>
                          </w:pPr>
                          <w:r>
                            <w:rPr>
                              <w:rFonts w:eastAsia="Times New Roman" w:cs="Times New Roman" w:ascii="Times New Roman" w:hAnsi="Times New Roman"/>
                              <w:b w:val="false"/>
                              <w:i w:val="false"/>
                              <w:caps w:val="false"/>
                              <w:smallCaps w:val="false"/>
                              <w:strike w:val="false"/>
                              <w:dstrike w:val="false"/>
                              <w:color w:val="000000"/>
                              <w:position w:val="0"/>
                              <w:sz w:val="16"/>
                              <w:sz w:val="16"/>
                              <w:vertAlign w:val="baseline"/>
                            </w:rPr>
                            <w:t xml:space="preserve">Edier Aristizábal </w:t>
                          </w:r>
                          <w:r>
                            <w:rPr>
                              <w:rFonts w:eastAsia="Times New Roman" w:cs="Times New Roman" w:ascii="Times New Roman" w:hAnsi="Times New Roman"/>
                              <w:b w:val="false"/>
                              <w:i/>
                              <w:caps w:val="false"/>
                              <w:smallCaps w:val="false"/>
                              <w:strike w:val="false"/>
                              <w:dstrike w:val="false"/>
                              <w:color w:val="000000"/>
                              <w:position w:val="0"/>
                              <w:sz w:val="16"/>
                              <w:sz w:val="16"/>
                              <w:vertAlign w:val="baseline"/>
                            </w:rPr>
                            <w:t>et al.</w:t>
                          </w:r>
                        </w:p>
                      </w:txbxContent>
                    </wps:txbx>
                    <wps:bodyPr lIns="0" rIns="0" tIns="0" bIns="0" anchor="t">
                      <a:noAutofit/>
                    </wps:bodyPr>
                  </wps:wsp>
                </a:graphicData>
              </a:graphic>
            </wp:anchor>
          </w:drawing>
        </mc:Choice>
        <mc:Fallback>
          <w:pict>
            <v:rect id="shape_0" ID="Shape 3" path="m0,0l-2147483645,0l-2147483645,-2147483646l0,-2147483646xe" stroked="f" o:allowincell="f" style="position:absolute;margin-left:-0.35pt;margin-top:-0.35pt;width:74.4pt;height:14.2pt;mso-wrap-style:square;v-text-anchor:top;mso-position-horizontal-relative:page;mso-position-vertical-relative:page">
              <v:fill o:detectmouseclick="t" on="false"/>
              <v:stroke color="#3465a4" joinstyle="round" endcap="flat"/>
              <v:textbox>
                <w:txbxContent>
                  <w:p>
                    <w:pPr>
                      <w:pStyle w:val="FrameContents"/>
                      <w:spacing w:lineRule="auto" w:line="240" w:before="50" w:after="0"/>
                      <w:ind w:hanging="0" w:start="20" w:end="0"/>
                      <w:jc w:val="start"/>
                      <w:rPr/>
                    </w:pPr>
                    <w:r>
                      <w:rPr>
                        <w:rFonts w:eastAsia="Times New Roman" w:cs="Times New Roman" w:ascii="Times New Roman" w:hAnsi="Times New Roman"/>
                        <w:b w:val="false"/>
                        <w:i w:val="false"/>
                        <w:caps w:val="false"/>
                        <w:smallCaps w:val="false"/>
                        <w:strike w:val="false"/>
                        <w:dstrike w:val="false"/>
                        <w:color w:val="000000"/>
                        <w:position w:val="0"/>
                        <w:sz w:val="16"/>
                        <w:sz w:val="16"/>
                        <w:vertAlign w:val="baseline"/>
                      </w:rPr>
                      <w:t xml:space="preserve">Edier Aristizábal </w:t>
                    </w:r>
                    <w:r>
                      <w:rPr>
                        <w:rFonts w:eastAsia="Times New Roman" w:cs="Times New Roman" w:ascii="Times New Roman" w:hAnsi="Times New Roman"/>
                        <w:b w:val="false"/>
                        <w:i/>
                        <w:caps w:val="false"/>
                        <w:smallCaps w:val="false"/>
                        <w:strike w:val="false"/>
                        <w:dstrike w:val="false"/>
                        <w:color w:val="000000"/>
                        <w:position w:val="0"/>
                        <w:sz w:val="16"/>
                        <w:sz w:val="16"/>
                        <w:vertAlign w:val="baseline"/>
                      </w:rPr>
                      <w:t>et al.</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1" distT="0" distB="0" distL="0" distR="0" simplePos="0" locked="0" layoutInCell="0" allowOverlap="1" relativeHeight="2">
              <wp:simplePos x="0" y="0"/>
              <wp:positionH relativeFrom="page">
                <wp:posOffset>5589270</wp:posOffset>
              </wp:positionH>
              <wp:positionV relativeFrom="page">
                <wp:posOffset>380365</wp:posOffset>
              </wp:positionV>
              <wp:extent cx="191135" cy="210185"/>
              <wp:effectExtent l="0" t="0" r="0" b="0"/>
              <wp:wrapNone/>
              <wp:docPr id="5" name="Shape 2"/>
              <a:graphic xmlns:a="http://schemas.openxmlformats.org/drawingml/2006/main">
                <a:graphicData uri="http://schemas.microsoft.com/office/word/2010/wordprocessingShape">
                  <wps:wsp>
                    <wps:cNvSpPr/>
                    <wps:spPr>
                      <a:xfrm>
                        <a:off x="0" y="0"/>
                        <a:ext cx="191160" cy="210240"/>
                      </a:xfrm>
                      <a:prstGeom prst="rect">
                        <a:avLst/>
                      </a:prstGeom>
                      <a:noFill/>
                      <a:ln w="0">
                        <a:noFill/>
                      </a:ln>
                    </wps:spPr>
                    <wps:style>
                      <a:lnRef idx="0"/>
                      <a:fillRef idx="0"/>
                      <a:effectRef idx="0"/>
                      <a:fontRef idx="minor"/>
                    </wps:style>
                    <wps:txbx>
                      <w:txbxContent>
                        <w:p>
                          <w:pPr>
                            <w:pStyle w:val="FrameContents"/>
                            <w:spacing w:lineRule="auto" w:line="240" w:before="57" w:after="0"/>
                            <w:ind w:hanging="0" w:start="20" w:end="0"/>
                            <w:jc w:val="start"/>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PAGE 15</w:t>
                          </w:r>
                        </w:p>
                      </w:txbxContent>
                    </wps:txbx>
                    <wps:bodyPr lIns="0" rIns="0" tIns="0" bIns="0" anchor="t">
                      <a:noAutofit/>
                    </wps:bodyPr>
                  </wps:wsp>
                </a:graphicData>
              </a:graphic>
            </wp:anchor>
          </w:drawing>
        </mc:Choice>
        <mc:Fallback>
          <w:pict>
            <v:rect id="shape_0" ID="Shape 2" path="m0,0l-2147483645,0l-2147483645,-2147483646l0,-2147483646xe" stroked="f" o:allowincell="f" style="position:absolute;margin-left:440.1pt;margin-top:29.95pt;width:15pt;height:16.5pt;mso-wrap-style:square;v-text-anchor:top;mso-position-horizontal-relative:page;mso-position-vertical-relative:page">
              <v:fill o:detectmouseclick="t" on="false"/>
              <v:stroke color="#3465a4" joinstyle="round" endcap="flat"/>
              <v:textbox>
                <w:txbxContent>
                  <w:p>
                    <w:pPr>
                      <w:pStyle w:val="FrameContents"/>
                      <w:spacing w:lineRule="auto" w:line="240" w:before="57" w:after="0"/>
                      <w:ind w:hanging="0" w:start="20" w:end="0"/>
                      <w:jc w:val="start"/>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PAGE 15</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1" distT="0" distB="0" distL="0" distR="0" simplePos="0" locked="0" layoutInCell="0" allowOverlap="1" relativeHeight="16">
              <wp:simplePos x="0" y="0"/>
              <wp:positionH relativeFrom="page">
                <wp:posOffset>568960</wp:posOffset>
              </wp:positionH>
              <wp:positionV relativeFrom="page">
                <wp:posOffset>380365</wp:posOffset>
              </wp:positionV>
              <wp:extent cx="178435" cy="210185"/>
              <wp:effectExtent l="0" t="0" r="0" b="0"/>
              <wp:wrapNone/>
              <wp:docPr id="6" name="Shape 7"/>
              <a:graphic xmlns:a="http://schemas.openxmlformats.org/drawingml/2006/main">
                <a:graphicData uri="http://schemas.microsoft.com/office/word/2010/wordprocessingShape">
                  <wps:wsp>
                    <wps:cNvSpPr/>
                    <wps:spPr>
                      <a:xfrm>
                        <a:off x="0" y="0"/>
                        <a:ext cx="178560" cy="210240"/>
                      </a:xfrm>
                      <a:prstGeom prst="rect">
                        <a:avLst/>
                      </a:prstGeom>
                      <a:noFill/>
                      <a:ln w="0">
                        <a:noFill/>
                      </a:ln>
                    </wps:spPr>
                    <wps:style>
                      <a:lnRef idx="0"/>
                      <a:fillRef idx="0"/>
                      <a:effectRef idx="0"/>
                      <a:fontRef idx="minor"/>
                    </wps:style>
                    <wps:txbx>
                      <w:txbxContent>
                        <w:p>
                          <w:pPr>
                            <w:pStyle w:val="FrameContents"/>
                            <w:spacing w:lineRule="auto" w:line="240" w:before="57" w:after="0"/>
                            <w:ind w:hanging="0" w:start="60" w:end="0"/>
                            <w:jc w:val="start"/>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PAGE 20</w:t>
                          </w:r>
                        </w:p>
                      </w:txbxContent>
                    </wps:txbx>
                    <wps:bodyPr lIns="0" rIns="0" tIns="0" bIns="0" anchor="t">
                      <a:noAutofit/>
                    </wps:bodyPr>
                  </wps:wsp>
                </a:graphicData>
              </a:graphic>
            </wp:anchor>
          </w:drawing>
        </mc:Choice>
        <mc:Fallback>
          <w:pict>
            <v:rect id="shape_0" ID="Shape 7" path="m0,0l-2147483645,0l-2147483645,-2147483646l0,-2147483646xe" stroked="f" o:allowincell="f" style="position:absolute;margin-left:44.8pt;margin-top:29.95pt;width:14pt;height:16.5pt;mso-wrap-style:square;v-text-anchor:top;mso-position-horizontal-relative:page;mso-position-vertical-relative:page">
              <v:fill o:detectmouseclick="t" on="false"/>
              <v:stroke color="#3465a4" joinstyle="round" endcap="flat"/>
              <v:textbox>
                <w:txbxContent>
                  <w:p>
                    <w:pPr>
                      <w:pStyle w:val="FrameContents"/>
                      <w:spacing w:lineRule="auto" w:line="240" w:before="57" w:after="0"/>
                      <w:ind w:hanging="0" w:start="60" w:end="0"/>
                      <w:jc w:val="start"/>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PAGE 20</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40" w:before="0" w:after="0"/>
      <w:ind w:hanging="0" w:start="0" w:end="0"/>
      <w:jc w:val="start"/>
      <w:rPr>
        <w:rFonts w:ascii="Trebuchet MS" w:hAnsi="Trebuchet MS" w:eastAsia="Trebuchet MS" w:cs="Trebuchet M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rebuchet MS" w:cs="Trebuchet MS"/>
        <w:b w:val="false"/>
        <w:bCs w:val="false"/>
        <w:i w:val="false"/>
        <w:iCs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1" distT="0" distB="0" distL="0" distR="0" simplePos="0" locked="0" layoutInCell="0" allowOverlap="1" relativeHeight="10">
              <wp:simplePos x="0" y="0"/>
              <wp:positionH relativeFrom="page">
                <wp:posOffset>5589270</wp:posOffset>
              </wp:positionH>
              <wp:positionV relativeFrom="page">
                <wp:posOffset>380365</wp:posOffset>
              </wp:positionV>
              <wp:extent cx="191135" cy="210185"/>
              <wp:effectExtent l="0" t="0" r="0" b="0"/>
              <wp:wrapNone/>
              <wp:docPr id="7" name="Shape 6"/>
              <a:graphic xmlns:a="http://schemas.openxmlformats.org/drawingml/2006/main">
                <a:graphicData uri="http://schemas.microsoft.com/office/word/2010/wordprocessingShape">
                  <wps:wsp>
                    <wps:cNvSpPr/>
                    <wps:spPr>
                      <a:xfrm>
                        <a:off x="0" y="0"/>
                        <a:ext cx="191160" cy="210240"/>
                      </a:xfrm>
                      <a:prstGeom prst="rect">
                        <a:avLst/>
                      </a:prstGeom>
                      <a:noFill/>
                      <a:ln w="0">
                        <a:noFill/>
                      </a:ln>
                    </wps:spPr>
                    <wps:style>
                      <a:lnRef idx="0"/>
                      <a:fillRef idx="0"/>
                      <a:effectRef idx="0"/>
                      <a:fontRef idx="minor"/>
                    </wps:style>
                    <wps:txbx>
                      <w:txbxContent>
                        <w:p>
                          <w:pPr>
                            <w:pStyle w:val="FrameContents"/>
                            <w:spacing w:lineRule="auto" w:line="240" w:before="57" w:after="0"/>
                            <w:ind w:hanging="0" w:start="20" w:end="0"/>
                            <w:jc w:val="start"/>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PAGE 21</w:t>
                          </w:r>
                        </w:p>
                      </w:txbxContent>
                    </wps:txbx>
                    <wps:bodyPr lIns="0" rIns="0" tIns="0" bIns="0" anchor="t">
                      <a:noAutofit/>
                    </wps:bodyPr>
                  </wps:wsp>
                </a:graphicData>
              </a:graphic>
            </wp:anchor>
          </w:drawing>
        </mc:Choice>
        <mc:Fallback>
          <w:pict>
            <v:rect id="shape_0" ID="Shape 6" path="m0,0l-2147483645,0l-2147483645,-2147483646l0,-2147483646xe" stroked="f" o:allowincell="f" style="position:absolute;margin-left:440.1pt;margin-top:29.95pt;width:15pt;height:16.5pt;mso-wrap-style:square;v-text-anchor:top;mso-position-horizontal-relative:page;mso-position-vertical-relative:page">
              <v:fill o:detectmouseclick="t" on="false"/>
              <v:stroke color="#3465a4" joinstyle="round" endcap="flat"/>
              <v:textbox>
                <w:txbxContent>
                  <w:p>
                    <w:pPr>
                      <w:pStyle w:val="FrameContents"/>
                      <w:spacing w:lineRule="auto" w:line="240" w:before="57" w:after="0"/>
                      <w:ind w:hanging="0" w:start="20" w:end="0"/>
                      <w:jc w:val="start"/>
                      <w:rPr/>
                    </w:pP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 xml:space="preserve"> </w:t>
                    </w:r>
                    <w:r>
                      <w:rPr>
                        <w:rFonts w:eastAsia="Times New Roman" w:cs="Times New Roman" w:ascii="Times New Roman" w:hAnsi="Times New Roman"/>
                        <w:b w:val="false"/>
                        <w:i w:val="false"/>
                        <w:caps w:val="false"/>
                        <w:smallCaps w:val="false"/>
                        <w:strike w:val="false"/>
                        <w:dstrike w:val="false"/>
                        <w:color w:val="000000"/>
                        <w:position w:val="0"/>
                        <w:sz w:val="20"/>
                        <w:sz w:val="20"/>
                        <w:vertAlign w:val="baseline"/>
                      </w:rPr>
                      <w:t>PAGE 21</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98" w:hanging="285"/>
      </w:pPr>
      <w:rPr>
        <w:sz w:val="24"/>
        <w:i w:val="false"/>
        <w:b/>
        <w:szCs w:val="24"/>
        <w:iCs w:val="false"/>
        <w:bCs/>
        <w:rFonts w:ascii="Palatino Linotype" w:hAnsi="Palatino Linotype" w:eastAsia="Palatino Linotype" w:cs="Palatino Linotype"/>
        <w:color w:val="00004C"/>
      </w:rPr>
    </w:lvl>
    <w:lvl w:ilvl="1">
      <w:start w:val="1"/>
      <w:numFmt w:val="decimal"/>
      <w:lvlText w:val="%1.%2"/>
      <w:lvlJc w:val="start"/>
      <w:pPr>
        <w:tabs>
          <w:tab w:val="num" w:pos="0"/>
        </w:tabs>
        <w:ind w:start="566" w:hanging="453"/>
      </w:pPr>
      <w:rPr>
        <w:sz w:val="20"/>
        <w:i w:val="false"/>
        <w:b/>
        <w:szCs w:val="20"/>
        <w:iCs w:val="false"/>
        <w:bCs/>
        <w:rFonts w:ascii="Palatino Linotype" w:hAnsi="Palatino Linotype" w:eastAsia="Palatino Linotype" w:cs="Palatino Linotype"/>
        <w:color w:val="00004C"/>
      </w:rPr>
    </w:lvl>
    <w:lvl w:ilvl="2">
      <w:start w:val="0"/>
      <w:numFmt w:val="bullet"/>
      <w:lvlText w:val="●"/>
      <w:lvlJc w:val="start"/>
      <w:pPr>
        <w:tabs>
          <w:tab w:val="num" w:pos="0"/>
        </w:tabs>
        <w:ind w:start="1464" w:hanging="453"/>
      </w:pPr>
      <w:rPr>
        <w:rFonts w:ascii="Noto Sans Symbols" w:hAnsi="Noto Sans Symbols" w:cs="Noto Sans Symbols" w:hint="default"/>
      </w:rPr>
    </w:lvl>
    <w:lvl w:ilvl="3">
      <w:start w:val="0"/>
      <w:numFmt w:val="bullet"/>
      <w:lvlText w:val="●"/>
      <w:lvlJc w:val="start"/>
      <w:pPr>
        <w:tabs>
          <w:tab w:val="num" w:pos="0"/>
        </w:tabs>
        <w:ind w:start="2369" w:hanging="453"/>
      </w:pPr>
      <w:rPr>
        <w:rFonts w:ascii="Noto Sans Symbols" w:hAnsi="Noto Sans Symbols" w:cs="Noto Sans Symbols" w:hint="default"/>
      </w:rPr>
    </w:lvl>
    <w:lvl w:ilvl="4">
      <w:start w:val="0"/>
      <w:numFmt w:val="bullet"/>
      <w:lvlText w:val="●"/>
      <w:lvlJc w:val="start"/>
      <w:pPr>
        <w:tabs>
          <w:tab w:val="num" w:pos="0"/>
        </w:tabs>
        <w:ind w:start="3274" w:hanging="453"/>
      </w:pPr>
      <w:rPr>
        <w:rFonts w:ascii="Noto Sans Symbols" w:hAnsi="Noto Sans Symbols" w:cs="Noto Sans Symbols" w:hint="default"/>
      </w:rPr>
    </w:lvl>
    <w:lvl w:ilvl="5">
      <w:start w:val="0"/>
      <w:numFmt w:val="bullet"/>
      <w:lvlText w:val="●"/>
      <w:lvlJc w:val="start"/>
      <w:pPr>
        <w:tabs>
          <w:tab w:val="num" w:pos="0"/>
        </w:tabs>
        <w:ind w:start="4179" w:hanging="453"/>
      </w:pPr>
      <w:rPr>
        <w:rFonts w:ascii="Noto Sans Symbols" w:hAnsi="Noto Sans Symbols" w:cs="Noto Sans Symbols" w:hint="default"/>
      </w:rPr>
    </w:lvl>
    <w:lvl w:ilvl="6">
      <w:start w:val="0"/>
      <w:numFmt w:val="bullet"/>
      <w:lvlText w:val="●"/>
      <w:lvlJc w:val="start"/>
      <w:pPr>
        <w:tabs>
          <w:tab w:val="num" w:pos="0"/>
        </w:tabs>
        <w:ind w:start="5083" w:hanging="453"/>
      </w:pPr>
      <w:rPr>
        <w:rFonts w:ascii="Noto Sans Symbols" w:hAnsi="Noto Sans Symbols" w:cs="Noto Sans Symbols" w:hint="default"/>
      </w:rPr>
    </w:lvl>
    <w:lvl w:ilvl="7">
      <w:start w:val="0"/>
      <w:numFmt w:val="bullet"/>
      <w:lvlText w:val="●"/>
      <w:lvlJc w:val="start"/>
      <w:pPr>
        <w:tabs>
          <w:tab w:val="num" w:pos="0"/>
        </w:tabs>
        <w:ind w:start="5988" w:hanging="453"/>
      </w:pPr>
      <w:rPr>
        <w:rFonts w:ascii="Noto Sans Symbols" w:hAnsi="Noto Sans Symbols" w:cs="Noto Sans Symbols" w:hint="default"/>
      </w:rPr>
    </w:lvl>
    <w:lvl w:ilvl="8">
      <w:start w:val="0"/>
      <w:numFmt w:val="bullet"/>
      <w:lvlText w:val="●"/>
      <w:lvlJc w:val="start"/>
      <w:pPr>
        <w:tabs>
          <w:tab w:val="num" w:pos="0"/>
        </w:tabs>
        <w:ind w:start="6893" w:hanging="453"/>
      </w:pPr>
      <w:rPr>
        <w:rFonts w:ascii="Noto Sans Symbols" w:hAnsi="Noto Sans Symbols" w:cs="Noto Sans Symbol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embedTrueTypeFonts/>
  <w:defaultTabStop w:val="720"/>
  <w:autoHyphenation w:val="true"/>
  <w:hyphenationZone w:val="0"/>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rebuchet MS" w:hAnsi="Trebuchet MS" w:eastAsia="Trebuchet MS" w:cs="Trebuchet MS"/>
        <w:sz w:val="22"/>
        <w:szCs w:val="22"/>
        <w:lang w:val="es-CO" w:eastAsia="zh-CN" w:bidi="hi-IN"/>
      </w:rPr>
    </w:rPrDefault>
    <w:pPrDefault>
      <w:pPr>
        <w:suppressAutoHyphens w:val="true"/>
      </w:pPr>
    </w:pPrDefault>
  </w:docDefaults>
  <w:style w:type="paragraph" w:styleId="Normal">
    <w:name w:val="Normal"/>
    <w:qFormat/>
    <w:pPr>
      <w:widowControl w:val="false"/>
      <w:bidi w:val="0"/>
      <w:spacing w:before="0" w:after="0"/>
      <w:jc w:val="start"/>
    </w:pPr>
    <w:rPr>
      <w:rFonts w:ascii="Trebuchet MS" w:hAnsi="Trebuchet MS" w:eastAsia="Trebuchet MS" w:cs="Trebuchet MS"/>
      <w:color w:val="auto"/>
      <w:kern w:val="0"/>
      <w:sz w:val="22"/>
      <w:szCs w:val="22"/>
      <w:lang w:val="es-CO" w:eastAsia="zh-CN" w:bidi="hi-IN"/>
    </w:rPr>
  </w:style>
  <w:style w:type="paragraph" w:styleId="Heading1">
    <w:name w:val="heading 1"/>
    <w:basedOn w:val="normal1"/>
    <w:next w:val="normal1"/>
    <w:qFormat/>
    <w:pPr>
      <w:ind w:start="113"/>
    </w:pPr>
    <w:rPr>
      <w:rFonts w:ascii="Times New Roman" w:hAnsi="Times New Roman" w:eastAsia="Times New Roman" w:cs="Times New Roman"/>
      <w:sz w:val="20"/>
      <w:szCs w:val="20"/>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SourceText" w:customStyle="1">
    <w:name w:val="Source Text"/>
    <w:qFormat/>
    <w:rPr>
      <w:rFonts w:ascii="Liberation Mono" w:hAnsi="Liberation Mono" w:eastAsia="Liberation Mono" w:cs="Liberation Mono"/>
    </w:rPr>
  </w:style>
  <w:style w:type="character" w:styleId="LineNumber">
    <w:name w:val="line number"/>
    <w:rPr>
      <w:sz w:val="12"/>
    </w:rPr>
  </w:style>
  <w:style w:type="character" w:styleId="CommentReference">
    <w:name w:val="annotation reference"/>
    <w:basedOn w:val="DefaultParagraphFont"/>
    <w:uiPriority w:val="99"/>
    <w:semiHidden/>
    <w:unhideWhenUsed/>
    <w:qFormat/>
    <w:rsid w:val="00cc34f8"/>
    <w:rPr>
      <w:sz w:val="16"/>
      <w:szCs w:val="16"/>
    </w:rPr>
  </w:style>
  <w:style w:type="character" w:styleId="TextocomentarioCar" w:customStyle="1">
    <w:name w:val="Texto comentario Car"/>
    <w:basedOn w:val="DefaultParagraphFont"/>
    <w:link w:val="CommentText"/>
    <w:uiPriority w:val="99"/>
    <w:qFormat/>
    <w:rsid w:val="00cc34f8"/>
    <w:rPr>
      <w:rFonts w:ascii="Trebuchet MS" w:hAnsi="Trebuchet MS" w:eastAsia="Trebuchet MS" w:cs="Trebuchet MS"/>
      <w:sz w:val="20"/>
      <w:szCs w:val="20"/>
    </w:rPr>
  </w:style>
  <w:style w:type="character" w:styleId="AsuntodelcomentarioCar" w:customStyle="1">
    <w:name w:val="Asunto del comentario Car"/>
    <w:basedOn w:val="TextocomentarioCar"/>
    <w:link w:val="annotationsubject"/>
    <w:uiPriority w:val="99"/>
    <w:semiHidden/>
    <w:qFormat/>
    <w:rsid w:val="00cc34f8"/>
    <w:rPr>
      <w:rFonts w:ascii="Trebuchet MS" w:hAnsi="Trebuchet MS" w:eastAsia="Trebuchet MS" w:cs="Trebuchet MS"/>
      <w:b/>
      <w:bCs/>
      <w:sz w:val="20"/>
      <w:szCs w:val="20"/>
    </w:rPr>
  </w:style>
  <w:style w:type="character" w:styleId="PlaceholderText">
    <w:name w:val="Placeholder Text"/>
    <w:basedOn w:val="DefaultParagraphFont"/>
    <w:uiPriority w:val="99"/>
    <w:semiHidden/>
    <w:qFormat/>
    <w:rsid w:val="00bf0f1e"/>
    <w:rPr>
      <w:color w:val="666666"/>
    </w:rPr>
  </w:style>
  <w:style w:type="character" w:styleId="UnresolvedMention">
    <w:name w:val="Unresolved Mention"/>
    <w:basedOn w:val="DefaultParagraphFont"/>
    <w:uiPriority w:val="99"/>
    <w:semiHidden/>
    <w:unhideWhenUsed/>
    <w:qFormat/>
    <w:rsid w:val="007d6d85"/>
    <w:rPr>
      <w:color w:val="605E5C"/>
      <w:shd w:fill="E1DFDD" w:val="clear"/>
    </w:rPr>
  </w:style>
  <w:style w:type="paragraph" w:styleId="Heading" w:customStyle="1">
    <w:name w:val="Heading"/>
    <w:basedOn w:val="normal1"/>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1"/>
    <w:uiPriority w:val="1"/>
    <w:qFormat/>
    <w:pPr/>
    <w:rPr>
      <w:sz w:val="16"/>
      <w:szCs w:val="16"/>
    </w:rPr>
  </w:style>
  <w:style w:type="paragraph" w:styleId="List">
    <w:name w:val="List"/>
    <w:basedOn w:val="BodyText"/>
    <w:pPr/>
    <w:rPr>
      <w:rFonts w:cs="Lohit Devanagari"/>
    </w:rPr>
  </w:style>
  <w:style w:type="paragraph" w:styleId="Caption">
    <w:name w:val="caption"/>
    <w:basedOn w:val="normal1"/>
    <w:qFormat/>
    <w:pPr>
      <w:suppressLineNumbers/>
      <w:spacing w:before="120" w:after="120"/>
    </w:pPr>
    <w:rPr>
      <w:rFonts w:cs="Lohit Devanagari"/>
      <w:i/>
      <w:iCs/>
      <w:sz w:val="24"/>
      <w:szCs w:val="24"/>
    </w:rPr>
  </w:style>
  <w:style w:type="paragraph" w:styleId="Index" w:customStyle="1">
    <w:name w:val="Index"/>
    <w:basedOn w:val="normal1"/>
    <w:qFormat/>
    <w:pPr>
      <w:suppressLineNumbers/>
    </w:pPr>
    <w:rPr>
      <w:rFonts w:cs="Lohit Devanagari"/>
    </w:rPr>
  </w:style>
  <w:style w:type="paragraph" w:styleId="normal1" w:default="1">
    <w:name w:val="normal1"/>
    <w:qFormat/>
    <w:pPr>
      <w:widowControl w:val="false"/>
      <w:bidi w:val="0"/>
      <w:spacing w:before="0" w:after="0"/>
      <w:jc w:val="start"/>
    </w:pPr>
    <w:rPr>
      <w:rFonts w:ascii="Trebuchet MS" w:hAnsi="Trebuchet MS" w:eastAsia="Trebuchet MS" w:cs="Trebuchet MS"/>
      <w:color w:val="auto"/>
      <w:kern w:val="0"/>
      <w:sz w:val="22"/>
      <w:szCs w:val="22"/>
      <w:lang w:val="es-CO"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ListParagraph">
    <w:name w:val="List Paragraph"/>
    <w:basedOn w:val="normal1"/>
    <w:uiPriority w:val="1"/>
    <w:qFormat/>
    <w:pPr>
      <w:ind w:hanging="284" w:start="397"/>
    </w:pPr>
    <w:rPr>
      <w:rFonts w:ascii="Palatino Linotype" w:hAnsi="Palatino Linotype" w:eastAsia="Palatino Linotype" w:cs="Palatino Linotype"/>
    </w:rPr>
  </w:style>
  <w:style w:type="paragraph" w:styleId="TableParagraph" w:customStyle="1">
    <w:name w:val="Table Paragraph"/>
    <w:basedOn w:val="normal1"/>
    <w:uiPriority w:val="1"/>
    <w:qFormat/>
    <w:pPr>
      <w:spacing w:before="46" w:after="0"/>
      <w:jc w:val="center"/>
    </w:pPr>
    <w:rPr/>
  </w:style>
  <w:style w:type="paragraph" w:styleId="FrameContents" w:customStyle="1">
    <w:name w:val="Frame Contents"/>
    <w:basedOn w:val="normal1"/>
    <w:qFormat/>
    <w:pPr/>
    <w:rPr/>
  </w:style>
  <w:style w:type="paragraph" w:styleId="HeaderandFooter" w:customStyle="1">
    <w:name w:val="Header and Footer"/>
    <w:basedOn w:val="normal1"/>
    <w:qFormat/>
    <w:pPr/>
    <w:rPr/>
  </w:style>
  <w:style w:type="paragraph" w:styleId="Header">
    <w:name w:val="header"/>
    <w:basedOn w:val="HeaderandFooter"/>
    <w:pPr>
      <w:suppressLineNumbers/>
    </w:pPr>
    <w:rPr/>
  </w:style>
  <w:style w:type="paragraph" w:styleId="HeaderLeft" w:customStyle="1">
    <w:name w:val="Header Left"/>
    <w:basedOn w:val="Header"/>
    <w:qFormat/>
    <w:pPr/>
    <w:rPr/>
  </w:style>
  <w:style w:type="paragraph" w:styleId="TableContents" w:customStyle="1">
    <w:name w:val="Table Contents"/>
    <w:basedOn w:val="normal1"/>
    <w:qFormat/>
    <w:pPr>
      <w:suppressLineNumbers/>
    </w:pPr>
    <w:rPr/>
  </w:style>
  <w:style w:type="paragraph" w:styleId="FrameContentsuser" w:customStyle="1">
    <w:name w:val="Frame Contents (user)"/>
    <w:basedOn w:val="normal1"/>
    <w:qFormat/>
    <w:pPr/>
    <w:rPr/>
  </w:style>
  <w:style w:type="paragraph" w:styleId="BlockQuotationuser" w:customStyle="1">
    <w:name w:val="Block Quotation (user)"/>
    <w:basedOn w:val="normal1"/>
    <w:qFormat/>
    <w:pPr>
      <w:spacing w:before="0" w:after="283"/>
      <w:ind w:start="567" w:end="567"/>
    </w:pPr>
    <w:rPr/>
  </w:style>
  <w:style w:type="paragraph" w:styleId="TableHeading" w:customStyle="1">
    <w:name w:val="Table Heading"/>
    <w:basedOn w:val="TableContents"/>
    <w:qFormat/>
    <w:pPr>
      <w:jc w:val="center"/>
    </w:pPr>
    <w:rPr>
      <w:b/>
      <w:bCs/>
    </w:rPr>
  </w:style>
  <w:style w:type="paragraph" w:styleId="Footer">
    <w:name w:val="footer"/>
    <w:basedOn w:val="HeaderandFooter"/>
    <w:pPr>
      <w:suppressLineNumbers/>
      <w:tabs>
        <w:tab w:val="clear" w:pos="720"/>
        <w:tab w:val="center" w:pos="4351" w:leader="none"/>
        <w:tab w:val="right" w:pos="8703" w:leader="none"/>
      </w:tabs>
    </w:pPr>
    <w:rPr/>
  </w:style>
  <w:style w:type="paragraph" w:styleId="Revision">
    <w:name w:val="Revision"/>
    <w:uiPriority w:val="99"/>
    <w:semiHidden/>
    <w:qFormat/>
    <w:rsid w:val="00cc34f8"/>
    <w:pPr>
      <w:widowControl w:val="false"/>
      <w:suppressAutoHyphens w:val="false"/>
      <w:bidi w:val="0"/>
      <w:spacing w:before="0" w:after="0"/>
      <w:jc w:val="start"/>
    </w:pPr>
    <w:rPr>
      <w:rFonts w:ascii="Trebuchet MS" w:hAnsi="Trebuchet MS" w:eastAsia="Trebuchet MS" w:cs="Trebuchet MS"/>
      <w:color w:val="auto"/>
      <w:kern w:val="0"/>
      <w:sz w:val="22"/>
      <w:szCs w:val="22"/>
      <w:lang w:val="es-CO" w:eastAsia="zh-CN" w:bidi="hi-IN"/>
    </w:rPr>
  </w:style>
  <w:style w:type="paragraph" w:styleId="CommentText">
    <w:name w:val="annotation text"/>
    <w:basedOn w:val="normal1"/>
    <w:link w:val="TextocomentarioCar"/>
    <w:uiPriority w:val="99"/>
    <w:unhideWhenUsed/>
    <w:rsid w:val="00cc34f8"/>
    <w:pPr/>
    <w:rPr>
      <w:sz w:val="20"/>
      <w:szCs w:val="20"/>
    </w:rPr>
  </w:style>
  <w:style w:type="paragraph" w:styleId="annotationsubject">
    <w:name w:val="annotation subject"/>
    <w:basedOn w:val="CommentText"/>
    <w:next w:val="CommentText"/>
    <w:link w:val="AsuntodelcomentarioCar"/>
    <w:uiPriority w:val="99"/>
    <w:semiHidden/>
    <w:unhideWhenUsed/>
    <w:qFormat/>
    <w:rsid w:val="00cc34f8"/>
    <w:pPr/>
    <w:rPr>
      <w:b/>
      <w:bCs/>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varistizabalg@unal.edu.co"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yperlink" Target="https://www.humboldt-foundation.de/" TargetMode="External"/><Relationship Id="rId6" Type="http://schemas.openxmlformats.org/officeDocument/2006/relationships/hyperlink" Target="https://github.com/edieraristizabal/ModeloMultinivel" TargetMode="Externa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2VBQfkGt74m2u8n9fbi5bw2Pv1g==">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LibreOffice/25.8.2.2$Linux_X86_64 LibreOffice_project/580$Build-2</Application>
  <AppVersion>15.0000</AppVersion>
  <Pages>19</Pages>
  <Words>9864</Words>
  <Characters>56837</Characters>
  <CharactersWithSpaces>66431</CharactersWithSpaces>
  <Paragraphs>296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2025-03-26T14:13:00Z</dcterms:created>
  <dc:creator/>
  <dc:description/>
  <dc:language>en-US</dc:language>
  <cp:lastModifiedBy/>
  <dcterms:modified xsi:type="dcterms:W3CDTF">2026-02-02T10:47:37Z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Creator">
    <vt:lpwstr>LaTeX with hyperref</vt:lpwstr>
  </property>
  <property fmtid="{D5CDD505-2E9C-101B-9397-08002B2CF9AE}" pid="4" name="LastSaved">
    <vt:filetime>2025-03-26T00:00:00Z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