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Fig. 1 Overview of spatial regression models that incorporate spatial heterogeneity (pink) and spa-</w:t>
      </w:r>
    </w:p>
    <w:p>
      <w:pPr>
        <w:pStyle w:val="Normal"/>
        <w:bidi w:val="0"/>
        <w:jc w:val="start"/>
        <w:rPr/>
      </w:pPr>
      <w:r>
        <w:rPr/>
        <w:t>tial dependency (blue). Spatially-lagged Conditional Autoregressive Models (CAR) or Simultaneous Autoregressive models (SAR) target specific spatial structures: CAR models include options like Intrinsic CAR, Besag-York-Mollie (BYM), and Leroux, while SAR models account for spatial lag in spatial connectivity or network structures; by adding terms for spatial autocorrelation in the response variable WX, the local error λWμ, or spatial lag effects ρWy, we obtain different variants of spatial regression models.</w:t>
      </w:r>
    </w:p>
    <w:p>
      <w:pPr>
        <w:pStyle w:val="Normal"/>
        <w:bidi w:val="0"/>
        <w:jc w:val="start"/>
        <w:rPr/>
      </w:pPr>
      <w:r>
        <w:rPr/>
      </w:r>
    </w:p>
    <w:p>
      <w:pPr>
        <w:pStyle w:val="Normal"/>
        <w:bidi w:val="0"/>
        <w:jc w:val="start"/>
        <w:rPr/>
      </w:pPr>
      <w:r>
        <w:rPr/>
        <w:t>Fig. 2 Location of the study area and 13,777 landslides between 1970 and 2023. The first map (A)</w:t>
      </w:r>
    </w:p>
    <w:p>
      <w:pPr>
        <w:pStyle w:val="Normal"/>
        <w:bidi w:val="0"/>
        <w:jc w:val="start"/>
        <w:rPr/>
      </w:pPr>
      <w:r>
        <w:rPr/>
        <w:t>illustrates the spatial distribution of individual landslides across the study region. The inset shows</w:t>
      </w:r>
    </w:p>
    <w:p>
      <w:pPr>
        <w:pStyle w:val="Normal"/>
        <w:bidi w:val="0"/>
        <w:jc w:val="start"/>
        <w:rPr/>
      </w:pPr>
      <w:r>
        <w:rPr/>
        <w:t>the geographical location of the study area within South America. Map B shows the abundance of</w:t>
      </w:r>
    </w:p>
    <w:p>
      <w:pPr>
        <w:pStyle w:val="Normal"/>
        <w:bidi w:val="0"/>
        <w:jc w:val="start"/>
        <w:rPr/>
      </w:pPr>
      <w:r>
        <w:rPr/>
        <w:t>landslides aggregated by catchments.</w:t>
      </w:r>
    </w:p>
    <w:p>
      <w:pPr>
        <w:pStyle w:val="Normal"/>
        <w:bidi w:val="0"/>
        <w:jc w:val="start"/>
        <w:rPr/>
      </w:pPr>
      <w:r>
        <w:rPr/>
      </w:r>
    </w:p>
    <w:p>
      <w:pPr>
        <w:pStyle w:val="Normal"/>
        <w:bidi w:val="0"/>
        <w:jc w:val="start"/>
        <w:rPr/>
      </w:pPr>
      <w:r>
        <w:rPr/>
        <w:t>Fig. 3 Histogram of landslide abundance per catchment (A), highlighting high skewness with most</w:t>
      </w:r>
    </w:p>
    <w:p>
      <w:pPr>
        <w:pStyle w:val="Normal"/>
        <w:bidi w:val="0"/>
        <w:jc w:val="start"/>
        <w:rPr/>
      </w:pPr>
      <w:r>
        <w:rPr/>
        <w:t>observations clustered near zero, i.e. no detectable landslides in a given catchment. The panel B</w:t>
      </w:r>
    </w:p>
    <w:p>
      <w:pPr>
        <w:pStyle w:val="Normal"/>
        <w:bidi w:val="0"/>
        <w:jc w:val="start"/>
        <w:rPr/>
      </w:pPr>
      <w:r>
        <w:rPr/>
        <w:t>shows transformed variable, i.e. log(Landslide abundance + 1); black line is a Gaussian kernel density estimate.</w:t>
      </w:r>
    </w:p>
    <w:p>
      <w:pPr>
        <w:pStyle w:val="Normal"/>
        <w:bidi w:val="0"/>
        <w:jc w:val="start"/>
        <w:rPr/>
      </w:pPr>
      <w:r>
        <w:rPr/>
      </w:r>
    </w:p>
    <w:p>
      <w:pPr>
        <w:pStyle w:val="Normal"/>
        <w:bidi w:val="0"/>
        <w:jc w:val="start"/>
        <w:rPr/>
      </w:pPr>
      <w:r>
        <w:rPr/>
        <w:t>Fig. 4 Principal Component Analysis (PCA) biplot of catchment characteristics (the hypsometric</w:t>
      </w:r>
    </w:p>
    <w:p>
      <w:pPr>
        <w:pStyle w:val="Normal"/>
        <w:bidi w:val="0"/>
        <w:jc w:val="start"/>
        <w:rPr/>
      </w:pPr>
      <w:r>
        <w:rPr/>
        <w:t>integral (Hi), mean elevation (E), mean slope S, mean local relief (H), lineament density ((Ld), mean annual rainfall (P ), land use cover (Lc), geology (G), the number of days with accumulated daily rainfall exceeding 20 mm (P20). The first two principal components (PC1 and PC2), explain 49% and 21% of the total variance. Each bubble represents a catchment, with red circles indicating catchments with reported landslides (Landslides &gt; 0) and green circles indicating those without (Landslides = 0). Bubble size is scaled to the number of landslides in each catchment; arrows show the loading of catchment variables on the principal components.</w:t>
      </w:r>
    </w:p>
    <w:p>
      <w:pPr>
        <w:pStyle w:val="Normal"/>
        <w:bidi w:val="0"/>
        <w:jc w:val="start"/>
        <w:rPr/>
      </w:pPr>
      <w:r>
        <w:rPr/>
      </w:r>
    </w:p>
    <w:p>
      <w:pPr>
        <w:pStyle w:val="Normal"/>
        <w:bidi w:val="0"/>
        <w:jc w:val="start"/>
        <w:rPr/>
      </w:pPr>
      <w:r>
        <w:rPr/>
        <w:t>Fig. 5 Five–nearest-neighbour (k = 5) connectivity representing the neighboring relationships</w:t>
      </w:r>
    </w:p>
    <w:p>
      <w:pPr>
        <w:pStyle w:val="Normal"/>
        <w:bidi w:val="0"/>
        <w:jc w:val="start"/>
        <w:rPr/>
      </w:pPr>
      <w:r>
        <w:rPr/>
        <w:t>between catchments in the study area (blue nodes = centroids, red edges = neighbour links). Spatial</w:t>
      </w:r>
    </w:p>
    <w:p>
      <w:pPr>
        <w:pStyle w:val="Normal"/>
        <w:bidi w:val="0"/>
        <w:jc w:val="start"/>
        <w:rPr/>
      </w:pPr>
      <w:r>
        <w:rPr/>
        <w:t>connectivity network.</w:t>
      </w:r>
    </w:p>
    <w:p>
      <w:pPr>
        <w:pStyle w:val="Normal"/>
        <w:bidi w:val="0"/>
        <w:jc w:val="start"/>
        <w:rPr/>
      </w:pPr>
      <w:r>
        <w:rPr/>
      </w:r>
    </w:p>
    <w:p>
      <w:pPr>
        <w:pStyle w:val="Normal"/>
        <w:bidi w:val="0"/>
        <w:jc w:val="start"/>
        <w:rPr/>
      </w:pPr>
      <w:r>
        <w:rPr/>
        <w:t>Fig. 6 Local Indicator of Spatial Autocorrelation (LISA) and the Moran Index for the slope angle.</w:t>
      </w:r>
    </w:p>
    <w:p>
      <w:pPr>
        <w:pStyle w:val="Normal"/>
        <w:bidi w:val="0"/>
        <w:jc w:val="start"/>
        <w:rPr/>
      </w:pPr>
      <w:r>
        <w:rPr/>
        <w:t>Red color means high values surrounded by high values (Q1-hotspot), blue color means low values</w:t>
      </w:r>
    </w:p>
    <w:p>
      <w:pPr>
        <w:pStyle w:val="Normal"/>
        <w:bidi w:val="0"/>
        <w:jc w:val="start"/>
        <w:rPr/>
      </w:pPr>
      <w:r>
        <w:rPr/>
        <w:t>surrounded by low values (Q3-coldspot), blue and yellow color mean high values-low values (Q2) and low values-high values (Q4), respectively. Gray dots indicate locations (catchments) where the spatial autocorrelation is statistically insignificant.</w:t>
      </w:r>
    </w:p>
    <w:p>
      <w:pPr>
        <w:pStyle w:val="Normal"/>
        <w:bidi w:val="0"/>
        <w:jc w:val="start"/>
        <w:rPr/>
      </w:pPr>
      <w:r>
        <w:rPr/>
      </w:r>
    </w:p>
    <w:p>
      <w:pPr>
        <w:pStyle w:val="Normal"/>
        <w:bidi w:val="0"/>
        <w:jc w:val="start"/>
        <w:rPr/>
      </w:pPr>
      <w:r>
        <w:rPr/>
        <w:t>Fig. 7 Spatial regimes used in the study area: (A) basin boundaries and (B) morphometric clusters</w:t>
      </w:r>
    </w:p>
    <w:p>
      <w:pPr>
        <w:pStyle w:val="Normal"/>
        <w:bidi w:val="0"/>
        <w:jc w:val="start"/>
        <w:rPr/>
      </w:pPr>
      <w:r>
        <w:rPr/>
        <w:t>of 533 catchments. The left map shows the delineated boundaries of the major river basins in the</w:t>
      </w:r>
    </w:p>
    <w:p>
      <w:pPr>
        <w:pStyle w:val="Normal"/>
        <w:bidi w:val="0"/>
        <w:jc w:val="start"/>
        <w:rPr/>
      </w:pPr>
      <w:r>
        <w:rPr/>
        <w:t>study area, including the Atrato, Cauca, and Magdalena basins, represented by green, red, and blue,</w:t>
      </w:r>
    </w:p>
    <w:p>
      <w:pPr>
        <w:pStyle w:val="Normal"/>
        <w:bidi w:val="0"/>
        <w:jc w:val="start"/>
        <w:rPr/>
      </w:pPr>
      <w:r>
        <w:rPr/>
        <w:t>respectively. These basins constitute the first spatial regime. The right map displays the second spatial regime, derived from a cluster analysis of morphometric properties using a K-Nearest Neighbors (KNN) algorithm (K = 5), which identified four clusters (A, B, C, and D) that group catchments with similar morphometric characteristics.</w:t>
      </w:r>
    </w:p>
    <w:p>
      <w:pPr>
        <w:pStyle w:val="Normal"/>
        <w:bidi w:val="0"/>
        <w:jc w:val="start"/>
        <w:rPr/>
      </w:pPr>
      <w:r>
        <w:rPr/>
      </w:r>
    </w:p>
    <w:p>
      <w:pPr>
        <w:pStyle w:val="Normal"/>
        <w:bidi w:val="0"/>
        <w:jc w:val="start"/>
        <w:rPr/>
      </w:pPr>
      <w:r>
        <w:rPr/>
        <w:t>Fig. 8 Non-spatial OLS model standardized residuals for basins and clusters. The top panels (A,</w:t>
      </w:r>
    </w:p>
    <w:p>
      <w:pPr>
        <w:pStyle w:val="Normal"/>
        <w:bidi w:val="0"/>
        <w:jc w:val="start"/>
        <w:rPr/>
      </w:pPr>
      <w:r>
        <w:rPr/>
        <w:t>B) show the spatial distribution of model residuals across the study area. Positive residuals (in blue)</w:t>
      </w:r>
    </w:p>
    <w:p>
      <w:pPr>
        <w:pStyle w:val="Normal"/>
        <w:bidi w:val="0"/>
        <w:jc w:val="start"/>
        <w:rPr/>
      </w:pPr>
      <w:r>
        <w:rPr/>
        <w:t>indicate overestimation by the model, while negative residuals (in red) indicate underestimation. The polygons’ outline in the map is color coded according to the three basins. The panels C and D show box plots of standardized residuals across the Atrato, Cauca, and Magdalena basins: non-overlapping notches identify differences in median values.</w:t>
      </w:r>
    </w:p>
    <w:p>
      <w:pPr>
        <w:pStyle w:val="Normal"/>
        <w:bidi w:val="0"/>
        <w:jc w:val="start"/>
        <w:rPr/>
      </w:pPr>
      <w:r>
        <w:rPr/>
      </w:r>
    </w:p>
    <w:p>
      <w:pPr>
        <w:pStyle w:val="Normal"/>
        <w:bidi w:val="0"/>
        <w:jc w:val="start"/>
        <w:rPr/>
      </w:pPr>
      <w:r>
        <w:rPr/>
        <w:t>Fig. 9 Spatial fixed effects with estimated standard errors for the cluster and basin-regime models.</w:t>
      </w:r>
    </w:p>
    <w:p>
      <w:pPr>
        <w:pStyle w:val="Normal"/>
        <w:bidi w:val="0"/>
        <w:jc w:val="start"/>
        <w:rPr/>
      </w:pPr>
      <w:r>
        <w:rPr/>
        <w:t>The panel A displays results for the cluster regimes, and the panel B shows the basin regimes.</w:t>
      </w:r>
    </w:p>
    <w:p>
      <w:pPr>
        <w:pStyle w:val="Normal"/>
        <w:bidi w:val="0"/>
        <w:jc w:val="start"/>
        <w:rPr/>
      </w:pPr>
      <w:r>
        <w:rPr/>
      </w:r>
    </w:p>
    <w:p>
      <w:pPr>
        <w:pStyle w:val="Normal"/>
        <w:bidi w:val="0"/>
        <w:jc w:val="start"/>
        <w:rPr/>
      </w:pPr>
      <w:r>
        <w:rPr/>
        <w:t>Fig. 10 Group-level intercepts and slope models for spatial regimes (Basin and Cluster), showing</w:t>
      </w:r>
    </w:p>
    <w:p>
      <w:pPr>
        <w:pStyle w:val="Normal"/>
        <w:bidi w:val="0"/>
        <w:jc w:val="start"/>
        <w:rPr/>
      </w:pPr>
      <w:r>
        <w:rPr/>
        <w:t>parameter estimates with standard errors.</w:t>
      </w:r>
    </w:p>
    <w:p>
      <w:pPr>
        <w:pStyle w:val="Normal"/>
        <w:bidi w:val="0"/>
        <w:jc w:val="start"/>
        <w:rPr/>
      </w:pPr>
      <w:r>
        <w:rPr/>
      </w:r>
    </w:p>
    <w:p>
      <w:pPr>
        <w:pStyle w:val="Normal"/>
        <w:bidi w:val="0"/>
        <w:jc w:val="start"/>
        <w:rPr/>
      </w:pPr>
      <w:r>
        <w:rPr/>
        <w:t>Fig. 11 Parameter estimates for a Geographically Weighted Regression (intercept, Area (A), Ele-</w:t>
      </w:r>
    </w:p>
    <w:p>
      <w:pPr>
        <w:pStyle w:val="Normal"/>
        <w:bidi w:val="0"/>
        <w:jc w:val="start"/>
        <w:rPr/>
      </w:pPr>
      <w:r>
        <w:rPr/>
        <w:t>vation (E), Relief (H) with varying bandwidths in terms of number of catchments (BW = 10, BW</w:t>
      </w:r>
    </w:p>
    <w:p>
      <w:pPr>
        <w:pStyle w:val="Normal"/>
        <w:bidi w:val="0"/>
        <w:jc w:val="start"/>
        <w:rPr/>
      </w:pPr>
      <w:r>
        <w:rPr/>
        <w:t>= 50, BW = 200, BW = 500). Points are the means, and bars indicate the standard error for each</w:t>
      </w:r>
    </w:p>
    <w:p>
      <w:pPr>
        <w:pStyle w:val="Normal"/>
        <w:bidi w:val="0"/>
        <w:jc w:val="start"/>
        <w:rPr/>
      </w:pPr>
      <w:r>
        <w:rPr/>
        <w:t>predictor within each bandwidth.</w:t>
      </w:r>
    </w:p>
    <w:p>
      <w:pPr>
        <w:pStyle w:val="Normal"/>
        <w:bidi w:val="0"/>
        <w:jc w:val="start"/>
        <w:rPr/>
      </w:pPr>
      <w:r>
        <w:rPr/>
      </w:r>
    </w:p>
    <w:p>
      <w:pPr>
        <w:pStyle w:val="Normal"/>
        <w:bidi w:val="0"/>
        <w:jc w:val="start"/>
        <w:rPr/>
      </w:pPr>
      <w:r>
        <w:rPr/>
        <w:t>Fig. 12 Spatial variation of Multiscale Geographically Weighted Regression coefficients for (A)</w:t>
      </w:r>
    </w:p>
    <w:p>
      <w:pPr>
        <w:pStyle w:val="Normal"/>
        <w:bidi w:val="0"/>
        <w:jc w:val="start"/>
        <w:rPr/>
      </w:pPr>
      <w:r>
        <w:rPr/>
        <w:t>catchment area (BW = 124), (B) mean elevation (BW = 302), and (C) mean relief (BW = 504). BW</w:t>
      </w:r>
    </w:p>
    <w:p>
      <w:pPr>
        <w:pStyle w:val="Normal"/>
        <w:bidi w:val="0"/>
        <w:jc w:val="start"/>
        <w:rPr/>
      </w:pPr>
      <w:r>
        <w:rPr/>
        <w:t>in terms of neighbor catchments for each predictor were iteratively optimized in an adaptive process.</w:t>
      </w:r>
    </w:p>
    <w:p>
      <w:pPr>
        <w:pStyle w:val="Normal"/>
        <w:bidi w:val="0"/>
        <w:jc w:val="start"/>
        <w:rPr/>
      </w:pPr>
      <w:r>
        <w:rPr/>
      </w:r>
    </w:p>
    <w:p>
      <w:pPr>
        <w:pStyle w:val="Normal"/>
        <w:bidi w:val="0"/>
        <w:jc w:val="start"/>
        <w:rPr/>
      </w:pPr>
      <w:r>
        <w:rPr/>
        <w:t>Fig. 13 Parameter estimates for SEM, SLy, and SDM models. Bubbles are mean estimates, bars</w:t>
      </w:r>
    </w:p>
    <w:p>
      <w:pPr>
        <w:pStyle w:val="Normal"/>
        <w:bidi w:val="0"/>
        <w:jc w:val="start"/>
        <w:rPr/>
      </w:pPr>
      <w:r>
        <w:rPr/>
        <w:t>are their standard errors. Other model-specific parameters are: λ for SEM (blue); ρ for SLy</w:t>
      </w:r>
    </w:p>
    <w:p>
      <w:pPr>
        <w:pStyle w:val="Normal"/>
        <w:bidi w:val="0"/>
        <w:jc w:val="start"/>
        <w:rPr/>
      </w:pPr>
      <w:r>
        <w:rPr/>
        <w:t>(green); and SDM (red), along with Nagelkerke R2 values for SLy and SDM models, and AIC values for each model. WX corresponds to the spatially lagged predictors, which captures the exogenous interaction effects among the predictors.</w:t>
      </w:r>
    </w:p>
    <w:p>
      <w:pPr>
        <w:pStyle w:val="Normal"/>
        <w:bidi w:val="0"/>
        <w:jc w:val="start"/>
        <w:rPr/>
      </w:pPr>
      <w:r>
        <w:rPr/>
      </w:r>
    </w:p>
    <w:p>
      <w:pPr>
        <w:pStyle w:val="Normal"/>
        <w:bidi w:val="0"/>
        <w:jc w:val="start"/>
        <w:rPr/>
      </w:pPr>
      <w:r>
        <w:rPr/>
        <w:t>Fig. 14 Maps (A) of SEM residuals color-coded to the deviations between predicted and observed</w:t>
      </w:r>
    </w:p>
    <w:p>
      <w:pPr>
        <w:pStyle w:val="Normal"/>
        <w:bidi w:val="0"/>
        <w:jc w:val="start"/>
        <w:rPr/>
      </w:pPr>
      <w:r>
        <w:rPr/>
        <w:t>landslide occurrences. Negative residuals (blue) show underprediction, while positive residuals (yellow) show overprediction. Map (B) of the expected landslide abundance.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LibreOffice/25.2.5.2$Linux_X86_64 LibreOffice_project/520$Build-2</Application>
  <AppVersion>15.0000</AppVersion>
  <Pages>2</Pages>
  <Words>818</Words>
  <Characters>4646</Characters>
  <CharactersWithSpaces>5423</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2025-08-25T14:26:20Z</dcterms:created>
  <dc:creator/>
  <dc:description/>
  <dc:language>en-US</dc:language>
  <cp:lastModifiedBy/>
  <dcterms:modified xsi:type="dcterms:W3CDTF">2025-08-25T14:36:03Z</dcterms:modified>
  <cp:revision>1</cp:revision>
  <dc:subject/>
  <dc:title/>
</cp:coreProperties>
</file>