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F28C28"/>
          <w:sz w:val="20"/>
          <w:szCs w:val="20"/>
        </w:rPr>
        <w:t xml:space="preserve">DONATION TRACEABILITY SYSTEM</w:t>
      </w:r>
    </w:p>
    <w:p>
      <w:pPr>
        <w:spacing w:after="100"/>
      </w:pPr>
      <w:r>
        <w:rPr>
          <w:b/>
          <w:bCs/>
          <w:color w:val="5B2E91"/>
          <w:sz w:val="44"/>
          <w:szCs w:val="44"/>
        </w:rPr>
        <w:t xml:space="preserve">Document 1 — Pillars and Philosophy</w:t>
      </w:r>
    </w:p>
    <w:p>
      <w:pPr>
        <w:spacing w:after="500"/>
      </w:pPr>
      <w:r>
        <w:rPr>
          <w:i/>
          <w:iCs/>
          <w:color w:val="666666"/>
          <w:sz w:val="20"/>
          <w:szCs w:val="20"/>
        </w:rPr>
        <w:t xml:space="preserve">Prepared for Isaac Delgado · Strategic version</w:t>
      </w:r>
    </w:p>
    <w:p>
      <w:pPr>
        <w:pStyle w:val="Heading1"/>
        <w:spacing w:after="200" w:before="400"/>
      </w:pPr>
      <w:r>
        <w:t xml:space="preserve">1. Purpose of this document</w:t>
      </w:r>
    </w:p>
    <w:p>
      <w:pPr>
        <w:spacing w:after="150"/>
      </w:pPr>
      <w:r>
        <w:t xml:space="preserve">This document defines the guiding principles of the system, independent of the technology stack or the specific MVP scope. It is the conceptual reference to consult whenever design questions arise in later phases.</w:t>
      </w:r>
    </w:p>
    <w:p>
      <w:pPr>
        <w:pStyle w:val="Heading1"/>
        <w:spacing w:after="200" w:before="400"/>
      </w:pPr>
      <w:r>
        <w:t xml:space="preserve">2. Core principle</w:t>
      </w:r>
    </w:p>
    <w:p>
      <w:pPr>
        <w:spacing w:after="300"/>
      </w:pPr>
      <w:r>
        <w:t xml:space="preserve">The system moves away from traditional double-entry accounting and focuses on </w:t>
      </w:r>
      <w:r>
        <w:rPr>
          <w:b/>
          <w:bCs/>
          <w:color w:val="5B2E91"/>
        </w:rPr>
        <w:t xml:space="preserve">operational transparency backed by multimedia evidence</w:t>
      </w:r>
      <w:r>
        <w:t xml:space="preserve">. The goal is not perfect bookkeeping, but the ability to answer, with visual and traceable evidence: where did the resource come from, what did it become, and who did it reach?</w:t>
      </w:r>
    </w:p>
    <w:p>
      <w:pPr>
        <w:pStyle w:val="Heading1"/>
        <w:spacing w:after="200" w:before="400"/>
      </w:pPr>
      <w:r>
        <w:t xml:space="preserve">3. The lifecycle: three sequential pillars</w:t>
      </w:r>
    </w:p>
    <w:p>
      <w:pPr>
        <w:spacing w:after="150"/>
      </w:pPr>
      <w:r>
        <w:t xml:space="preserve">Every resource that enters the system flows through three stages, in order. No resource is ever "loose": everything must be traceable from intake to final impact.</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5F0FA" w:val="clear"/>
            <w:tcMar>
              <w:top w:type="dxa" w:w="200"/>
              <w:left w:type="dxa" w:w="300"/>
              <w:bottom w:type="dxa" w:w="200"/>
              <w:right w:type="dxa" w:w="300"/>
            </w:tcMar>
          </w:tcPr>
          <w:p>
            <w:pPr>
              <w:spacing w:after="60"/>
            </w:pPr>
            <w:r>
              <w:rPr>
                <w:b/>
                <w:bCs/>
                <w:color w:val="5B2E91"/>
                <w:sz w:val="24"/>
                <w:szCs w:val="24"/>
              </w:rPr>
              <w:t xml:space="preserve">PILLAR A. </w:t>
            </w:r>
            <w:r>
              <w:rPr>
                <w:b/>
                <w:bCs/>
                <w:color w:val="5B2E91"/>
                <w:sz w:val="24"/>
                <w:szCs w:val="24"/>
              </w:rPr>
              <w:t xml:space="preserve">RECEIVE</w:t>
            </w:r>
          </w:p>
          <w:p>
            <w:pPr>
              <w:spacing w:after="120"/>
            </w:pPr>
            <w:r>
              <w:rPr>
                <w:i/>
                <w:iCs/>
                <w:color w:val="F28C28"/>
                <w:sz w:val="20"/>
                <w:szCs w:val="20"/>
              </w:rPr>
              <w:t xml:space="preserve">Consolidated resource intake</w:t>
            </w:r>
          </w:p>
          <w:p>
            <w:r>
              <w:rPr>
                <w:sz w:val="21"/>
                <w:szCs w:val="21"/>
              </w:rPr>
              <w:t xml:space="preserve">Intake of resources —monetary or in-kind— into the "general pool". The donor is identified (or marked anonymous), and each intake is backed by supporting documents (proof of payment, receipt evidence).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5F0FA" w:val="clear"/>
            <w:tcMar>
              <w:top w:type="dxa" w:w="200"/>
              <w:left w:type="dxa" w:w="300"/>
              <w:bottom w:type="dxa" w:w="200"/>
              <w:right w:type="dxa" w:w="300"/>
            </w:tcMar>
          </w:tcPr>
          <w:p>
            <w:pPr>
              <w:spacing w:after="60"/>
            </w:pPr>
            <w:r>
              <w:rPr>
                <w:b/>
                <w:bCs/>
                <w:color w:val="5B2E91"/>
                <w:sz w:val="24"/>
                <w:szCs w:val="24"/>
              </w:rPr>
              <w:t xml:space="preserve">PILLAR B. </w:t>
            </w:r>
            <w:r>
              <w:rPr>
                <w:b/>
                <w:bCs/>
                <w:color w:val="5B2E91"/>
                <w:sz w:val="24"/>
                <w:szCs w:val="24"/>
              </w:rPr>
              <w:t xml:space="preserve">TRANSFORM</w:t>
            </w:r>
          </w:p>
          <w:p>
            <w:pPr>
              <w:spacing w:after="120"/>
            </w:pPr>
            <w:r>
              <w:rPr>
                <w:i/>
                <w:iCs/>
                <w:color w:val="F28C28"/>
                <w:sz w:val="20"/>
                <w:szCs w:val="20"/>
              </w:rPr>
              <w:t xml:space="preserve">Packaging into distributable units</w:t>
            </w:r>
          </w:p>
          <w:p>
            <w:r>
              <w:rPr>
                <w:sz w:val="21"/>
                <w:szCs w:val="21"/>
              </w:rPr>
              <w:t xml:space="preserve">Resources from the general pool are converted into "Kits" ready for distribution. Each transformation is backed by fiscal invoices or photos of the assembly process.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5F0FA" w:val="clear"/>
            <w:tcMar>
              <w:top w:type="dxa" w:w="200"/>
              <w:left w:type="dxa" w:w="300"/>
              <w:bottom w:type="dxa" w:w="200"/>
              <w:right w:type="dxa" w:w="300"/>
            </w:tcMar>
          </w:tcPr>
          <w:p>
            <w:pPr>
              <w:spacing w:after="60"/>
            </w:pPr>
            <w:r>
              <w:rPr>
                <w:b/>
                <w:bCs/>
                <w:color w:val="5B2E91"/>
                <w:sz w:val="24"/>
                <w:szCs w:val="24"/>
              </w:rPr>
              <w:t xml:space="preserve">PILLAR C. </w:t>
            </w:r>
            <w:r>
              <w:rPr>
                <w:b/>
                <w:bCs/>
                <w:color w:val="5B2E91"/>
                <w:sz w:val="24"/>
                <w:szCs w:val="24"/>
              </w:rPr>
              <w:t xml:space="preserve">IMPACT</w:t>
            </w:r>
          </w:p>
          <w:p>
            <w:pPr>
              <w:spacing w:after="120"/>
            </w:pPr>
            <w:r>
              <w:rPr>
                <w:i/>
                <w:iCs/>
                <w:color w:val="F28C28"/>
                <w:sz w:val="20"/>
                <w:szCs w:val="20"/>
              </w:rPr>
              <w:t xml:space="preserve">Field delivery and evidence</w:t>
            </w:r>
          </w:p>
          <w:p>
            <w:r>
              <w:rPr>
                <w:sz w:val="21"/>
                <w:szCs w:val="21"/>
              </w:rPr>
              <w:t xml:space="preserve">Recording of the delivery event: Kits are deducted from available inventory, beneficiary demographics are logged (aggregate totals), and the event is backed by signed sign-in sheets or delivery photos.</w:t>
            </w:r>
          </w:p>
        </w:tc>
      </w:tr>
    </w:tbl>
    <w:p>
      <w:pPr>
        <w:spacing w:after="300"/>
      </w:pPr>
    </w:p>
    <w:p>
      <w:pPr>
        <w:pStyle w:val="Heading1"/>
        <w:spacing w:after="200" w:before="400"/>
      </w:pPr>
      <w:r>
        <w:t xml:space="preserve">4. Why this order is mandatory</w:t>
      </w:r>
    </w:p>
    <w:p>
      <w:pPr>
        <w:pStyle w:val="ListParagraph"/>
        <w:numPr>
          <w:ilvl w:val="0"/>
          <w:numId w:val="2"/>
        </w:numPr>
        <w:spacing w:after="80"/>
      </w:pPr>
      <w:r>
        <w:rPr>
          <w:b/>
          <w:bCs/>
        </w:rPr>
        <w:t xml:space="preserve">Sequentiality:</w:t>
      </w:r>
      <w:r>
        <w:t xml:space="preserve"> resources cannot be transformed before they have been received and recorded.</w:t>
      </w:r>
    </w:p>
    <w:p>
      <w:pPr>
        <w:pStyle w:val="ListParagraph"/>
        <w:numPr>
          <w:ilvl w:val="0"/>
          <w:numId w:val="2"/>
        </w:numPr>
        <w:spacing w:after="80"/>
      </w:pPr>
      <w:r>
        <w:rPr>
          <w:b/>
          <w:bCs/>
        </w:rPr>
        <w:t xml:space="preserve">Backward traceability:</w:t>
      </w:r>
      <w:r>
        <w:t xml:space="preserve"> kits cannot be delivered (impact) unless they were transformed first.</w:t>
      </w:r>
    </w:p>
    <w:p>
      <w:pPr>
        <w:pStyle w:val="ListParagraph"/>
        <w:numPr>
          <w:ilvl w:val="0"/>
          <w:numId w:val="2"/>
        </w:numPr>
        <w:spacing w:after="80"/>
      </w:pPr>
      <w:r>
        <w:rPr>
          <w:b/>
          <w:bCs/>
        </w:rPr>
        <w:t xml:space="preserve">Evidence per stage:</w:t>
      </w:r>
      <w:r>
        <w:t xml:space="preserve"> each pillar requires its own type of evidence — the system does not allow moving to the next stage without the corresponding backup.</w:t>
      </w:r>
    </w:p>
    <w:p>
      <w:pPr>
        <w:pStyle w:val="Heading1"/>
        <w:spacing w:after="200" w:before="400"/>
      </w:pPr>
      <w:r>
        <w:t xml:space="preserve">5. System actors: one concept, multiple roles</w:t>
      </w:r>
    </w:p>
    <w:p>
      <w:pPr>
        <w:spacing w:after="200"/>
      </w:pPr>
      <w:r>
        <w:t xml:space="preserve">Instead of modeling "donors", "suppliers" and "beneficiaries" as separate entities, the system uses a single concept: the </w:t>
      </w:r>
      <w:r>
        <w:rPr>
          <w:b/>
          <w:bCs/>
          <w:color w:val="5B2E91"/>
        </w:rPr>
        <w:t xml:space="preserve">Actor</w:t>
      </w:r>
      <w:r>
        <w:t xml:space="preserve">. A single Actor can hold one or several roles at the same time (e.g. an organization that donates AND, at another point, receives aid; a person who manages events AND also donates). The roles covered in the MVP are:</w:t>
      </w:r>
    </w:p>
    <w:p>
      <w:pPr>
        <w:pStyle w:val="ListParagraph"/>
        <w:numPr>
          <w:ilvl w:val="0"/>
          <w:numId w:val="2"/>
        </w:numPr>
        <w:spacing w:after="80"/>
      </w:pPr>
      <w:r>
        <w:rPr>
          <w:b/>
          <w:bCs/>
        </w:rPr>
        <w:t xml:space="preserve">Donor —</w:t>
      </w:r>
      <w:r>
        <w:t xml:space="preserve"> contributes monetary or in-kind resources (Receive pillar).</w:t>
      </w:r>
    </w:p>
    <w:p>
      <w:pPr>
        <w:pStyle w:val="ListParagraph"/>
        <w:numPr>
          <w:ilvl w:val="0"/>
          <w:numId w:val="2"/>
        </w:numPr>
        <w:spacing w:after="80"/>
      </w:pPr>
      <w:r>
        <w:rPr>
          <w:b/>
          <w:bCs/>
        </w:rPr>
        <w:t xml:space="preserve">Supplier —</w:t>
      </w:r>
      <w:r>
        <w:t xml:space="preserve"> supplies goods or services for transformation (Transform pillar).</w:t>
      </w:r>
    </w:p>
    <w:p>
      <w:pPr>
        <w:pStyle w:val="ListParagraph"/>
        <w:numPr>
          <w:ilvl w:val="0"/>
          <w:numId w:val="2"/>
        </w:numPr>
        <w:spacing w:after="80"/>
      </w:pPr>
      <w:r>
        <w:rPr>
          <w:b/>
          <w:bCs/>
        </w:rPr>
        <w:t xml:space="preserve">Manager/Responsible —</w:t>
      </w:r>
      <w:r>
        <w:t xml:space="preserve"> operational lead for an Impact Event in the field (Impact pillar).</w:t>
      </w:r>
    </w:p>
    <w:p>
      <w:pPr>
        <w:spacing w:after="150"/>
      </w:pPr>
      <w:r>
        <w:t xml:space="preserve">This decision avoids duplicating data structures for concepts that, in practice, are the same entity seen from different angles.</w:t>
      </w:r>
    </w:p>
    <w:p>
      <w:pPr>
        <w:pStyle w:val="Heading1"/>
        <w:spacing w:after="200" w:before="400"/>
      </w:pPr>
      <w:r>
        <w:t xml:space="preserve">6. What this version deliberately does NOT solve</w:t>
      </w:r>
    </w:p>
    <w:p>
      <w:pPr>
        <w:spacing w:after="150"/>
      </w:pPr>
      <w:r>
        <w:t xml:space="preserve">These trade-offs are conscious decisions, not oversights — documented here so no future phase reintroduces the complexity without evaluating it first:</w:t>
      </w:r>
    </w:p>
    <w:p>
      <w:pPr>
        <w:pStyle w:val="ListParagraph"/>
        <w:numPr>
          <w:ilvl w:val="0"/>
          <w:numId w:val="2"/>
        </w:numPr>
        <w:spacing w:after="80"/>
      </w:pPr>
      <w:r>
        <w:rPr>
          <w:b/>
          <w:bCs/>
        </w:rPr>
        <w:t xml:space="preserve">Exact traceability (bipartite matching):</w:t>
      </w:r>
      <w:r>
        <w:t xml:space="preserve"> resources live in a shared pool; the system does not track which specific intake line funded which specific kit.</w:t>
      </w:r>
    </w:p>
    <w:p>
      <w:pPr>
        <w:pStyle w:val="ListParagraph"/>
        <w:numPr>
          <w:ilvl w:val="0"/>
          <w:numId w:val="2"/>
        </w:numPr>
        <w:spacing w:after="80"/>
      </w:pPr>
      <w:r>
        <w:rPr>
          <w:b/>
          <w:bCs/>
        </w:rPr>
        <w:t xml:space="preserve">Nominal beneficiary registration:</w:t>
      </w:r>
      <w:r>
        <w:t xml:space="preserve"> beneficiary demographics are recorded in aggregate totals (families, men, women, boys, girls, elderly), not person by person.</w:t>
      </w:r>
    </w:p>
    <w:p>
      <w:pPr>
        <w:pStyle w:val="ListParagraph"/>
        <w:numPr>
          <w:ilvl w:val="0"/>
          <w:numId w:val="2"/>
        </w:numPr>
        <w:spacing w:after="80"/>
      </w:pPr>
      <w:r>
        <w:rPr>
          <w:b/>
          <w:bCs/>
        </w:rPr>
        <w:t xml:space="preserve">Multi-currency:</w:t>
      </w:r>
      <w:r>
        <w:t xml:space="preserve"> the entire system operates in USD as the sole currency in this version.</w:t>
      </w:r>
    </w:p>
    <w:p>
      <w:pPr>
        <w:pStyle w:val="ListParagraph"/>
        <w:numPr>
          <w:ilvl w:val="0"/>
          <w:numId w:val="2"/>
        </w:numPr>
        <w:spacing w:after="80"/>
      </w:pPr>
      <w:r>
        <w:rPr>
          <w:b/>
          <w:bCs/>
        </w:rPr>
        <w:t xml:space="preserve">Granular permissions:</w:t>
      </w:r>
      <w:r>
        <w:t xml:space="preserve"> any authenticated user has full access; there are no role-based restrictions within the application.</w:t>
      </w:r>
    </w:p>
    <w:p>
      <w:pPr>
        <w:pStyle w:val="Heading1"/>
        <w:spacing w:after="200" w:before="400"/>
      </w:pPr>
      <w:r>
        <w:t xml:space="preserve">7. Simplicity principle</w:t>
      </w:r>
    </w:p>
    <w:p>
      <w:pPr>
        <w:spacing w:after="150"/>
      </w:pPr>
      <w:r>
        <w:t xml:space="preserve">Whenever a design question is not explicitly covered in this document, the default decision is the simplest one that preserves the Receive → Transform → Impact cycle and the photographic/documentary evidence at each stage. Complexity is added only when actual system usage proves it necessary — see Document 3 (Roadmap) for the extensions already identified.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2026-07-16T04:26:59.392Z</dcterms:created>
  <dcterms:modified xsi:type="dcterms:W3CDTF">2026-07-16T04:26:59.407Z</dcterms:modified>
</cp:coreProperties>
</file>

<file path=docProps/custom.xml><?xml version="1.0" encoding="utf-8"?>
<Properties xmlns="http://schemas.openxmlformats.org/officeDocument/2006/custom-properties" xmlns:vt="http://schemas.openxmlformats.org/officeDocument/2006/docPropsVTypes"/>
</file>