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F28C28"/>
          <w:sz w:val="20"/>
          <w:szCs w:val="20"/>
        </w:rPr>
        <w:t xml:space="preserve">DONATION TRACEABILITY SYSTEM</w:t>
      </w:r>
    </w:p>
    <w:p>
      <w:pPr>
        <w:spacing w:after="100"/>
      </w:pPr>
      <w:r>
        <w:rPr>
          <w:b/>
          <w:bCs/>
          <w:color w:val="5B2E91"/>
          <w:sz w:val="44"/>
          <w:szCs w:val="44"/>
        </w:rPr>
        <w:t xml:space="preserve">Document 3 — Technology Stack and Roadmap</w:t>
      </w:r>
    </w:p>
    <w:p>
      <w:pPr>
        <w:spacing w:after="500"/>
      </w:pPr>
      <w:r>
        <w:rPr>
          <w:i/>
          <w:iCs/>
          <w:color w:val="666666"/>
          <w:sz w:val="20"/>
          <w:szCs w:val="20"/>
        </w:rPr>
        <w:t xml:space="preserve">Prepared for Isaac Delgado · Strategic version</w:t>
      </w:r>
    </w:p>
    <w:p>
      <w:pPr>
        <w:pStyle w:val="Heading1"/>
        <w:spacing w:after="200" w:before="400"/>
      </w:pPr>
      <w:r>
        <w:t xml:space="preserve">1. Stack status: confirmed</w:t>
      </w:r>
    </w:p>
    <w:p>
      <w:pPr>
        <w:spacing w:after="150"/>
      </w:pPr>
      <w:r>
        <w:t xml:space="preserve">All previously open stack decisions have been resolved. This section documents the final choices and the reasoning behind each.</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8F5E9" w:val="clear"/>
            <w:tcMar>
              <w:top w:type="dxa" w:w="150"/>
              <w:left w:type="dxa" w:w="250"/>
              <w:bottom w:type="dxa" w:w="150"/>
              <w:right w:type="dxa" w:w="250"/>
            </w:tcMar>
          </w:tcPr>
          <w:p>
            <w:pPr>
              <w:spacing w:after="80"/>
            </w:pPr>
            <w:r>
              <w:rPr>
                <w:b/>
                <w:bCs/>
                <w:color w:val="2E7D32"/>
                <w:sz w:val="18"/>
                <w:szCs w:val="18"/>
              </w:rPr>
              <w:t xml:space="preserve">CONFIRMED</w:t>
            </w:r>
          </w:p>
          <w:p>
            <w:pPr>
              <w:spacing w:after="60"/>
            </w:pPr>
            <w:r>
              <w:rPr>
                <w:b/>
                <w:bCs/>
                <w:sz w:val="21"/>
                <w:szCs w:val="21"/>
              </w:rPr>
              <w:t xml:space="preserve">Backend / Database / Auth / Storage</w:t>
            </w:r>
          </w:p>
          <w:p>
            <w:pPr>
              <w:spacing w:after="80"/>
            </w:pPr>
            <w:r>
              <w:rPr>
                <w:b/>
                <w:bCs/>
                <w:color w:val="5B2E91"/>
                <w:sz w:val="20"/>
                <w:szCs w:val="20"/>
              </w:rPr>
              <w:t xml:space="preserve">Supabase</w:t>
            </w:r>
          </w:p>
          <w:p>
            <w:r>
              <w:rPr>
                <w:sz w:val="19"/>
                <w:szCs w:val="19"/>
              </w:rPr>
              <w:t xml:space="preserve">Postgres (relational, matches the data model in Document 2), native Auth with magic link, and Storage with Row Level Security policies unified with the same access model. Reduces build surface for a one-week MVP without sacrificing the relational nature of the data.</w:t>
            </w:r>
          </w:p>
        </w:tc>
      </w:tr>
    </w:tbl>
    <w:p>
      <w:pPr>
        <w:spacing w:after="200"/>
      </w:pP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8F5E9" w:val="clear"/>
            <w:tcMar>
              <w:top w:type="dxa" w:w="150"/>
              <w:left w:type="dxa" w:w="250"/>
              <w:bottom w:type="dxa" w:w="150"/>
              <w:right w:type="dxa" w:w="250"/>
            </w:tcMar>
          </w:tcPr>
          <w:p>
            <w:pPr>
              <w:spacing w:after="80"/>
            </w:pPr>
            <w:r>
              <w:rPr>
                <w:b/>
                <w:bCs/>
                <w:color w:val="2E7D32"/>
                <w:sz w:val="18"/>
                <w:szCs w:val="18"/>
              </w:rPr>
              <w:t xml:space="preserve">CONFIRMED</w:t>
            </w:r>
          </w:p>
          <w:p>
            <w:pPr>
              <w:spacing w:after="60"/>
            </w:pPr>
            <w:r>
              <w:rPr>
                <w:b/>
                <w:bCs/>
                <w:sz w:val="21"/>
                <w:szCs w:val="21"/>
              </w:rPr>
              <w:t xml:space="preserve">Hosting / Deployment</w:t>
            </w:r>
          </w:p>
          <w:p>
            <w:pPr>
              <w:spacing w:after="80"/>
            </w:pPr>
            <w:r>
              <w:rPr>
                <w:b/>
                <w:bCs/>
                <w:color w:val="5B2E91"/>
                <w:sz w:val="20"/>
                <w:szCs w:val="20"/>
              </w:rPr>
              <w:t xml:space="preserve">Vercel (frontend) + Supabase (managed backend)</w:t>
            </w:r>
          </w:p>
          <w:p>
            <w:r>
              <w:rPr>
                <w:sz w:val="19"/>
                <w:szCs w:val="19"/>
              </w:rPr>
              <w:t xml:space="preserve">Vercel is already in use elsewhere and integrates cleanly with a React/Vite frontend. No servers to manage on either side.</w:t>
            </w:r>
          </w:p>
        </w:tc>
      </w:tr>
    </w:tbl>
    <w:p>
      <w:pPr>
        <w:spacing w:after="200"/>
      </w:pP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8F5E9" w:val="clear"/>
            <w:tcMar>
              <w:top w:type="dxa" w:w="150"/>
              <w:left w:type="dxa" w:w="250"/>
              <w:bottom w:type="dxa" w:w="150"/>
              <w:right w:type="dxa" w:w="250"/>
            </w:tcMar>
          </w:tcPr>
          <w:p>
            <w:pPr>
              <w:spacing w:after="80"/>
            </w:pPr>
            <w:r>
              <w:rPr>
                <w:b/>
                <w:bCs/>
                <w:color w:val="2E7D32"/>
                <w:sz w:val="18"/>
                <w:szCs w:val="18"/>
              </w:rPr>
              <w:t xml:space="preserve">CONFIRMED</w:t>
            </w:r>
          </w:p>
          <w:p>
            <w:pPr>
              <w:spacing w:after="60"/>
            </w:pPr>
            <w:r>
              <w:rPr>
                <w:b/>
                <w:bCs/>
                <w:sz w:val="21"/>
                <w:szCs w:val="21"/>
              </w:rPr>
              <w:t xml:space="preserve">Media storage (attachments)</w:t>
            </w:r>
          </w:p>
          <w:p>
            <w:pPr>
              <w:spacing w:after="80"/>
            </w:pPr>
            <w:r>
              <w:rPr>
                <w:b/>
                <w:bCs/>
                <w:color w:val="5B2E91"/>
                <w:sz w:val="20"/>
                <w:szCs w:val="20"/>
              </w:rPr>
              <w:t xml:space="preserve">Supabase Storage</w:t>
            </w:r>
          </w:p>
          <w:p>
            <w:r>
              <w:rPr>
                <w:sz w:val="19"/>
                <w:szCs w:val="19"/>
              </w:rPr>
              <w:t xml:space="preserve">S3-compatible under the hood, but access policies live in the same project as the database and auth — one place to manage security instead of two.</w:t>
            </w:r>
          </w:p>
        </w:tc>
      </w:tr>
    </w:tbl>
    <w:p>
      <w:pPr>
        <w:spacing w:after="200"/>
      </w:pP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8F5E9" w:val="clear"/>
            <w:tcMar>
              <w:top w:type="dxa" w:w="150"/>
              <w:left w:type="dxa" w:w="250"/>
              <w:bottom w:type="dxa" w:w="150"/>
              <w:right w:type="dxa" w:w="250"/>
            </w:tcMar>
          </w:tcPr>
          <w:p>
            <w:pPr>
              <w:spacing w:after="80"/>
            </w:pPr>
            <w:r>
              <w:rPr>
                <w:b/>
                <w:bCs/>
                <w:color w:val="2E7D32"/>
                <w:sz w:val="18"/>
                <w:szCs w:val="18"/>
              </w:rPr>
              <w:t xml:space="preserve">CONFIRMED</w:t>
            </w:r>
          </w:p>
          <w:p>
            <w:pPr>
              <w:spacing w:after="60"/>
            </w:pPr>
            <w:r>
              <w:rPr>
                <w:b/>
                <w:bCs/>
                <w:sz w:val="21"/>
                <w:szCs w:val="21"/>
              </w:rPr>
              <w:t xml:space="preserve">Charting library (dashboard)</w:t>
            </w:r>
          </w:p>
          <w:p>
            <w:pPr>
              <w:spacing w:after="80"/>
            </w:pPr>
            <w:r>
              <w:rPr>
                <w:b/>
                <w:bCs/>
                <w:color w:val="5B2E91"/>
                <w:sz w:val="20"/>
                <w:szCs w:val="20"/>
              </w:rPr>
              <w:t xml:space="preserve">Recharts</w:t>
            </w:r>
          </w:p>
          <w:p>
            <w:r>
              <w:rPr>
                <w:sz w:val="19"/>
                <w:szCs w:val="19"/>
              </w:rPr>
              <w:t xml:space="preserve">Most widely adopted React charting library (46.6M weekly downloads), highest maintenance/health score among alternatives, native SVG rendering — more than sufficient for this project's data volume (dozens to hundreds of events, not real-time high-frequency data).</w:t>
            </w:r>
          </w:p>
        </w:tc>
      </w:tr>
    </w:tbl>
    <w:p>
      <w:pPr>
        <w:spacing w:after="200"/>
      </w:pP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8F5E9" w:val="clear"/>
            <w:tcMar>
              <w:top w:type="dxa" w:w="150"/>
              <w:left w:type="dxa" w:w="250"/>
              <w:bottom w:type="dxa" w:w="150"/>
              <w:right w:type="dxa" w:w="250"/>
            </w:tcMar>
          </w:tcPr>
          <w:p>
            <w:pPr>
              <w:spacing w:after="80"/>
            </w:pPr>
            <w:r>
              <w:rPr>
                <w:b/>
                <w:bCs/>
                <w:color w:val="2E7D32"/>
                <w:sz w:val="18"/>
                <w:szCs w:val="18"/>
              </w:rPr>
              <w:t xml:space="preserve">CONFIRMED</w:t>
            </w:r>
          </w:p>
          <w:p>
            <w:pPr>
              <w:spacing w:after="60"/>
            </w:pPr>
            <w:r>
              <w:rPr>
                <w:b/>
                <w:bCs/>
                <w:sz w:val="21"/>
                <w:szCs w:val="21"/>
              </w:rPr>
              <w:t xml:space="preserve">PDF generation (executive report)</w:t>
            </w:r>
          </w:p>
          <w:p>
            <w:pPr>
              <w:spacing w:after="80"/>
            </w:pPr>
            <w:r>
              <w:rPr>
                <w:b/>
                <w:bCs/>
                <w:color w:val="5B2E91"/>
                <w:sz w:val="20"/>
                <w:szCs w:val="20"/>
              </w:rPr>
              <w:t xml:space="preserve">@react-pdf/renderer</w:t>
            </w:r>
          </w:p>
          <w:p>
            <w:r>
              <w:rPr>
                <w:sz w:val="19"/>
                <w:szCs w:val="19"/>
              </w:rPr>
              <w:t xml:space="preserve">Builds PDF layouts using React components and JSX — fits naturally into a React codebase and handles structured reports (tables, totals, sections) far better than lower-level alternatives like jsPDF.</w:t>
            </w:r>
          </w:p>
        </w:tc>
      </w:tr>
    </w:tbl>
    <w:p>
      <w:pPr>
        <w:spacing w:after="200"/>
      </w:pP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8F5E9" w:val="clear"/>
            <w:tcMar>
              <w:top w:type="dxa" w:w="150"/>
              <w:left w:type="dxa" w:w="250"/>
              <w:bottom w:type="dxa" w:w="150"/>
              <w:right w:type="dxa" w:w="250"/>
            </w:tcMar>
          </w:tcPr>
          <w:p>
            <w:pPr>
              <w:spacing w:after="80"/>
            </w:pPr>
            <w:r>
              <w:rPr>
                <w:b/>
                <w:bCs/>
                <w:color w:val="2E7D32"/>
                <w:sz w:val="18"/>
                <w:szCs w:val="18"/>
              </w:rPr>
              <w:t xml:space="preserve">CONFIRMED</w:t>
            </w:r>
          </w:p>
          <w:p>
            <w:pPr>
              <w:spacing w:after="60"/>
            </w:pPr>
            <w:r>
              <w:rPr>
                <w:b/>
                <w:bCs/>
                <w:sz w:val="21"/>
                <w:szCs w:val="21"/>
              </w:rPr>
              <w:t xml:space="preserve">Report distribution</w:t>
            </w:r>
          </w:p>
          <w:p>
            <w:pPr>
              <w:spacing w:after="80"/>
            </w:pPr>
            <w:r>
              <w:rPr>
                <w:b/>
                <w:bCs/>
                <w:color w:val="5B2E91"/>
                <w:sz w:val="20"/>
                <w:szCs w:val="20"/>
              </w:rPr>
              <w:t xml:space="preserve">Downloadable PDF, no public live link</w:t>
            </w:r>
          </w:p>
          <w:p>
            <w:r>
              <w:rPr>
                <w:sz w:val="19"/>
                <w:szCs w:val="19"/>
              </w:rPr>
              <w:t xml:space="preserve">The Manager generates and shares the report deliberately, as a controlled snapshot — no live data is exposed without authentication in this version. A public read-only link is documented below as a future extension, not built now.</w:t>
            </w:r>
          </w:p>
        </w:tc>
      </w:tr>
    </w:tbl>
    <w:p>
      <w:pPr>
        <w:pStyle w:val="Heading1"/>
        <w:spacing w:after="200" w:before="400"/>
      </w:pPr>
      <w:r>
        <w:t xml:space="preserve">2. Supabase pricing and capacity — what "free" actually means</w:t>
      </w:r>
    </w:p>
    <w:p>
      <w:pPr>
        <w:spacing w:after="150"/>
      </w:pPr>
      <w:r>
        <w:t xml:space="preserve">Since the priority is starting at no cost, this section details exactly what the Free tier includes and where it runs out.</w:t>
      </w:r>
    </w:p>
    <w:p>
      <w:pPr>
        <w:spacing w:after="100" w:before="200"/>
      </w:pPr>
      <w:r>
        <w:rPr>
          <w:b/>
          <w:bCs/>
          <w:color w:val="5B2E91"/>
          <w:sz w:val="22"/>
          <w:szCs w:val="22"/>
        </w:rPr>
        <w:t xml:space="preserve">2.1 Supabase Free tier (as of mid-2026)</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3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Resource</w:t>
            </w:r>
          </w:p>
        </w:tc>
        <w:tc>
          <w:tcPr>
            <w:tcW w:type="dxa" w:w="2000"/>
            <w:shd w:fill="5B2E91" w:val="clear"/>
            <w:tcMar>
              <w:top w:type="dxa" w:w="100"/>
              <w:left w:type="dxa" w:w="120"/>
              <w:bottom w:type="dxa" w:w="100"/>
              <w:right w:type="dxa" w:w="120"/>
            </w:tcMar>
          </w:tcPr>
          <w:p>
            <w:r>
              <w:rPr>
                <w:b/>
                <w:bCs/>
                <w:color w:val="FFFFFF"/>
                <w:sz w:val="20"/>
                <w:szCs w:val="20"/>
              </w:rPr>
              <w:t xml:space="preserve">Free tier limit</w:t>
            </w:r>
          </w:p>
        </w:tc>
        <w:tc>
          <w:tcPr>
            <w:tcW w:type="dxa" w:w="2000"/>
            <w:shd w:fill="5B2E91" w:val="clear"/>
            <w:tcMar>
              <w:top w:type="dxa" w:w="100"/>
              <w:left w:type="dxa" w:w="120"/>
              <w:bottom w:type="dxa" w:w="100"/>
              <w:right w:type="dxa" w:w="120"/>
            </w:tcMar>
          </w:tcPr>
          <w:p>
            <w:r>
              <w:rPr>
                <w:b/>
                <w:bCs/>
                <w:color w:val="FFFFFF"/>
                <w:sz w:val="20"/>
                <w:szCs w:val="20"/>
              </w:rPr>
              <w:t xml:space="preserve">What happens if exceeded</w:t>
            </w:r>
          </w:p>
        </w:tc>
      </w:tr>
      <w:tr>
        <w:tc>
          <w:tcPr>
            <w:tcW w:type="dxa" w:w="3300"/>
            <w:tcMar>
              <w:top w:type="dxa" w:w="100"/>
              <w:left w:type="dxa" w:w="120"/>
              <w:bottom w:type="dxa" w:w="100"/>
              <w:right w:type="dxa" w:w="120"/>
            </w:tcMar>
          </w:tcPr>
          <w:p>
            <w:r>
              <w:rPr>
                <w:b w:val="false"/>
                <w:bCs w:val="false"/>
                <w:color w:val="000000"/>
                <w:sz w:val="20"/>
                <w:szCs w:val="20"/>
              </w:rPr>
              <w:t xml:space="preserve">Database storage</w:t>
            </w:r>
          </w:p>
        </w:tc>
        <w:tc>
          <w:tcPr>
            <w:tcW w:type="dxa" w:w="2900"/>
            <w:tcMar>
              <w:top w:type="dxa" w:w="100"/>
              <w:left w:type="dxa" w:w="120"/>
              <w:bottom w:type="dxa" w:w="100"/>
              <w:right w:type="dxa" w:w="120"/>
            </w:tcMar>
          </w:tcPr>
          <w:p>
            <w:r>
              <w:rPr>
                <w:b w:val="false"/>
                <w:bCs w:val="false"/>
                <w:color w:val="000000"/>
                <w:sz w:val="20"/>
                <w:szCs w:val="20"/>
              </w:rPr>
              <w:t xml:space="preserve">500 MB</w:t>
            </w:r>
          </w:p>
        </w:tc>
        <w:tc>
          <w:tcPr>
            <w:tcW w:type="dxa" w:w="3300"/>
            <w:tcMar>
              <w:top w:type="dxa" w:w="100"/>
              <w:left w:type="dxa" w:w="120"/>
              <w:bottom w:type="dxa" w:w="100"/>
              <w:right w:type="dxa" w:w="120"/>
            </w:tcMar>
          </w:tcPr>
          <w:p>
            <w:r>
              <w:rPr>
                <w:b w:val="false"/>
                <w:bCs w:val="false"/>
                <w:color w:val="000000"/>
                <w:sz w:val="20"/>
                <w:szCs w:val="20"/>
              </w:rPr>
              <w:t xml:space="preserve">Fair Use Policy triggers; may need to upgrade</w:t>
            </w:r>
          </w:p>
        </w:tc>
      </w:tr>
      <w:tr>
        <w:tc>
          <w:tcPr>
            <w:tcW w:type="dxa" w:w="3300"/>
            <w:shd w:fill="F5F0FA" w:val="clear"/>
            <w:tcMar>
              <w:top w:type="dxa" w:w="100"/>
              <w:left w:type="dxa" w:w="120"/>
              <w:bottom w:type="dxa" w:w="100"/>
              <w:right w:type="dxa" w:w="120"/>
            </w:tcMar>
          </w:tcPr>
          <w:p>
            <w:r>
              <w:rPr>
                <w:b w:val="false"/>
                <w:bCs w:val="false"/>
                <w:color w:val="000000"/>
                <w:sz w:val="20"/>
                <w:szCs w:val="20"/>
              </w:rPr>
              <w:t xml:space="preserve">File storage (images/invoices)</w:t>
            </w:r>
          </w:p>
        </w:tc>
        <w:tc>
          <w:tcPr>
            <w:tcW w:type="dxa" w:w="2900"/>
            <w:shd w:fill="F5F0FA" w:val="clear"/>
            <w:tcMar>
              <w:top w:type="dxa" w:w="100"/>
              <w:left w:type="dxa" w:w="120"/>
              <w:bottom w:type="dxa" w:w="100"/>
              <w:right w:type="dxa" w:w="120"/>
            </w:tcMar>
          </w:tcPr>
          <w:p>
            <w:r>
              <w:rPr>
                <w:b w:val="false"/>
                <w:bCs w:val="false"/>
                <w:color w:val="000000"/>
                <w:sz w:val="20"/>
                <w:szCs w:val="20"/>
              </w:rPr>
              <w:t xml:space="preserve">1 GB</w:t>
            </w:r>
          </w:p>
        </w:tc>
        <w:tc>
          <w:tcPr>
            <w:tcW w:type="dxa" w:w="3300"/>
            <w:shd w:fill="F5F0FA" w:val="clear"/>
            <w:tcMar>
              <w:top w:type="dxa" w:w="100"/>
              <w:left w:type="dxa" w:w="120"/>
              <w:bottom w:type="dxa" w:w="100"/>
              <w:right w:type="dxa" w:w="120"/>
            </w:tcMar>
          </w:tcPr>
          <w:p>
            <w:r>
              <w:rPr>
                <w:b w:val="false"/>
                <w:bCs w:val="false"/>
                <w:color w:val="000000"/>
                <w:sz w:val="20"/>
                <w:szCs w:val="20"/>
              </w:rPr>
              <w:t xml:space="preserve">Uploads blocked until upgrade or cleanup</w:t>
            </w:r>
          </w:p>
        </w:tc>
      </w:tr>
      <w:tr>
        <w:tc>
          <w:tcPr>
            <w:tcW w:type="dxa" w:w="3300"/>
            <w:tcMar>
              <w:top w:type="dxa" w:w="100"/>
              <w:left w:type="dxa" w:w="120"/>
              <w:bottom w:type="dxa" w:w="100"/>
              <w:right w:type="dxa" w:w="120"/>
            </w:tcMar>
          </w:tcPr>
          <w:p>
            <w:r>
              <w:rPr>
                <w:b w:val="false"/>
                <w:bCs w:val="false"/>
                <w:color w:val="000000"/>
                <w:sz w:val="20"/>
                <w:szCs w:val="20"/>
              </w:rPr>
              <w:t xml:space="preserve">Database + storage egress (bandwidth)</w:t>
            </w:r>
          </w:p>
        </w:tc>
        <w:tc>
          <w:tcPr>
            <w:tcW w:type="dxa" w:w="2900"/>
            <w:tcMar>
              <w:top w:type="dxa" w:w="100"/>
              <w:left w:type="dxa" w:w="120"/>
              <w:bottom w:type="dxa" w:w="100"/>
              <w:right w:type="dxa" w:w="120"/>
            </w:tcMar>
          </w:tcPr>
          <w:p>
            <w:r>
              <w:rPr>
                <w:b w:val="false"/>
                <w:bCs w:val="false"/>
                <w:color w:val="000000"/>
                <w:sz w:val="20"/>
                <w:szCs w:val="20"/>
              </w:rPr>
              <w:t xml:space="preserve">5 GB/month combined</w:t>
            </w:r>
          </w:p>
        </w:tc>
        <w:tc>
          <w:tcPr>
            <w:tcW w:type="dxa" w:w="3300"/>
            <w:tcMar>
              <w:top w:type="dxa" w:w="100"/>
              <w:left w:type="dxa" w:w="120"/>
              <w:bottom w:type="dxa" w:w="100"/>
              <w:right w:type="dxa" w:w="120"/>
            </w:tcMar>
          </w:tcPr>
          <w:p>
            <w:r>
              <w:rPr>
                <w:b w:val="false"/>
                <w:bCs w:val="false"/>
                <w:color w:val="000000"/>
                <w:sz w:val="20"/>
                <w:szCs w:val="20"/>
              </w:rPr>
              <w:t xml:space="preserve">Requests return errors (402) until reset or upgrade</w:t>
            </w:r>
          </w:p>
        </w:tc>
      </w:tr>
      <w:tr>
        <w:tc>
          <w:tcPr>
            <w:tcW w:type="dxa" w:w="3300"/>
            <w:shd w:fill="F5F0FA" w:val="clear"/>
            <w:tcMar>
              <w:top w:type="dxa" w:w="100"/>
              <w:left w:type="dxa" w:w="120"/>
              <w:bottom w:type="dxa" w:w="100"/>
              <w:right w:type="dxa" w:w="120"/>
            </w:tcMar>
          </w:tcPr>
          <w:p>
            <w:r>
              <w:rPr>
                <w:b w:val="false"/>
                <w:bCs w:val="false"/>
                <w:color w:val="000000"/>
                <w:sz w:val="20"/>
                <w:szCs w:val="20"/>
              </w:rPr>
              <w:t xml:space="preserve">Monthly active users (Auth)</w:t>
            </w:r>
          </w:p>
        </w:tc>
        <w:tc>
          <w:tcPr>
            <w:tcW w:type="dxa" w:w="2900"/>
            <w:shd w:fill="F5F0FA" w:val="clear"/>
            <w:tcMar>
              <w:top w:type="dxa" w:w="100"/>
              <w:left w:type="dxa" w:w="120"/>
              <w:bottom w:type="dxa" w:w="100"/>
              <w:right w:type="dxa" w:w="120"/>
            </w:tcMar>
          </w:tcPr>
          <w:p>
            <w:r>
              <w:rPr>
                <w:b w:val="false"/>
                <w:bCs w:val="false"/>
                <w:color w:val="000000"/>
                <w:sz w:val="20"/>
                <w:szCs w:val="20"/>
              </w:rPr>
              <w:t xml:space="preserve">50,000</w:t>
            </w:r>
          </w:p>
        </w:tc>
        <w:tc>
          <w:tcPr>
            <w:tcW w:type="dxa" w:w="3300"/>
            <w:shd w:fill="F5F0FA" w:val="clear"/>
            <w:tcMar>
              <w:top w:type="dxa" w:w="100"/>
              <w:left w:type="dxa" w:w="120"/>
              <w:bottom w:type="dxa" w:w="100"/>
              <w:right w:type="dxa" w:w="120"/>
            </w:tcMar>
          </w:tcPr>
          <w:p>
            <w:r>
              <w:rPr>
                <w:b w:val="false"/>
                <w:bCs w:val="false"/>
                <w:color w:val="000000"/>
                <w:sz w:val="20"/>
                <w:szCs w:val="20"/>
              </w:rPr>
              <w:t xml:space="preserve">Far above what this project needs</w:t>
            </w:r>
          </w:p>
        </w:tc>
      </w:tr>
      <w:tr>
        <w:tc>
          <w:tcPr>
            <w:tcW w:type="dxa" w:w="3300"/>
            <w:tcMar>
              <w:top w:type="dxa" w:w="100"/>
              <w:left w:type="dxa" w:w="120"/>
              <w:bottom w:type="dxa" w:w="100"/>
              <w:right w:type="dxa" w:w="120"/>
            </w:tcMar>
          </w:tcPr>
          <w:p>
            <w:r>
              <w:rPr>
                <w:b w:val="false"/>
                <w:bCs w:val="false"/>
                <w:color w:val="000000"/>
                <w:sz w:val="20"/>
                <w:szCs w:val="20"/>
              </w:rPr>
              <w:t xml:space="preserve">Active projects</w:t>
            </w:r>
          </w:p>
        </w:tc>
        <w:tc>
          <w:tcPr>
            <w:tcW w:type="dxa" w:w="2900"/>
            <w:tcMar>
              <w:top w:type="dxa" w:w="100"/>
              <w:left w:type="dxa" w:w="120"/>
              <w:bottom w:type="dxa" w:w="100"/>
              <w:right w:type="dxa" w:w="120"/>
            </w:tcMar>
          </w:tcPr>
          <w:p>
            <w:r>
              <w:rPr>
                <w:b w:val="false"/>
                <w:bCs w:val="false"/>
                <w:color w:val="000000"/>
                <w:sz w:val="20"/>
                <w:szCs w:val="20"/>
              </w:rPr>
              <w:t xml:space="preserve">2</w:t>
            </w:r>
          </w:p>
        </w:tc>
        <w:tc>
          <w:tcPr>
            <w:tcW w:type="dxa" w:w="3300"/>
            <w:tcMar>
              <w:top w:type="dxa" w:w="100"/>
              <w:left w:type="dxa" w:w="120"/>
              <w:bottom w:type="dxa" w:w="100"/>
              <w:right w:type="dxa" w:w="120"/>
            </w:tcMar>
          </w:tcPr>
          <w:p>
            <w:r>
              <w:rPr>
                <w:b w:val="false"/>
                <w:bCs w:val="false"/>
                <w:color w:val="000000"/>
                <w:sz w:val="20"/>
                <w:szCs w:val="20"/>
              </w:rPr>
              <w:t xml:space="preserve">Sufficient for MVP + a staging copy if needed</w:t>
            </w:r>
          </w:p>
        </w:tc>
      </w:tr>
      <w:tr>
        <w:tc>
          <w:tcPr>
            <w:tcW w:type="dxa" w:w="3300"/>
            <w:shd w:fill="F5F0FA" w:val="clear"/>
            <w:tcMar>
              <w:top w:type="dxa" w:w="100"/>
              <w:left w:type="dxa" w:w="120"/>
              <w:bottom w:type="dxa" w:w="100"/>
              <w:right w:type="dxa" w:w="120"/>
            </w:tcMar>
          </w:tcPr>
          <w:p>
            <w:r>
              <w:rPr>
                <w:b w:val="false"/>
                <w:bCs w:val="false"/>
                <w:color w:val="000000"/>
                <w:sz w:val="20"/>
                <w:szCs w:val="20"/>
              </w:rPr>
              <w:t xml:space="preserve">Inactivity pause</w:t>
            </w:r>
          </w:p>
        </w:tc>
        <w:tc>
          <w:tcPr>
            <w:tcW w:type="dxa" w:w="2900"/>
            <w:shd w:fill="F5F0FA" w:val="clear"/>
            <w:tcMar>
              <w:top w:type="dxa" w:w="100"/>
              <w:left w:type="dxa" w:w="120"/>
              <w:bottom w:type="dxa" w:w="100"/>
              <w:right w:type="dxa" w:w="120"/>
            </w:tcMar>
          </w:tcPr>
          <w:p>
            <w:r>
              <w:rPr>
                <w:b w:val="false"/>
                <w:bCs w:val="false"/>
                <w:color w:val="000000"/>
                <w:sz w:val="20"/>
                <w:szCs w:val="20"/>
              </w:rPr>
              <w:t xml:space="preserve">Auto-pauses after 7 days with no requests</w:t>
            </w:r>
          </w:p>
        </w:tc>
        <w:tc>
          <w:tcPr>
            <w:tcW w:type="dxa" w:w="3300"/>
            <w:shd w:fill="F5F0FA" w:val="clear"/>
            <w:tcMar>
              <w:top w:type="dxa" w:w="100"/>
              <w:left w:type="dxa" w:w="120"/>
              <w:bottom w:type="dxa" w:w="100"/>
              <w:right w:type="dxa" w:w="120"/>
            </w:tcMar>
          </w:tcPr>
          <w:p>
            <w:r>
              <w:rPr>
                <w:b w:val="false"/>
                <w:bCs w:val="false"/>
                <w:color w:val="000000"/>
                <w:sz w:val="20"/>
                <w:szCs w:val="20"/>
              </w:rPr>
              <w:t xml:space="preserve">Data is retained; manual or automated "ping" reactivates it</w:t>
            </w:r>
          </w:p>
        </w:tc>
      </w:tr>
      <w:tr>
        <w:tc>
          <w:tcPr>
            <w:tcW w:type="dxa" w:w="3300"/>
            <w:tcMar>
              <w:top w:type="dxa" w:w="100"/>
              <w:left w:type="dxa" w:w="120"/>
              <w:bottom w:type="dxa" w:w="100"/>
              <w:right w:type="dxa" w:w="120"/>
            </w:tcMar>
          </w:tcPr>
          <w:p>
            <w:r>
              <w:rPr>
                <w:b w:val="false"/>
                <w:bCs w:val="false"/>
                <w:color w:val="000000"/>
                <w:sz w:val="20"/>
                <w:szCs w:val="20"/>
              </w:rPr>
              <w:t xml:space="preserve">Backups</w:t>
            </w:r>
          </w:p>
        </w:tc>
        <w:tc>
          <w:tcPr>
            <w:tcW w:type="dxa" w:w="2900"/>
            <w:tcMar>
              <w:top w:type="dxa" w:w="100"/>
              <w:left w:type="dxa" w:w="120"/>
              <w:bottom w:type="dxa" w:w="100"/>
              <w:right w:type="dxa" w:w="120"/>
            </w:tcMar>
          </w:tcPr>
          <w:p>
            <w:r>
              <w:rPr>
                <w:b w:val="false"/>
                <w:bCs w:val="false"/>
                <w:color w:val="000000"/>
                <w:sz w:val="20"/>
                <w:szCs w:val="20"/>
              </w:rPr>
              <w:t xml:space="preserve">None on Free tier</w:t>
            </w:r>
          </w:p>
        </w:tc>
        <w:tc>
          <w:tcPr>
            <w:tcW w:type="dxa" w:w="3300"/>
            <w:tcMar>
              <w:top w:type="dxa" w:w="100"/>
              <w:left w:type="dxa" w:w="120"/>
              <w:bottom w:type="dxa" w:w="100"/>
              <w:right w:type="dxa" w:w="120"/>
            </w:tcMar>
          </w:tcPr>
          <w:p>
            <w:r>
              <w:rPr>
                <w:b w:val="false"/>
                <w:bCs w:val="false"/>
                <w:color w:val="000000"/>
                <w:sz w:val="20"/>
                <w:szCs w:val="20"/>
              </w:rPr>
              <w:t xml:space="preserve">Manual export recommended periodically</w:t>
            </w:r>
          </w:p>
        </w:tc>
      </w:tr>
    </w:tbl>
    <w:p>
      <w:pPr>
        <w:spacing w:after="200"/>
      </w:pPr>
    </w:p>
    <w:p>
      <w:pPr>
        <w:spacing w:after="150"/>
      </w:pPr>
      <w:r>
        <w:t xml:space="preserve">Practical read: 1 GB of file storage is enough to start (invoices, purchase photos, delivery evidence for the first weeks), but uncompressed phone photos fill it quickly. The sprint plan should include image compression/resizing before upload as a concrete task, not an afterthought.</w:t>
      </w:r>
    </w:p>
    <w:p>
      <w:pPr>
        <w:pStyle w:val="Heading2"/>
        <w:spacing w:after="150" w:before="300"/>
      </w:pPr>
      <w:r>
        <w:t xml:space="preserve">2.2 When to upgrade</w:t>
      </w:r>
    </w:p>
    <w:p>
      <w:pPr>
        <w:spacing w:after="150"/>
      </w:pPr>
      <w:r>
        <w:t xml:space="preserve">If usage grows past the Free tier — most likely triggered by file storage or bandwidth — the next step is Supabase Pro at $25/month, which includes 100 GB of file storage, 8 GB database, and no auto-pause. This is a predictable, single-vendor bill rather than a multi-provider setup (e.g. separate AWS S3 bucket), which keeps operational complexity low even after the free tier is outgrown.</w:t>
      </w:r>
    </w:p>
    <w:p>
      <w:pPr>
        <w:pStyle w:val="Heading1"/>
        <w:spacing w:after="200" w:before="400"/>
      </w:pPr>
      <w:r>
        <w:t xml:space="preserve">3. Roadmap — post-MVP extensions already identified</w:t>
      </w:r>
    </w:p>
    <w:p>
      <w:pPr>
        <w:spacing w:after="150"/>
      </w:pPr>
      <w:r>
        <w:t xml:space="preserve">These are consciously deferred improvements, documented so they are not lost or reintroduced casually later:</w:t>
      </w:r>
    </w:p>
    <w:p>
      <w:pPr>
        <w:pStyle w:val="Heading2"/>
        <w:spacing w:after="150" w:before="300"/>
      </w:pPr>
      <w:r>
        <w:t xml:space="preserve">3.1 Exact traceability (bipartite matching)</w:t>
      </w:r>
    </w:p>
    <w:p>
      <w:pPr>
        <w:spacing w:after="150"/>
      </w:pPr>
      <w:r>
        <w:t xml:space="preserve">Migrate from the "general pool" model to a system where each KitTransformation must explicitly justify which DonationDetail lines it consumed, with balance tracking per line. This would enable reports like "this $500 donation became exactly these 20 kits" — and, notably, would allow the campaign dashboard (section 4.2 of Document 2) to show a financial summary ("$1,500 executed") scoped to one specific Impact Event, which the MVP explicitly does not support. This was evaluated during MVP scoping and deferred due to its cost: it requires a new intermediate table, balance-validation logic, and a materially more complex "New Transformation" UI where the Manager must manually allocate which donation(s) fund each kit.</w:t>
      </w:r>
    </w:p>
    <w:p>
      <w:pPr>
        <w:pStyle w:val="Heading2"/>
        <w:spacing w:after="150" w:before="300"/>
      </w:pPr>
      <w:r>
        <w:t xml:space="preserve">3.2 Multi-currency reconciliation</w:t>
      </w:r>
    </w:p>
    <w:p>
      <w:pPr>
        <w:spacing w:after="150"/>
      </w:pPr>
      <w:r>
        <w:t xml:space="preserve">Implement a historical exchange rate table and a four-column pattern (Origin Amount / Origin Currency / USD Base Amount / Rate Applied) for exact financial reporting once donations arrive in currencies other than USD.</w:t>
      </w:r>
    </w:p>
    <w:p>
      <w:pPr>
        <w:pStyle w:val="Heading2"/>
        <w:spacing w:after="150" w:before="300"/>
      </w:pPr>
      <w:r>
        <w:t xml:space="preserve">3.3 Advanced document management (OCR)</w:t>
      </w:r>
    </w:p>
    <w:p>
      <w:pPr>
        <w:spacing w:after="150"/>
      </w:pPr>
      <w:r>
        <w:t xml:space="preserve">Automated AI reading of PDFs uploaded as Delivery Evidence, to auto-fill aggregate demographic fields directly from the scanned physical sign-in sheet.</w:t>
      </w:r>
    </w:p>
    <w:p>
      <w:pPr>
        <w:pStyle w:val="Heading2"/>
        <w:spacing w:after="150" w:before="300"/>
      </w:pPr>
      <w:r>
        <w:t xml:space="preserve">3.4 Public read-only report link</w:t>
      </w:r>
    </w:p>
    <w:p>
      <w:pPr>
        <w:spacing w:after="150"/>
      </w:pPr>
      <w:r>
        <w:t xml:space="preserve">A public page showing always-current summary data, without requiring login. Deferred from the MVP because it requires additional work to safely expose data (e.g. respecting the is_anonymous flag on Actors, deciding what subset of data is safe to show without authentication). Technically incremental once the PDF report is stable — does not require reworking the data model.</w:t>
      </w:r>
    </w:p>
    <w:p>
      <w:pPr>
        <w:pStyle w:val="Heading2"/>
        <w:spacing w:after="150" w:before="300"/>
      </w:pPr>
      <w:r>
        <w:t xml:space="preserve">3.5 Other extensions mentioned in prior conversations</w:t>
      </w:r>
    </w:p>
    <w:p>
      <w:pPr>
        <w:pStyle w:val="ListParagraph"/>
        <w:numPr>
          <w:ilvl w:val="0"/>
          <w:numId w:val="2"/>
        </w:numPr>
        <w:spacing w:after="80"/>
      </w:pPr>
      <w:r>
        <w:t xml:space="preserve">Spanish translation of the system (sprint immediately following the English MVP).</w:t>
      </w:r>
    </w:p>
    <w:p>
      <w:pPr>
        <w:pStyle w:val="ListParagraph"/>
        <w:numPr>
          <w:ilvl w:val="0"/>
          <w:numId w:val="2"/>
        </w:numPr>
        <w:spacing w:after="80"/>
      </w:pPr>
      <w:r>
        <w:t xml:space="preserve">Differentiated roles and permissions within the application (today, any authenticated user has full access).</w:t>
      </w:r>
    </w:p>
    <w:p>
      <w:pPr>
        <w:pStyle w:val="ListParagraph"/>
        <w:numPr>
          <w:ilvl w:val="0"/>
          <w:numId w:val="2"/>
        </w:numPr>
        <w:spacing w:after="80"/>
      </w:pPr>
      <w:r>
        <w:t xml:space="preserve">Structured cost per Kit beyond the attached invoice evidence (to automate cost-per-unit-distributed calculations).</w:t>
      </w:r>
    </w:p>
    <w:p>
      <w:pPr>
        <w:pStyle w:val="ListParagraph"/>
        <w:numPr>
          <w:ilvl w:val="0"/>
          <w:numId w:val="2"/>
        </w:numPr>
        <w:spacing w:after="80"/>
      </w:pPr>
      <w:r>
        <w:t xml:space="preserve">Nominal beneficiary registration, if the use case demands it later (today it is aggregate demographics by design).</w:t>
      </w:r>
    </w:p>
    <w:p>
      <w:pPr>
        <w:pStyle w:val="Heading1"/>
        <w:spacing w:after="200" w:before="400"/>
      </w:pPr>
      <w:r>
        <w:t xml:space="preserve">4. Next step</w:t>
      </w:r>
    </w:p>
    <w:p>
      <w:pPr>
        <w:spacing w:after="150"/>
      </w:pPr>
      <w:r>
        <w:t xml:space="preserve">With the stack fully confirmed, the next deliverable is a day-by-day sprint plan with realistic estimates per task, built on the data model in Document 2 and the stack choices in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2026-07-16T04:43:56.340Z</dcterms:created>
  <dcterms:modified xsi:type="dcterms:W3CDTF">2026-07-16T04:43:56.340Z</dcterms:modified>
</cp:coreProperties>
</file>

<file path=docProps/custom.xml><?xml version="1.0" encoding="utf-8"?>
<Properties xmlns="http://schemas.openxmlformats.org/officeDocument/2006/custom-properties" xmlns:vt="http://schemas.openxmlformats.org/officeDocument/2006/docPropsVTypes"/>
</file>