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ShopSphere: Abschlussprojekt</w:t>
      </w:r>
    </w:p>
    <w:p>
      <w:pPr>
        <w:spacing w:after="80"/>
        <w:jc w:val="center"/>
      </w:pPr>
      <w:r>
        <w:rPr>
          <w:sz w:val="26"/>
          <w:szCs w:val="26"/>
        </w:rPr>
        <w:t xml:space="preserve">Blöcke 4–5: Strategische Business Cases und A/B-Experiment</w:t>
      </w:r>
    </w:p>
    <w:p>
      <w:pPr>
        <w:spacing w:after="300"/>
        <w:jc w:val="center"/>
      </w:pPr>
      <w:r>
        <w:rPr>
          <w:i/>
          <w:iCs/>
        </w:rPr>
        <w:t xml:space="preserve">Antworten auf 13 Fragen für CEO und Aufsichtsrat</w:t>
      </w:r>
    </w:p>
    <w:p>
      <w:pPr>
        <w:pStyle w:val="Heading2"/>
        <w:spacing w:after="120" w:before="260"/>
      </w:pPr>
      <w:r>
        <w:t xml:space="preserve">Referenz: Wichtige Kennzahlen 2022–2024</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D9E2F3" w:val="clear"/>
            <w:tcMar>
              <w:top w:type="dxa" w:w="80"/>
              <w:left w:type="dxa" w:w="100"/>
              <w:bottom w:type="dxa" w:w="80"/>
              <w:right w:type="dxa" w:w="100"/>
            </w:tcMar>
          </w:tcPr>
          <w:p>
            <w:r>
              <w:rPr>
                <w:b/>
                <w:bCs/>
              </w:rPr>
              <w:t xml:space="preserve">Gesamtumsatz</w:t>
            </w:r>
          </w:p>
        </w:tc>
        <w:tc>
          <w:tcPr>
            <w:tcW w:type="dxa" w:w="2200"/>
            <w:shd w:fill="D9E2F3" w:val="clear"/>
            <w:tcMar>
              <w:top w:type="dxa" w:w="80"/>
              <w:left w:type="dxa" w:w="100"/>
              <w:bottom w:type="dxa" w:w="80"/>
              <w:right w:type="dxa" w:w="100"/>
            </w:tcMar>
          </w:tcPr>
          <w:p>
            <w:r>
              <w:rPr>
                <w:b/>
                <w:bCs/>
              </w:rPr>
              <w:t xml:space="preserve">Bestellungen</w:t>
            </w:r>
          </w:p>
        </w:tc>
        <w:tc>
          <w:tcPr>
            <w:tcW w:type="dxa" w:w="2200"/>
            <w:shd w:fill="D9E2F3" w:val="clear"/>
            <w:tcMar>
              <w:top w:type="dxa" w:w="80"/>
              <w:left w:type="dxa" w:w="100"/>
              <w:bottom w:type="dxa" w:w="80"/>
              <w:right w:type="dxa" w:w="100"/>
            </w:tcMar>
          </w:tcPr>
          <w:p>
            <w:r>
              <w:rPr>
                <w:b/>
                <w:bCs/>
              </w:rPr>
              <w:t xml:space="preserve">Ø Bestellwert</w:t>
            </w:r>
          </w:p>
        </w:tc>
        <w:tc>
          <w:tcPr>
            <w:tcW w:type="dxa" w:w="2200"/>
            <w:shd w:fill="D9E2F3" w:val="clear"/>
            <w:tcMar>
              <w:top w:type="dxa" w:w="80"/>
              <w:left w:type="dxa" w:w="100"/>
              <w:bottom w:type="dxa" w:w="80"/>
              <w:right w:type="dxa" w:w="100"/>
            </w:tcMar>
          </w:tcPr>
          <w:p>
            <w:r>
              <w:rPr>
                <w:b/>
                <w:bCs/>
              </w:rPr>
              <w:t xml:space="preserve">Rücksendequote</w:t>
            </w:r>
          </w:p>
        </w:tc>
      </w:tr>
      <w:tr>
        <w:tc>
          <w:tcPr>
            <w:tcW w:type="dxa" w:w="2600"/>
            <w:tcMar>
              <w:top w:type="dxa" w:w="80"/>
              <w:left w:type="dxa" w:w="100"/>
              <w:bottom w:type="dxa" w:w="80"/>
              <w:right w:type="dxa" w:w="100"/>
            </w:tcMar>
          </w:tcPr>
          <w:p>
            <w:r>
              <w:rPr>
                <w:b w:val="false"/>
                <w:bCs w:val="false"/>
              </w:rPr>
              <w:t xml:space="preserve">3 474 016,03 $</w:t>
            </w:r>
          </w:p>
        </w:tc>
        <w:tc>
          <w:tcPr>
            <w:tcW w:type="dxa" w:w="2200"/>
            <w:tcMar>
              <w:top w:type="dxa" w:w="80"/>
              <w:left w:type="dxa" w:w="100"/>
              <w:bottom w:type="dxa" w:w="80"/>
              <w:right w:type="dxa" w:w="100"/>
            </w:tcMar>
          </w:tcPr>
          <w:p>
            <w:r>
              <w:rPr>
                <w:b w:val="false"/>
                <w:bCs w:val="false"/>
              </w:rPr>
              <w:t xml:space="preserve">12 274</w:t>
            </w:r>
          </w:p>
        </w:tc>
        <w:tc>
          <w:tcPr>
            <w:tcW w:type="dxa" w:w="2200"/>
            <w:tcMar>
              <w:top w:type="dxa" w:w="80"/>
              <w:left w:type="dxa" w:w="100"/>
              <w:bottom w:type="dxa" w:w="80"/>
              <w:right w:type="dxa" w:w="100"/>
            </w:tcMar>
          </w:tcPr>
          <w:p>
            <w:r>
              <w:rPr>
                <w:b w:val="false"/>
                <w:bCs w:val="false"/>
              </w:rPr>
              <w:t xml:space="preserve">283,04 $</w:t>
            </w:r>
          </w:p>
        </w:tc>
        <w:tc>
          <w:tcPr>
            <w:tcW w:type="dxa" w:w="2200"/>
            <w:tcMar>
              <w:top w:type="dxa" w:w="80"/>
              <w:left w:type="dxa" w:w="100"/>
              <w:bottom w:type="dxa" w:w="80"/>
              <w:right w:type="dxa" w:w="100"/>
            </w:tcMar>
          </w:tcPr>
          <w:p>
            <w:r>
              <w:rPr>
                <w:b w:val="false"/>
                <w:bCs w:val="false"/>
              </w:rPr>
              <w:t xml:space="preserve">9,77 %</w:t>
            </w:r>
          </w:p>
        </w:tc>
      </w:tr>
    </w:tbl>
    <w:p>
      <w:pPr>
        <w:spacing w:after="200"/>
      </w:pPr>
    </w:p>
    <w:p>
      <w:pPr>
        <w:pStyle w:val="Heading1"/>
        <w:spacing w:after="150" w:before="300"/>
      </w:pPr>
      <w:r>
        <w:t xml:space="preserve">Case A. Wohin sollte das Marketingbudget fließen?</w:t>
      </w:r>
    </w:p>
    <w:p>
      <w:pPr>
        <w:pStyle w:val="Heading2"/>
        <w:spacing w:after="120" w:before="260"/>
      </w:pPr>
      <w:r>
        <w:t xml:space="preserve">Frage 3. Welcher Kanal bringt den höchsten Return pro investiertem Dollar (ROI)? Wohin fließt der größte Budgetanteil – ist das sinnvoll?</w:t>
      </w:r>
    </w:p>
    <w:p>
      <w:pPr>
        <w:spacing w:after="140"/>
      </w:pPr>
      <w:r>
        <w:rPr>
          <w:b/>
          <w:bCs/>
        </w:rPr>
        <w:t xml:space="preserve">Fazit: </w:t>
      </w:r>
      <w:r>
        <w:t xml:space="preserve">Den höchsten ROI erzielt Organic (8,0), den niedrigsten Paid Search (1,0). Gleichzeitig erhält Paid Search den größten Budgetanteil.</w:t>
      </w:r>
    </w:p>
    <w:p>
      <w:pPr>
        <w:spacing w:after="140"/>
      </w:pPr>
      <w:r>
        <w:rPr>
          <w:b/>
          <w:bCs/>
        </w:rPr>
        <w:t xml:space="preserve">Zahlen: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1800"/>
      </w:tblGrid>
      <w:tr>
        <w:trPr>
          <w:tblHeader/>
        </w:trPr>
        <w:tc>
          <w:tcPr>
            <w:tcW w:type="dxa" w:w="2200"/>
            <w:shd w:fill="D9E2F3" w:val="clear"/>
            <w:tcMar>
              <w:top w:type="dxa" w:w="80"/>
              <w:left w:type="dxa" w:w="100"/>
              <w:bottom w:type="dxa" w:w="80"/>
              <w:right w:type="dxa" w:w="100"/>
            </w:tcMar>
          </w:tcPr>
          <w:p>
            <w:r>
              <w:rPr>
                <w:b/>
                <w:bCs/>
              </w:rPr>
              <w:t xml:space="preserve">Kanal</w:t>
            </w:r>
          </w:p>
        </w:tc>
        <w:tc>
          <w:tcPr>
            <w:tcW w:type="dxa" w:w="2200"/>
            <w:shd w:fill="D9E2F3" w:val="clear"/>
            <w:tcMar>
              <w:top w:type="dxa" w:w="80"/>
              <w:left w:type="dxa" w:w="100"/>
              <w:bottom w:type="dxa" w:w="80"/>
              <w:right w:type="dxa" w:w="100"/>
            </w:tcMar>
          </w:tcPr>
          <w:p>
            <w:r>
              <w:rPr>
                <w:b/>
                <w:bCs/>
              </w:rPr>
              <w:t xml:space="preserve">Budget, $</w:t>
            </w:r>
          </w:p>
        </w:tc>
        <w:tc>
          <w:tcPr>
            <w:tcW w:type="dxa" w:w="2800"/>
            <w:shd w:fill="D9E2F3" w:val="clear"/>
            <w:tcMar>
              <w:top w:type="dxa" w:w="80"/>
              <w:left w:type="dxa" w:w="100"/>
              <w:bottom w:type="dxa" w:w="80"/>
              <w:right w:type="dxa" w:w="100"/>
            </w:tcMar>
          </w:tcPr>
          <w:p>
            <w:r>
              <w:rPr>
                <w:b/>
                <w:bCs/>
              </w:rPr>
              <w:t xml:space="preserve">Zugeordneter Umsatz, $</w:t>
            </w:r>
          </w:p>
        </w:tc>
        <w:tc>
          <w:tcPr>
            <w:tcW w:type="dxa" w:w="1800"/>
            <w:shd w:fill="D9E2F3" w:val="clear"/>
            <w:tcMar>
              <w:top w:type="dxa" w:w="80"/>
              <w:left w:type="dxa" w:w="100"/>
              <w:bottom w:type="dxa" w:w="80"/>
              <w:right w:type="dxa" w:w="100"/>
            </w:tcMar>
          </w:tcPr>
          <w:p>
            <w:r>
              <w:rPr>
                <w:b/>
                <w:bCs/>
              </w:rPr>
              <w:t xml:space="preserve">ROI</w:t>
            </w:r>
          </w:p>
        </w:tc>
      </w:tr>
      <w:tr>
        <w:tc>
          <w:tcPr>
            <w:tcW w:type="dxa" w:w="2200"/>
            <w:tcMar>
              <w:top w:type="dxa" w:w="80"/>
              <w:left w:type="dxa" w:w="100"/>
              <w:bottom w:type="dxa" w:w="80"/>
              <w:right w:type="dxa" w:w="100"/>
            </w:tcMar>
          </w:tcPr>
          <w:p>
            <w:r>
              <w:rPr>
                <w:b w:val="false"/>
                <w:bCs w:val="false"/>
              </w:rPr>
              <w:t xml:space="preserve">Organic</w:t>
            </w:r>
          </w:p>
        </w:tc>
        <w:tc>
          <w:tcPr>
            <w:tcW w:type="dxa" w:w="2200"/>
            <w:tcMar>
              <w:top w:type="dxa" w:w="80"/>
              <w:left w:type="dxa" w:w="100"/>
              <w:bottom w:type="dxa" w:w="80"/>
              <w:right w:type="dxa" w:w="100"/>
            </w:tcMar>
          </w:tcPr>
          <w:p>
            <w:r>
              <w:rPr>
                <w:b w:val="false"/>
                <w:bCs w:val="false"/>
              </w:rPr>
              <w:t xml:space="preserve">20 364</w:t>
            </w:r>
          </w:p>
        </w:tc>
        <w:tc>
          <w:tcPr>
            <w:tcW w:type="dxa" w:w="2800"/>
            <w:tcMar>
              <w:top w:type="dxa" w:w="80"/>
              <w:left w:type="dxa" w:w="100"/>
              <w:bottom w:type="dxa" w:w="80"/>
              <w:right w:type="dxa" w:w="100"/>
            </w:tcMar>
          </w:tcPr>
          <w:p>
            <w:r>
              <w:rPr>
                <w:b w:val="false"/>
                <w:bCs w:val="false"/>
              </w:rPr>
              <w:t xml:space="preserve">163 398</w:t>
            </w:r>
          </w:p>
        </w:tc>
        <w:tc>
          <w:tcPr>
            <w:tcW w:type="dxa" w:w="1800"/>
            <w:tcMar>
              <w:top w:type="dxa" w:w="80"/>
              <w:left w:type="dxa" w:w="100"/>
              <w:bottom w:type="dxa" w:w="80"/>
              <w:right w:type="dxa" w:w="100"/>
            </w:tcMar>
          </w:tcPr>
          <w:p>
            <w:r>
              <w:rPr>
                <w:b w:val="false"/>
                <w:bCs w:val="false"/>
              </w:rPr>
              <w:t xml:space="preserve">8,0</w:t>
            </w:r>
          </w:p>
        </w:tc>
      </w:tr>
      <w:tr>
        <w:tc>
          <w:tcPr>
            <w:tcW w:type="dxa" w:w="2200"/>
            <w:tcMar>
              <w:top w:type="dxa" w:w="80"/>
              <w:left w:type="dxa" w:w="100"/>
              <w:bottom w:type="dxa" w:w="80"/>
              <w:right w:type="dxa" w:w="100"/>
            </w:tcMar>
          </w:tcPr>
          <w:p>
            <w:r>
              <w:rPr>
                <w:b w:val="false"/>
                <w:bCs w:val="false"/>
              </w:rPr>
              <w:t xml:space="preserve">Email</w:t>
            </w:r>
          </w:p>
        </w:tc>
        <w:tc>
          <w:tcPr>
            <w:tcW w:type="dxa" w:w="2200"/>
            <w:tcMar>
              <w:top w:type="dxa" w:w="80"/>
              <w:left w:type="dxa" w:w="100"/>
              <w:bottom w:type="dxa" w:w="80"/>
              <w:right w:type="dxa" w:w="100"/>
            </w:tcMar>
          </w:tcPr>
          <w:p>
            <w:r>
              <w:rPr>
                <w:b w:val="false"/>
                <w:bCs w:val="false"/>
              </w:rPr>
              <w:t xml:space="preserve">37 468</w:t>
            </w:r>
          </w:p>
        </w:tc>
        <w:tc>
          <w:tcPr>
            <w:tcW w:type="dxa" w:w="2800"/>
            <w:tcMar>
              <w:top w:type="dxa" w:w="80"/>
              <w:left w:type="dxa" w:w="100"/>
              <w:bottom w:type="dxa" w:w="80"/>
              <w:right w:type="dxa" w:w="100"/>
            </w:tcMar>
          </w:tcPr>
          <w:p>
            <w:r>
              <w:rPr>
                <w:b w:val="false"/>
                <w:bCs w:val="false"/>
              </w:rPr>
              <w:t xml:space="preserve">243 610</w:t>
            </w:r>
          </w:p>
        </w:tc>
        <w:tc>
          <w:tcPr>
            <w:tcW w:type="dxa" w:w="1800"/>
            <w:tcMar>
              <w:top w:type="dxa" w:w="80"/>
              <w:left w:type="dxa" w:w="100"/>
              <w:bottom w:type="dxa" w:w="80"/>
              <w:right w:type="dxa" w:w="100"/>
            </w:tcMar>
          </w:tcPr>
          <w:p>
            <w:r>
              <w:rPr>
                <w:b w:val="false"/>
                <w:bCs w:val="false"/>
              </w:rPr>
              <w:t xml:space="preserve">6,0</w:t>
            </w:r>
          </w:p>
        </w:tc>
      </w:tr>
      <w:tr>
        <w:tc>
          <w:tcPr>
            <w:tcW w:type="dxa" w:w="2200"/>
            <w:tcMar>
              <w:top w:type="dxa" w:w="80"/>
              <w:left w:type="dxa" w:w="100"/>
              <w:bottom w:type="dxa" w:w="80"/>
              <w:right w:type="dxa" w:w="100"/>
            </w:tcMar>
          </w:tcPr>
          <w:p>
            <w:r>
              <w:rPr>
                <w:b w:val="false"/>
                <w:bCs w:val="false"/>
              </w:rPr>
              <w:t xml:space="preserve">Influencer</w:t>
            </w:r>
          </w:p>
        </w:tc>
        <w:tc>
          <w:tcPr>
            <w:tcW w:type="dxa" w:w="2200"/>
            <w:tcMar>
              <w:top w:type="dxa" w:w="80"/>
              <w:left w:type="dxa" w:w="100"/>
              <w:bottom w:type="dxa" w:w="80"/>
              <w:right w:type="dxa" w:w="100"/>
            </w:tcMar>
          </w:tcPr>
          <w:p>
            <w:r>
              <w:rPr>
                <w:b w:val="false"/>
                <w:bCs w:val="false"/>
              </w:rPr>
              <w:t xml:space="preserve">112 337</w:t>
            </w:r>
          </w:p>
        </w:tc>
        <w:tc>
          <w:tcPr>
            <w:tcW w:type="dxa" w:w="2800"/>
            <w:tcMar>
              <w:top w:type="dxa" w:w="80"/>
              <w:left w:type="dxa" w:w="100"/>
              <w:bottom w:type="dxa" w:w="80"/>
              <w:right w:type="dxa" w:w="100"/>
            </w:tcMar>
          </w:tcPr>
          <w:p>
            <w:r>
              <w:rPr>
                <w:b w:val="false"/>
                <w:bCs w:val="false"/>
              </w:rPr>
              <w:t xml:space="preserve">519 453</w:t>
            </w:r>
          </w:p>
        </w:tc>
        <w:tc>
          <w:tcPr>
            <w:tcW w:type="dxa" w:w="1800"/>
            <w:tcMar>
              <w:top w:type="dxa" w:w="80"/>
              <w:left w:type="dxa" w:w="100"/>
              <w:bottom w:type="dxa" w:w="80"/>
              <w:right w:type="dxa" w:w="100"/>
            </w:tcMar>
          </w:tcPr>
          <w:p>
            <w:r>
              <w:rPr>
                <w:b w:val="false"/>
                <w:bCs w:val="false"/>
              </w:rPr>
              <w:t xml:space="preserve">4,0</w:t>
            </w:r>
          </w:p>
        </w:tc>
      </w:tr>
      <w:tr>
        <w:tc>
          <w:tcPr>
            <w:tcW w:type="dxa" w:w="2200"/>
            <w:tcMar>
              <w:top w:type="dxa" w:w="80"/>
              <w:left w:type="dxa" w:w="100"/>
              <w:bottom w:type="dxa" w:w="80"/>
              <w:right w:type="dxa" w:w="100"/>
            </w:tcMar>
          </w:tcPr>
          <w:p>
            <w:r>
              <w:rPr>
                <w:b w:val="false"/>
                <w:bCs w:val="false"/>
              </w:rPr>
              <w:t xml:space="preserve">Referral</w:t>
            </w:r>
          </w:p>
        </w:tc>
        <w:tc>
          <w:tcPr>
            <w:tcW w:type="dxa" w:w="2200"/>
            <w:tcMar>
              <w:top w:type="dxa" w:w="80"/>
              <w:left w:type="dxa" w:w="100"/>
              <w:bottom w:type="dxa" w:w="80"/>
              <w:right w:type="dxa" w:w="100"/>
            </w:tcMar>
          </w:tcPr>
          <w:p>
            <w:r>
              <w:rPr>
                <w:b w:val="false"/>
                <w:bCs w:val="false"/>
              </w:rPr>
              <w:t xml:space="preserve">73 766</w:t>
            </w:r>
          </w:p>
        </w:tc>
        <w:tc>
          <w:tcPr>
            <w:tcW w:type="dxa" w:w="2800"/>
            <w:tcMar>
              <w:top w:type="dxa" w:w="80"/>
              <w:left w:type="dxa" w:w="100"/>
              <w:bottom w:type="dxa" w:w="80"/>
              <w:right w:type="dxa" w:w="100"/>
            </w:tcMar>
          </w:tcPr>
          <w:p>
            <w:r>
              <w:rPr>
                <w:b w:val="false"/>
                <w:bCs w:val="false"/>
              </w:rPr>
              <w:t xml:space="preserve">263 536</w:t>
            </w:r>
          </w:p>
        </w:tc>
        <w:tc>
          <w:tcPr>
            <w:tcW w:type="dxa" w:w="1800"/>
            <w:tcMar>
              <w:top w:type="dxa" w:w="80"/>
              <w:left w:type="dxa" w:w="100"/>
              <w:bottom w:type="dxa" w:w="80"/>
              <w:right w:type="dxa" w:w="100"/>
            </w:tcMar>
          </w:tcPr>
          <w:p>
            <w:r>
              <w:rPr>
                <w:b w:val="false"/>
                <w:bCs w:val="false"/>
              </w:rPr>
              <w:t xml:space="preserve">3,0</w:t>
            </w:r>
          </w:p>
        </w:tc>
      </w:tr>
      <w:tr>
        <w:tc>
          <w:tcPr>
            <w:tcW w:type="dxa" w:w="2200"/>
            <w:tcMar>
              <w:top w:type="dxa" w:w="80"/>
              <w:left w:type="dxa" w:w="100"/>
              <w:bottom w:type="dxa" w:w="80"/>
              <w:right w:type="dxa" w:w="100"/>
            </w:tcMar>
          </w:tcPr>
          <w:p>
            <w:r>
              <w:rPr>
                <w:b w:val="false"/>
                <w:bCs w:val="false"/>
              </w:rPr>
              <w:t xml:space="preserve">Social Ads</w:t>
            </w:r>
          </w:p>
        </w:tc>
        <w:tc>
          <w:tcPr>
            <w:tcW w:type="dxa" w:w="2200"/>
            <w:tcMar>
              <w:top w:type="dxa" w:w="80"/>
              <w:left w:type="dxa" w:w="100"/>
              <w:bottom w:type="dxa" w:w="80"/>
              <w:right w:type="dxa" w:w="100"/>
            </w:tcMar>
          </w:tcPr>
          <w:p>
            <w:r>
              <w:rPr>
                <w:b w:val="false"/>
                <w:bCs w:val="false"/>
              </w:rPr>
              <w:t xml:space="preserve">286 488</w:t>
            </w:r>
          </w:p>
        </w:tc>
        <w:tc>
          <w:tcPr>
            <w:tcW w:type="dxa" w:w="2800"/>
            <w:tcMar>
              <w:top w:type="dxa" w:w="80"/>
              <w:left w:type="dxa" w:w="100"/>
              <w:bottom w:type="dxa" w:w="80"/>
              <w:right w:type="dxa" w:w="100"/>
            </w:tcMar>
          </w:tcPr>
          <w:p>
            <w:r>
              <w:rPr>
                <w:b w:val="false"/>
                <w:bCs w:val="false"/>
              </w:rPr>
              <w:t xml:space="preserve">589 544</w:t>
            </w:r>
          </w:p>
        </w:tc>
        <w:tc>
          <w:tcPr>
            <w:tcW w:type="dxa" w:w="1800"/>
            <w:tcMar>
              <w:top w:type="dxa" w:w="80"/>
              <w:left w:type="dxa" w:w="100"/>
              <w:bottom w:type="dxa" w:w="80"/>
              <w:right w:type="dxa" w:w="100"/>
            </w:tcMar>
          </w:tcPr>
          <w:p>
            <w:r>
              <w:rPr>
                <w:b w:val="false"/>
                <w:bCs w:val="false"/>
              </w:rPr>
              <w:t xml:space="preserve">2,0</w:t>
            </w:r>
          </w:p>
        </w:tc>
      </w:tr>
      <w:tr>
        <w:tc>
          <w:tcPr>
            <w:tcW w:type="dxa" w:w="2200"/>
            <w:tcMar>
              <w:top w:type="dxa" w:w="80"/>
              <w:left w:type="dxa" w:w="100"/>
              <w:bottom w:type="dxa" w:w="80"/>
              <w:right w:type="dxa" w:w="100"/>
            </w:tcMar>
          </w:tcPr>
          <w:p>
            <w:r>
              <w:rPr>
                <w:b w:val="false"/>
                <w:bCs w:val="false"/>
              </w:rPr>
              <w:t xml:space="preserve">Paid Search</w:t>
            </w:r>
          </w:p>
        </w:tc>
        <w:tc>
          <w:tcPr>
            <w:tcW w:type="dxa" w:w="2200"/>
            <w:tcMar>
              <w:top w:type="dxa" w:w="80"/>
              <w:left w:type="dxa" w:w="100"/>
              <w:bottom w:type="dxa" w:w="80"/>
              <w:right w:type="dxa" w:w="100"/>
            </w:tcMar>
          </w:tcPr>
          <w:p>
            <w:r>
              <w:rPr>
                <w:b w:val="false"/>
                <w:bCs w:val="false"/>
              </w:rPr>
              <w:t xml:space="preserve">450 959</w:t>
            </w:r>
          </w:p>
        </w:tc>
        <w:tc>
          <w:tcPr>
            <w:tcW w:type="dxa" w:w="2800"/>
            <w:tcMar>
              <w:top w:type="dxa" w:w="80"/>
              <w:left w:type="dxa" w:w="100"/>
              <w:bottom w:type="dxa" w:w="80"/>
              <w:right w:type="dxa" w:w="100"/>
            </w:tcMar>
          </w:tcPr>
          <w:p>
            <w:r>
              <w:rPr>
                <w:b w:val="false"/>
                <w:bCs w:val="false"/>
              </w:rPr>
              <w:t xml:space="preserve">598 703</w:t>
            </w:r>
          </w:p>
        </w:tc>
        <w:tc>
          <w:tcPr>
            <w:tcW w:type="dxa" w:w="1800"/>
            <w:tcMar>
              <w:top w:type="dxa" w:w="80"/>
              <w:left w:type="dxa" w:w="100"/>
              <w:bottom w:type="dxa" w:w="80"/>
              <w:right w:type="dxa" w:w="100"/>
            </w:tcMar>
          </w:tcPr>
          <w:p>
            <w:r>
              <w:rPr>
                <w:b w:val="false"/>
                <w:bCs w:val="false"/>
              </w:rPr>
              <w:t xml:space="preserve">1,0</w:t>
            </w:r>
          </w:p>
        </w:tc>
      </w:tr>
    </w:tbl>
    <w:p>
      <w:pPr>
        <w:spacing w:after="160"/>
      </w:pPr>
    </w:p>
    <w:p>
      <w:pPr>
        <w:spacing w:after="140"/>
      </w:pPr>
      <w:r>
        <w:t xml:space="preserve">Paid Search erhält 450 959 $, also rund 45 % des gesamten Marketingbudgets (insgesamt 981 382 $ über 6 Kanäle), erwirtschaftet jedoch genau 1 Dollar Umsatz pro investiertem Dollar – arbeitet also im Grunde bei null, gemessen am zugeordneten Umsatz, ohne die Warenmarge zu berücksichtigen. Organic (der günstigste Kanal – im Wesentlichen Content/SEO/Mundpropaganda) und Email erzielen den höchsten ROI, erhalten aber nur einen minimalen Budgetanteil (2 % bzw. 4 %).</w:t>
      </w:r>
    </w:p>
    <w:p>
      <w:pPr>
        <w:spacing w:after="140"/>
      </w:pPr>
      <w:r>
        <w:rPr>
          <w:b/>
          <w:bCs/>
        </w:rPr>
        <w:t xml:space="preserve">Empfehlung: </w:t>
      </w:r>
      <w:r>
        <w:t xml:space="preserve">Die aktuelle Budgetverteilung ist NICHT sinnvoll – das Geld fließt in den Kanal mit der schlechtesten Rendite. Eine detaillierte Empfehlung folgt in Frage 5.</w:t>
      </w:r>
    </w:p>
    <w:p>
      <w:pPr>
        <w:pStyle w:val="Heading2"/>
        <w:spacing w:after="120" w:before="260"/>
      </w:pPr>
      <w:r>
        <w:t xml:space="preserve">Frage 4. Customer-LTV nach acquisition_channel – deckt sich das mit den ROI-Ergebnissen der Kampagnen?</w:t>
      </w:r>
    </w:p>
    <w:p>
      <w:pPr>
        <w:spacing w:after="140"/>
      </w:pPr>
      <w:r>
        <w:rPr>
          <w:b/>
          <w:bCs/>
        </w:rPr>
        <w:t xml:space="preserve">Fazit: </w:t>
      </w:r>
      <w:r>
        <w:t xml:space="preserve">Nein, nicht vollständig. Influencer führt sowohl beim Kampagnen-ROI (Top 3) als auch beim Kunden-LTV (Platz 1) – ein übereinstimmendes Signal. Paid Search und Social Ads liefern hingegen trotz hohem Budget die Kunden mit dem niedrigsten LTV.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400"/>
      </w:tblGrid>
      <w:tr>
        <w:trPr>
          <w:tblHeader/>
        </w:trPr>
        <w:tc>
          <w:tcPr>
            <w:tcW w:type="dxa" w:w="2400"/>
            <w:shd w:fill="D9E2F3" w:val="clear"/>
            <w:tcMar>
              <w:top w:type="dxa" w:w="80"/>
              <w:left w:type="dxa" w:w="100"/>
              <w:bottom w:type="dxa" w:w="80"/>
              <w:right w:type="dxa" w:w="100"/>
            </w:tcMar>
          </w:tcPr>
          <w:p>
            <w:r>
              <w:rPr>
                <w:b/>
                <w:bCs/>
              </w:rPr>
              <w:t xml:space="preserve">acquisition_channel</w:t>
            </w:r>
          </w:p>
        </w:tc>
        <w:tc>
          <w:tcPr>
            <w:tcW w:type="dxa" w:w="1600"/>
            <w:shd w:fill="D9E2F3" w:val="clear"/>
            <w:tcMar>
              <w:top w:type="dxa" w:w="80"/>
              <w:left w:type="dxa" w:w="100"/>
              <w:bottom w:type="dxa" w:w="80"/>
              <w:right w:type="dxa" w:w="100"/>
            </w:tcMar>
          </w:tcPr>
          <w:p>
            <w:r>
              <w:rPr>
                <w:b/>
                <w:bCs/>
              </w:rPr>
              <w:t xml:space="preserve">Kunden</w:t>
            </w:r>
          </w:p>
        </w:tc>
        <w:tc>
          <w:tcPr>
            <w:tcW w:type="dxa" w:w="2600"/>
            <w:shd w:fill="D9E2F3" w:val="clear"/>
            <w:tcMar>
              <w:top w:type="dxa" w:w="80"/>
              <w:left w:type="dxa" w:w="100"/>
              <w:bottom w:type="dxa" w:w="80"/>
              <w:right w:type="dxa" w:w="100"/>
            </w:tcMar>
          </w:tcPr>
          <w:p>
            <w:r>
              <w:rPr>
                <w:b/>
                <w:bCs/>
              </w:rPr>
              <w:t xml:space="preserve">Gesamtumsatz, $</w:t>
            </w:r>
          </w:p>
        </w:tc>
        <w:tc>
          <w:tcPr>
            <w:tcW w:type="dxa" w:w="2400"/>
            <w:shd w:fill="D9E2F3" w:val="clear"/>
            <w:tcMar>
              <w:top w:type="dxa" w:w="80"/>
              <w:left w:type="dxa" w:w="100"/>
              <w:bottom w:type="dxa" w:w="80"/>
              <w:right w:type="dxa" w:w="100"/>
            </w:tcMar>
          </w:tcPr>
          <w:p>
            <w:r>
              <w:rPr>
                <w:b/>
                <w:bCs/>
              </w:rPr>
              <w:t xml:space="preserve">Ø LTV, $</w:t>
            </w:r>
          </w:p>
        </w:tc>
      </w:tr>
      <w:tr>
        <w:tc>
          <w:tcPr>
            <w:tcW w:type="dxa" w:w="2400"/>
            <w:tcMar>
              <w:top w:type="dxa" w:w="80"/>
              <w:left w:type="dxa" w:w="100"/>
              <w:bottom w:type="dxa" w:w="80"/>
              <w:right w:type="dxa" w:w="100"/>
            </w:tcMar>
          </w:tcPr>
          <w:p>
            <w:r>
              <w:rPr>
                <w:b w:val="false"/>
                <w:bCs w:val="false"/>
              </w:rPr>
              <w:t xml:space="preserve">Influencer</w:t>
            </w:r>
          </w:p>
        </w:tc>
        <w:tc>
          <w:tcPr>
            <w:tcW w:type="dxa" w:w="1600"/>
            <w:tcMar>
              <w:top w:type="dxa" w:w="80"/>
              <w:left w:type="dxa" w:w="100"/>
              <w:bottom w:type="dxa" w:w="80"/>
              <w:right w:type="dxa" w:w="100"/>
            </w:tcMar>
          </w:tcPr>
          <w:p>
            <w:r>
              <w:rPr>
                <w:b w:val="false"/>
                <w:bCs w:val="false"/>
              </w:rPr>
              <w:t xml:space="preserve">357</w:t>
            </w:r>
          </w:p>
        </w:tc>
        <w:tc>
          <w:tcPr>
            <w:tcW w:type="dxa" w:w="2600"/>
            <w:tcMar>
              <w:top w:type="dxa" w:w="80"/>
              <w:left w:type="dxa" w:w="100"/>
              <w:bottom w:type="dxa" w:w="80"/>
              <w:right w:type="dxa" w:w="100"/>
            </w:tcMar>
          </w:tcPr>
          <w:p>
            <w:r>
              <w:rPr>
                <w:b w:val="false"/>
                <w:bCs w:val="false"/>
              </w:rPr>
              <w:t xml:space="preserve">708 904,17</w:t>
            </w:r>
          </w:p>
        </w:tc>
        <w:tc>
          <w:tcPr>
            <w:tcW w:type="dxa" w:w="2400"/>
            <w:tcMar>
              <w:top w:type="dxa" w:w="80"/>
              <w:left w:type="dxa" w:w="100"/>
              <w:bottom w:type="dxa" w:w="80"/>
              <w:right w:type="dxa" w:w="100"/>
            </w:tcMar>
          </w:tcPr>
          <w:p>
            <w:r>
              <w:rPr>
                <w:b w:val="false"/>
                <w:bCs w:val="false"/>
              </w:rPr>
              <w:t xml:space="preserve">1 985,73</w:t>
            </w:r>
          </w:p>
        </w:tc>
      </w:tr>
      <w:tr>
        <w:tc>
          <w:tcPr>
            <w:tcW w:type="dxa" w:w="2400"/>
            <w:tcMar>
              <w:top w:type="dxa" w:w="80"/>
              <w:left w:type="dxa" w:w="100"/>
              <w:bottom w:type="dxa" w:w="80"/>
              <w:right w:type="dxa" w:w="100"/>
            </w:tcMar>
          </w:tcPr>
          <w:p>
            <w:r>
              <w:rPr>
                <w:b w:val="false"/>
                <w:bCs w:val="false"/>
              </w:rPr>
              <w:t xml:space="preserve">Referral</w:t>
            </w:r>
          </w:p>
        </w:tc>
        <w:tc>
          <w:tcPr>
            <w:tcW w:type="dxa" w:w="1600"/>
            <w:tcMar>
              <w:top w:type="dxa" w:w="80"/>
              <w:left w:type="dxa" w:w="100"/>
              <w:bottom w:type="dxa" w:w="80"/>
              <w:right w:type="dxa" w:w="100"/>
            </w:tcMar>
          </w:tcPr>
          <w:p>
            <w:r>
              <w:rPr>
                <w:b w:val="false"/>
                <w:bCs w:val="false"/>
              </w:rPr>
              <w:t xml:space="preserve">266</w:t>
            </w:r>
          </w:p>
        </w:tc>
        <w:tc>
          <w:tcPr>
            <w:tcW w:type="dxa" w:w="2600"/>
            <w:tcMar>
              <w:top w:type="dxa" w:w="80"/>
              <w:left w:type="dxa" w:w="100"/>
              <w:bottom w:type="dxa" w:w="80"/>
              <w:right w:type="dxa" w:w="100"/>
            </w:tcMar>
          </w:tcPr>
          <w:p>
            <w:r>
              <w:rPr>
                <w:b w:val="false"/>
                <w:bCs w:val="false"/>
              </w:rPr>
              <w:t xml:space="preserve">476 624,14</w:t>
            </w:r>
          </w:p>
        </w:tc>
        <w:tc>
          <w:tcPr>
            <w:tcW w:type="dxa" w:w="2400"/>
            <w:tcMar>
              <w:top w:type="dxa" w:w="80"/>
              <w:left w:type="dxa" w:w="100"/>
              <w:bottom w:type="dxa" w:w="80"/>
              <w:right w:type="dxa" w:w="100"/>
            </w:tcMar>
          </w:tcPr>
          <w:p>
            <w:r>
              <w:rPr>
                <w:b w:val="false"/>
                <w:bCs w:val="false"/>
              </w:rPr>
              <w:t xml:space="preserve">1 791,82</w:t>
            </w:r>
          </w:p>
        </w:tc>
      </w:tr>
      <w:tr>
        <w:tc>
          <w:tcPr>
            <w:tcW w:type="dxa" w:w="2400"/>
            <w:tcMar>
              <w:top w:type="dxa" w:w="80"/>
              <w:left w:type="dxa" w:w="100"/>
              <w:bottom w:type="dxa" w:w="80"/>
              <w:right w:type="dxa" w:w="100"/>
            </w:tcMar>
          </w:tcPr>
          <w:p>
            <w:r>
              <w:rPr>
                <w:b w:val="false"/>
                <w:bCs w:val="false"/>
              </w:rPr>
              <w:t xml:space="preserve">Organic</w:t>
            </w:r>
          </w:p>
        </w:tc>
        <w:tc>
          <w:tcPr>
            <w:tcW w:type="dxa" w:w="1600"/>
            <w:tcMar>
              <w:top w:type="dxa" w:w="80"/>
              <w:left w:type="dxa" w:w="100"/>
              <w:bottom w:type="dxa" w:w="80"/>
              <w:right w:type="dxa" w:w="100"/>
            </w:tcMar>
          </w:tcPr>
          <w:p>
            <w:r>
              <w:rPr>
                <w:b w:val="false"/>
                <w:bCs w:val="false"/>
              </w:rPr>
              <w:t xml:space="preserve">721</w:t>
            </w:r>
          </w:p>
        </w:tc>
        <w:tc>
          <w:tcPr>
            <w:tcW w:type="dxa" w:w="2600"/>
            <w:tcMar>
              <w:top w:type="dxa" w:w="80"/>
              <w:left w:type="dxa" w:w="100"/>
              <w:bottom w:type="dxa" w:w="80"/>
              <w:right w:type="dxa" w:w="100"/>
            </w:tcMar>
          </w:tcPr>
          <w:p>
            <w:r>
              <w:rPr>
                <w:b w:val="false"/>
                <w:bCs w:val="false"/>
              </w:rPr>
              <w:t xml:space="preserve">948 926,22</w:t>
            </w:r>
          </w:p>
        </w:tc>
        <w:tc>
          <w:tcPr>
            <w:tcW w:type="dxa" w:w="2400"/>
            <w:tcMar>
              <w:top w:type="dxa" w:w="80"/>
              <w:left w:type="dxa" w:w="100"/>
              <w:bottom w:type="dxa" w:w="80"/>
              <w:right w:type="dxa" w:w="100"/>
            </w:tcMar>
          </w:tcPr>
          <w:p>
            <w:r>
              <w:rPr>
                <w:b w:val="false"/>
                <w:bCs w:val="false"/>
              </w:rPr>
              <w:t xml:space="preserve">1 316,13</w:t>
            </w:r>
          </w:p>
        </w:tc>
      </w:tr>
      <w:tr>
        <w:tc>
          <w:tcPr>
            <w:tcW w:type="dxa" w:w="2400"/>
            <w:tcMar>
              <w:top w:type="dxa" w:w="80"/>
              <w:left w:type="dxa" w:w="100"/>
              <w:bottom w:type="dxa" w:w="80"/>
              <w:right w:type="dxa" w:w="100"/>
            </w:tcMar>
          </w:tcPr>
          <w:p>
            <w:r>
              <w:rPr>
                <w:b w:val="false"/>
                <w:bCs w:val="false"/>
              </w:rPr>
              <w:t xml:space="preserve">Email</w:t>
            </w:r>
          </w:p>
        </w:tc>
        <w:tc>
          <w:tcPr>
            <w:tcW w:type="dxa" w:w="1600"/>
            <w:tcMar>
              <w:top w:type="dxa" w:w="80"/>
              <w:left w:type="dxa" w:w="100"/>
              <w:bottom w:type="dxa" w:w="80"/>
              <w:right w:type="dxa" w:w="100"/>
            </w:tcMar>
          </w:tcPr>
          <w:p>
            <w:r>
              <w:rPr>
                <w:b w:val="false"/>
                <w:bCs w:val="false"/>
              </w:rPr>
              <w:t xml:space="preserve">372</w:t>
            </w:r>
          </w:p>
        </w:tc>
        <w:tc>
          <w:tcPr>
            <w:tcW w:type="dxa" w:w="2600"/>
            <w:tcMar>
              <w:top w:type="dxa" w:w="80"/>
              <w:left w:type="dxa" w:w="100"/>
              <w:bottom w:type="dxa" w:w="80"/>
              <w:right w:type="dxa" w:w="100"/>
            </w:tcMar>
          </w:tcPr>
          <w:p>
            <w:r>
              <w:rPr>
                <w:b w:val="false"/>
                <w:bCs w:val="false"/>
              </w:rPr>
              <w:t xml:space="preserve">399 698,95</w:t>
            </w:r>
          </w:p>
        </w:tc>
        <w:tc>
          <w:tcPr>
            <w:tcW w:type="dxa" w:w="2400"/>
            <w:tcMar>
              <w:top w:type="dxa" w:w="80"/>
              <w:left w:type="dxa" w:w="100"/>
              <w:bottom w:type="dxa" w:w="80"/>
              <w:right w:type="dxa" w:w="100"/>
            </w:tcMar>
          </w:tcPr>
          <w:p>
            <w:r>
              <w:rPr>
                <w:b w:val="false"/>
                <w:bCs w:val="false"/>
              </w:rPr>
              <w:t xml:space="preserve">1 074,46</w:t>
            </w:r>
          </w:p>
        </w:tc>
      </w:tr>
      <w:tr>
        <w:tc>
          <w:tcPr>
            <w:tcW w:type="dxa" w:w="2400"/>
            <w:tcMar>
              <w:top w:type="dxa" w:w="80"/>
              <w:left w:type="dxa" w:w="100"/>
              <w:bottom w:type="dxa" w:w="80"/>
              <w:right w:type="dxa" w:w="100"/>
            </w:tcMar>
          </w:tcPr>
          <w:p>
            <w:r>
              <w:rPr>
                <w:b w:val="false"/>
                <w:bCs w:val="false"/>
              </w:rPr>
              <w:t xml:space="preserve">Social Ads</w:t>
            </w:r>
          </w:p>
        </w:tc>
        <w:tc>
          <w:tcPr>
            <w:tcW w:type="dxa" w:w="1600"/>
            <w:tcMar>
              <w:top w:type="dxa" w:w="80"/>
              <w:left w:type="dxa" w:w="100"/>
              <w:bottom w:type="dxa" w:w="80"/>
              <w:right w:type="dxa" w:w="100"/>
            </w:tcMar>
          </w:tcPr>
          <w:p>
            <w:r>
              <w:rPr>
                <w:b w:val="false"/>
                <w:bCs w:val="false"/>
              </w:rPr>
              <w:t xml:space="preserve">619</w:t>
            </w:r>
          </w:p>
        </w:tc>
        <w:tc>
          <w:tcPr>
            <w:tcW w:type="dxa" w:w="2600"/>
            <w:tcMar>
              <w:top w:type="dxa" w:w="80"/>
              <w:left w:type="dxa" w:w="100"/>
              <w:bottom w:type="dxa" w:w="80"/>
              <w:right w:type="dxa" w:w="100"/>
            </w:tcMar>
          </w:tcPr>
          <w:p>
            <w:r>
              <w:rPr>
                <w:b w:val="false"/>
                <w:bCs w:val="false"/>
              </w:rPr>
              <w:t xml:space="preserve">508 872,82</w:t>
            </w:r>
          </w:p>
        </w:tc>
        <w:tc>
          <w:tcPr>
            <w:tcW w:type="dxa" w:w="2400"/>
            <w:tcMar>
              <w:top w:type="dxa" w:w="80"/>
              <w:left w:type="dxa" w:w="100"/>
              <w:bottom w:type="dxa" w:w="80"/>
              <w:right w:type="dxa" w:w="100"/>
            </w:tcMar>
          </w:tcPr>
          <w:p>
            <w:r>
              <w:rPr>
                <w:b w:val="false"/>
                <w:bCs w:val="false"/>
              </w:rPr>
              <w:t xml:space="preserve">822,09</w:t>
            </w:r>
          </w:p>
        </w:tc>
      </w:tr>
      <w:tr>
        <w:tc>
          <w:tcPr>
            <w:tcW w:type="dxa" w:w="2400"/>
            <w:tcMar>
              <w:top w:type="dxa" w:w="80"/>
              <w:left w:type="dxa" w:w="100"/>
              <w:bottom w:type="dxa" w:w="80"/>
              <w:right w:type="dxa" w:w="100"/>
            </w:tcMar>
          </w:tcPr>
          <w:p>
            <w:r>
              <w:rPr>
                <w:b w:val="false"/>
                <w:bCs w:val="false"/>
              </w:rPr>
              <w:t xml:space="preserve">Paid Search</w:t>
            </w:r>
          </w:p>
        </w:tc>
        <w:tc>
          <w:tcPr>
            <w:tcW w:type="dxa" w:w="1600"/>
            <w:tcMar>
              <w:top w:type="dxa" w:w="80"/>
              <w:left w:type="dxa" w:w="100"/>
              <w:bottom w:type="dxa" w:w="80"/>
              <w:right w:type="dxa" w:w="100"/>
            </w:tcMar>
          </w:tcPr>
          <w:p>
            <w:r>
              <w:rPr>
                <w:b w:val="false"/>
                <w:bCs w:val="false"/>
              </w:rPr>
              <w:t xml:space="preserve">665</w:t>
            </w:r>
          </w:p>
        </w:tc>
        <w:tc>
          <w:tcPr>
            <w:tcW w:type="dxa" w:w="2600"/>
            <w:tcMar>
              <w:top w:type="dxa" w:w="80"/>
              <w:left w:type="dxa" w:w="100"/>
              <w:bottom w:type="dxa" w:w="80"/>
              <w:right w:type="dxa" w:w="100"/>
            </w:tcMar>
          </w:tcPr>
          <w:p>
            <w:r>
              <w:rPr>
                <w:b w:val="false"/>
                <w:bCs w:val="false"/>
              </w:rPr>
              <w:t xml:space="preserve">430 989,73</w:t>
            </w:r>
          </w:p>
        </w:tc>
        <w:tc>
          <w:tcPr>
            <w:tcW w:type="dxa" w:w="2400"/>
            <w:tcMar>
              <w:top w:type="dxa" w:w="80"/>
              <w:left w:type="dxa" w:w="100"/>
              <w:bottom w:type="dxa" w:w="80"/>
              <w:right w:type="dxa" w:w="100"/>
            </w:tcMar>
          </w:tcPr>
          <w:p>
            <w:r>
              <w:rPr>
                <w:b w:val="false"/>
                <w:bCs w:val="false"/>
              </w:rPr>
              <w:t xml:space="preserve">648,10</w:t>
            </w:r>
          </w:p>
        </w:tc>
      </w:tr>
    </w:tbl>
    <w:p>
      <w:pPr>
        <w:spacing w:after="160"/>
      </w:pPr>
    </w:p>
    <w:p>
      <w:pPr>
        <w:spacing w:after="140"/>
      </w:pPr>
      <w:r>
        <w:t xml:space="preserve">Ein über Influencer gewonnener Kunde bringt im Durchschnitt 1 985,73 $ über die gesamte Kundenbeziehung – das ist dreimal so viel wie ein Kunde aus Paid Search (648,10 $). Dies ist der wichtigste Insight aus Case A: Der Kampagnen-ROI zeigt nur die unmittelbare Rendite des ersten Kaufs bzw. den zugeordneten Monatsumsatz, während der LTV zeigt, wie „hochwertig“ und loyal die über einen Kanal gewonnenen Kunden tatsächlich sind. Paid Search und Social Ads sind zugleich teuer (hohes Budget) und liefern Kunden, die wenig ausgeben und vermutlich selten wiederkehren.</w:t>
      </w:r>
    </w:p>
    <w:p>
      <w:pPr>
        <w:pStyle w:val="Heading2"/>
        <w:spacing w:after="120" w:before="260"/>
      </w:pPr>
      <w:r>
        <w:t xml:space="preserve">Frage 5. Empfehlung zur Budgetumverteilung. Risiken?</w:t>
      </w:r>
    </w:p>
    <w:p>
      <w:pPr>
        <w:spacing w:after="140"/>
      </w:pPr>
      <w:r>
        <w:rPr>
          <w:b/>
          <w:bCs/>
        </w:rPr>
        <w:t xml:space="preserve">Empfehlung: </w:t>
      </w:r>
      <w:r>
        <w:t xml:space="preserve">Schrittweise (nicht abrupt) 15–20 Prozentpunkte des Budgets von Paid Search zu Influencer, Email und Organic-Aktivitäten (Content, SEO) verlagern, wobei Paid Search nur für Retargeting und Spitzenmonate (November–Dezember, wenn der Gesamtumsatz des Unternehmens am höchsten ist – 1 038 718 $ im Dezember gegenüber rund 78 000 $ im Januar) beibehalten wird.</w:t>
      </w:r>
    </w:p>
    <w:p>
      <w:pPr>
        <w:pStyle w:val="ListParagraph"/>
        <w:numPr>
          <w:ilvl w:val="0"/>
          <w:numId w:val="1"/>
        </w:numPr>
        <w:spacing w:after="100"/>
      </w:pPr>
      <w:r>
        <w:rPr>
          <w:b/>
          <w:bCs/>
        </w:rPr>
        <w:t xml:space="preserve">Influencer und Referral</w:t>
      </w:r>
      <w:r>
        <w:t xml:space="preserve"> – die beste Balance aus Kampagnen-ROI UND Kunden-LTV → Priorität Nr. 1 für Budgeterhöhung.</w:t>
      </w:r>
    </w:p>
    <w:p>
      <w:pPr>
        <w:pStyle w:val="ListParagraph"/>
        <w:numPr>
          <w:ilvl w:val="0"/>
          <w:numId w:val="1"/>
        </w:numPr>
        <w:spacing w:after="100"/>
      </w:pPr>
      <w:r>
        <w:rPr>
          <w:b/>
          <w:bCs/>
        </w:rPr>
        <w:t xml:space="preserve">Email</w:t>
      </w:r>
      <w:r>
        <w:t xml:space="preserve"> – günstig, hoher ROI, aber geringer Anteil an Neukunden (372) → die Abonnentenbasis sollte skaliert werden, nicht nur das Budget.</w:t>
      </w:r>
    </w:p>
    <w:p>
      <w:pPr>
        <w:pStyle w:val="ListParagraph"/>
        <w:numPr>
          <w:ilvl w:val="0"/>
          <w:numId w:val="1"/>
        </w:numPr>
        <w:spacing w:after="100"/>
      </w:pPr>
      <w:r>
        <w:rPr>
          <w:b/>
          <w:bCs/>
        </w:rPr>
        <w:t xml:space="preserve">Paid Search</w:t>
      </w:r>
      <w:r>
        <w:t xml:space="preserve"> – um 15–20 % kürzen, nur für saisonale Spitzen und Remarketing bereits „warmer“ Zielgruppen einsetzen, nicht für kalten Traffic.</w:t>
      </w:r>
    </w:p>
    <w:p>
      <w:pPr>
        <w:pStyle w:val="ListParagraph"/>
        <w:numPr>
          <w:ilvl w:val="0"/>
          <w:numId w:val="1"/>
        </w:numPr>
        <w:spacing w:after="100"/>
      </w:pPr>
      <w:r>
        <w:rPr>
          <w:b/>
          <w:bCs/>
        </w:rPr>
        <w:t xml:space="preserve">Organic</w:t>
      </w:r>
      <w:r>
        <w:t xml:space="preserve"> – kein „Budget“-Kanal im klassischen Sinn (erfordert Investitionen in ein Content-/SEO-Team statt in Werbeauktionen), aber die extrem niedrigen Akquisitionskosten rechtfertigen Investitionen in diesen Bereich.</w:t>
      </w:r>
    </w:p>
    <w:p>
      <w:pPr>
        <w:spacing w:after="140"/>
      </w:pPr>
      <w:r>
        <w:rPr>
          <w:b/>
          <w:bCs/>
        </w:rPr>
        <w:t xml:space="preserve">Risiken der Empfehlung:</w:t>
      </w:r>
    </w:p>
    <w:p>
      <w:pPr>
        <w:pStyle w:val="ListParagraph"/>
        <w:numPr>
          <w:ilvl w:val="0"/>
          <w:numId w:val="1"/>
        </w:numPr>
        <w:spacing w:after="100"/>
      </w:pPr>
      <w:r>
        <w:t xml:space="preserve">ROI und LTV in den Daten sind eine Korrelation, keine belegte Kausalität: Möglicherweise neigen Personen, die generell teurer und häufiger einkaufen, einfach eher dazu, Influencern zu folgen, statt dass der Influencer diese Loyalität „erzeugt“.</w:t>
      </w:r>
    </w:p>
    <w:p>
      <w:pPr>
        <w:pStyle w:val="ListParagraph"/>
        <w:numPr>
          <w:ilvl w:val="0"/>
          <w:numId w:val="1"/>
        </w:numPr>
        <w:spacing w:after="100"/>
      </w:pPr>
      <w:r>
        <w:t xml:space="preserve">Eine abrupte Kürzung von Paid Search könnte das Neukundenvolumen sofort einbrechen lassen, solange Influencer/Organic noch nicht skaliert sind – der Übergang sollte daher schrittweise erfolgen, begleitet von A/B-Tests der neuen Verteilung.</w:t>
      </w:r>
    </w:p>
    <w:p>
      <w:pPr>
        <w:pStyle w:val="ListParagraph"/>
        <w:numPr>
          <w:ilvl w:val="0"/>
          <w:numId w:val="1"/>
        </w:numPr>
        <w:spacing w:after="100"/>
      </w:pPr>
      <w:r>
        <w:t xml:space="preserve">Die Daten aus marketing.attributed_revenue basieren auf einem „Last-Click“- oder einem anderen Attributionsmodell; dieses könnte den Beitrag von Paid Search zur Markenbekanntheit unterschätzen, die später über andere Kanäle konvertiert.</w:t>
      </w:r>
    </w:p>
    <w:p>
      <w:pPr>
        <w:pStyle w:val="Heading1"/>
        <w:spacing w:after="150" w:before="300"/>
      </w:pPr>
      <w:r>
        <w:t xml:space="preserve">Case B. Welche Kategorien sind wirklich profitabel?</w:t>
      </w:r>
    </w:p>
    <w:p>
      <w:pPr>
        <w:pStyle w:val="Heading2"/>
        <w:spacing w:after="120" w:before="260"/>
      </w:pPr>
      <w:r>
        <w:t xml:space="preserve">Frage 6. Vergleich der Kategorien nach Umsatz, Marge und Rücksendungen – welche erzeugt eine „Volumen-Illusion“?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900"/>
        <w:gridCol w:w="2500"/>
      </w:tblGrid>
      <w:tr>
        <w:trPr>
          <w:tblHeader/>
        </w:trPr>
        <w:tc>
          <w:tcPr>
            <w:tcW w:type="dxa" w:w="2200"/>
            <w:shd w:fill="D9E2F3" w:val="clear"/>
            <w:tcMar>
              <w:top w:type="dxa" w:w="80"/>
              <w:left w:type="dxa" w:w="100"/>
              <w:bottom w:type="dxa" w:w="80"/>
              <w:right w:type="dxa" w:w="100"/>
            </w:tcMar>
          </w:tcPr>
          <w:p>
            <w:r>
              <w:rPr>
                <w:b/>
                <w:bCs/>
              </w:rPr>
              <w:t xml:space="preserve">Kategorie</w:t>
            </w:r>
          </w:p>
        </w:tc>
        <w:tc>
          <w:tcPr>
            <w:tcW w:type="dxa" w:w="1800"/>
            <w:shd w:fill="D9E2F3" w:val="clear"/>
            <w:tcMar>
              <w:top w:type="dxa" w:w="80"/>
              <w:left w:type="dxa" w:w="100"/>
              <w:bottom w:type="dxa" w:w="80"/>
              <w:right w:type="dxa" w:w="100"/>
            </w:tcMar>
          </w:tcPr>
          <w:p>
            <w:r>
              <w:rPr>
                <w:b/>
                <w:bCs/>
              </w:rPr>
              <w:t xml:space="preserve">Umsatz, $</w:t>
            </w:r>
          </w:p>
        </w:tc>
        <w:tc>
          <w:tcPr>
            <w:tcW w:type="dxa" w:w="1400"/>
            <w:shd w:fill="D9E2F3" w:val="clear"/>
            <w:tcMar>
              <w:top w:type="dxa" w:w="80"/>
              <w:left w:type="dxa" w:w="100"/>
              <w:bottom w:type="dxa" w:w="80"/>
              <w:right w:type="dxa" w:w="100"/>
            </w:tcMar>
          </w:tcPr>
          <w:p>
            <w:r>
              <w:rPr>
                <w:b/>
                <w:bCs/>
              </w:rPr>
              <w:t xml:space="preserve">Marge, %</w:t>
            </w:r>
          </w:p>
        </w:tc>
        <w:tc>
          <w:tcPr>
            <w:tcW w:type="dxa" w:w="1900"/>
            <w:shd w:fill="D9E2F3" w:val="clear"/>
            <w:tcMar>
              <w:top w:type="dxa" w:w="80"/>
              <w:left w:type="dxa" w:w="100"/>
              <w:bottom w:type="dxa" w:w="80"/>
              <w:right w:type="dxa" w:w="100"/>
            </w:tcMar>
          </w:tcPr>
          <w:p>
            <w:r>
              <w:rPr>
                <w:b/>
                <w:bCs/>
              </w:rPr>
              <w:t xml:space="preserve">Rücksendequote, %</w:t>
            </w:r>
          </w:p>
        </w:tc>
        <w:tc>
          <w:tcPr>
            <w:tcW w:type="dxa" w:w="2500"/>
            <w:shd w:fill="D9E2F3" w:val="clear"/>
            <w:tcMar>
              <w:top w:type="dxa" w:w="80"/>
              <w:left w:type="dxa" w:w="100"/>
              <w:bottom w:type="dxa" w:w="80"/>
              <w:right w:type="dxa" w:w="100"/>
            </w:tcMar>
          </w:tcPr>
          <w:p>
            <w:r>
              <w:rPr>
                <w:b/>
                <w:bCs/>
              </w:rPr>
              <w:t xml:space="preserve">Gewinn ≈ Umsatz × Marge</w:t>
            </w:r>
          </w:p>
        </w:tc>
      </w:tr>
      <w:tr>
        <w:tc>
          <w:tcPr>
            <w:tcW w:type="dxa" w:w="2200"/>
            <w:tcMar>
              <w:top w:type="dxa" w:w="80"/>
              <w:left w:type="dxa" w:w="100"/>
              <w:bottom w:type="dxa" w:w="80"/>
              <w:right w:type="dxa" w:w="100"/>
            </w:tcMar>
          </w:tcPr>
          <w:p>
            <w:r>
              <w:rPr>
                <w:b w:val="false"/>
                <w:bCs w:val="false"/>
              </w:rPr>
              <w:t xml:space="preserve">Electronics</w:t>
            </w:r>
          </w:p>
        </w:tc>
        <w:tc>
          <w:tcPr>
            <w:tcW w:type="dxa" w:w="1800"/>
            <w:tcMar>
              <w:top w:type="dxa" w:w="80"/>
              <w:left w:type="dxa" w:w="100"/>
              <w:bottom w:type="dxa" w:w="80"/>
              <w:right w:type="dxa" w:w="100"/>
            </w:tcMar>
          </w:tcPr>
          <w:p>
            <w:r>
              <w:rPr>
                <w:b w:val="false"/>
                <w:bCs w:val="false"/>
              </w:rPr>
              <w:t xml:space="preserve">2 097 901</w:t>
            </w:r>
          </w:p>
        </w:tc>
        <w:tc>
          <w:tcPr>
            <w:tcW w:type="dxa" w:w="1400"/>
            <w:tcMar>
              <w:top w:type="dxa" w:w="80"/>
              <w:left w:type="dxa" w:w="100"/>
              <w:bottom w:type="dxa" w:w="80"/>
              <w:right w:type="dxa" w:w="100"/>
            </w:tcMar>
          </w:tcPr>
          <w:p>
            <w:r>
              <w:rPr>
                <w:b w:val="false"/>
                <w:bCs w:val="false"/>
              </w:rPr>
              <w:t xml:space="preserve">12,0</w:t>
            </w:r>
          </w:p>
        </w:tc>
        <w:tc>
          <w:tcPr>
            <w:tcW w:type="dxa" w:w="1900"/>
            <w:tcMar>
              <w:top w:type="dxa" w:w="80"/>
              <w:left w:type="dxa" w:w="100"/>
              <w:bottom w:type="dxa" w:w="80"/>
              <w:right w:type="dxa" w:w="100"/>
            </w:tcMar>
          </w:tcPr>
          <w:p>
            <w:r>
              <w:rPr>
                <w:b w:val="false"/>
                <w:bCs w:val="false"/>
              </w:rPr>
              <w:t xml:space="preserve">15,97</w:t>
            </w:r>
          </w:p>
        </w:tc>
        <w:tc>
          <w:tcPr>
            <w:tcW w:type="dxa" w:w="2500"/>
            <w:tcMar>
              <w:top w:type="dxa" w:w="80"/>
              <w:left w:type="dxa" w:w="100"/>
              <w:bottom w:type="dxa" w:w="80"/>
              <w:right w:type="dxa" w:w="100"/>
            </w:tcMar>
          </w:tcPr>
          <w:p>
            <w:r>
              <w:rPr>
                <w:b w:val="false"/>
                <w:bCs w:val="false"/>
              </w:rPr>
              <w:t xml:space="preserve">251 748</w:t>
            </w:r>
          </w:p>
        </w:tc>
      </w:tr>
      <w:tr>
        <w:tc>
          <w:tcPr>
            <w:tcW w:type="dxa" w:w="2200"/>
            <w:tcMar>
              <w:top w:type="dxa" w:w="80"/>
              <w:left w:type="dxa" w:w="100"/>
              <w:bottom w:type="dxa" w:w="80"/>
              <w:right w:type="dxa" w:w="100"/>
            </w:tcMar>
          </w:tcPr>
          <w:p>
            <w:r>
              <w:rPr>
                <w:b w:val="false"/>
                <w:bCs w:val="false"/>
              </w:rPr>
              <w:t xml:space="preserve">Home &amp; Kitchen</w:t>
            </w:r>
          </w:p>
        </w:tc>
        <w:tc>
          <w:tcPr>
            <w:tcW w:type="dxa" w:w="1800"/>
            <w:tcMar>
              <w:top w:type="dxa" w:w="80"/>
              <w:left w:type="dxa" w:w="100"/>
              <w:bottom w:type="dxa" w:w="80"/>
              <w:right w:type="dxa" w:w="100"/>
            </w:tcMar>
          </w:tcPr>
          <w:p>
            <w:r>
              <w:rPr>
                <w:b w:val="false"/>
                <w:bCs w:val="false"/>
              </w:rPr>
              <w:t xml:space="preserve">576 135</w:t>
            </w:r>
          </w:p>
        </w:tc>
        <w:tc>
          <w:tcPr>
            <w:tcW w:type="dxa" w:w="1400"/>
            <w:tcMar>
              <w:top w:type="dxa" w:w="80"/>
              <w:left w:type="dxa" w:w="100"/>
              <w:bottom w:type="dxa" w:w="80"/>
              <w:right w:type="dxa" w:w="100"/>
            </w:tcMar>
          </w:tcPr>
          <w:p>
            <w:r>
              <w:rPr>
                <w:b w:val="false"/>
                <w:bCs w:val="false"/>
              </w:rPr>
              <w:t xml:space="preserve">35,0</w:t>
            </w:r>
          </w:p>
        </w:tc>
        <w:tc>
          <w:tcPr>
            <w:tcW w:type="dxa" w:w="1900"/>
            <w:tcMar>
              <w:top w:type="dxa" w:w="80"/>
              <w:left w:type="dxa" w:w="100"/>
              <w:bottom w:type="dxa" w:w="80"/>
              <w:right w:type="dxa" w:w="100"/>
            </w:tcMar>
          </w:tcPr>
          <w:p>
            <w:r>
              <w:rPr>
                <w:b w:val="false"/>
                <w:bCs w:val="false"/>
              </w:rPr>
              <w:t xml:space="preserve">10,27</w:t>
            </w:r>
          </w:p>
        </w:tc>
        <w:tc>
          <w:tcPr>
            <w:tcW w:type="dxa" w:w="2500"/>
            <w:tcMar>
              <w:top w:type="dxa" w:w="80"/>
              <w:left w:type="dxa" w:w="100"/>
              <w:bottom w:type="dxa" w:w="80"/>
              <w:right w:type="dxa" w:w="100"/>
            </w:tcMar>
          </w:tcPr>
          <w:p>
            <w:r>
              <w:rPr>
                <w:b w:val="false"/>
                <w:bCs w:val="false"/>
              </w:rPr>
              <w:t xml:space="preserve">201 647</w:t>
            </w:r>
          </w:p>
        </w:tc>
      </w:tr>
      <w:tr>
        <w:tc>
          <w:tcPr>
            <w:tcW w:type="dxa" w:w="2200"/>
            <w:tcMar>
              <w:top w:type="dxa" w:w="80"/>
              <w:left w:type="dxa" w:w="100"/>
              <w:bottom w:type="dxa" w:w="80"/>
              <w:right w:type="dxa" w:w="100"/>
            </w:tcMar>
          </w:tcPr>
          <w:p>
            <w:r>
              <w:rPr>
                <w:b w:val="false"/>
                <w:bCs w:val="false"/>
              </w:rPr>
              <w:t xml:space="preserve">Sports</w:t>
            </w:r>
          </w:p>
        </w:tc>
        <w:tc>
          <w:tcPr>
            <w:tcW w:type="dxa" w:w="1800"/>
            <w:tcMar>
              <w:top w:type="dxa" w:w="80"/>
              <w:left w:type="dxa" w:w="100"/>
              <w:bottom w:type="dxa" w:w="80"/>
              <w:right w:type="dxa" w:w="100"/>
            </w:tcMar>
          </w:tcPr>
          <w:p>
            <w:r>
              <w:rPr>
                <w:b w:val="false"/>
                <w:bCs w:val="false"/>
              </w:rPr>
              <w:t xml:space="preserve">343 115</w:t>
            </w:r>
          </w:p>
        </w:tc>
        <w:tc>
          <w:tcPr>
            <w:tcW w:type="dxa" w:w="1400"/>
            <w:tcMar>
              <w:top w:type="dxa" w:w="80"/>
              <w:left w:type="dxa" w:w="100"/>
              <w:bottom w:type="dxa" w:w="80"/>
              <w:right w:type="dxa" w:w="100"/>
            </w:tcMar>
          </w:tcPr>
          <w:p>
            <w:r>
              <w:rPr>
                <w:b w:val="false"/>
                <w:bCs w:val="false"/>
              </w:rPr>
              <w:t xml:space="preserve">30,0</w:t>
            </w:r>
          </w:p>
        </w:tc>
        <w:tc>
          <w:tcPr>
            <w:tcW w:type="dxa" w:w="1900"/>
            <w:tcMar>
              <w:top w:type="dxa" w:w="80"/>
              <w:left w:type="dxa" w:w="100"/>
              <w:bottom w:type="dxa" w:w="80"/>
              <w:right w:type="dxa" w:w="100"/>
            </w:tcMar>
          </w:tcPr>
          <w:p>
            <w:r>
              <w:rPr>
                <w:b w:val="false"/>
                <w:bCs w:val="false"/>
              </w:rPr>
              <w:t xml:space="preserve">8,40</w:t>
            </w:r>
          </w:p>
        </w:tc>
        <w:tc>
          <w:tcPr>
            <w:tcW w:type="dxa" w:w="2500"/>
            <w:tcMar>
              <w:top w:type="dxa" w:w="80"/>
              <w:left w:type="dxa" w:w="100"/>
              <w:bottom w:type="dxa" w:w="80"/>
              <w:right w:type="dxa" w:w="100"/>
            </w:tcMar>
          </w:tcPr>
          <w:p>
            <w:r>
              <w:rPr>
                <w:b w:val="false"/>
                <w:bCs w:val="false"/>
              </w:rPr>
              <w:t xml:space="preserve">102 934</w:t>
            </w:r>
          </w:p>
        </w:tc>
      </w:tr>
      <w:tr>
        <w:tc>
          <w:tcPr>
            <w:tcW w:type="dxa" w:w="2200"/>
            <w:tcMar>
              <w:top w:type="dxa" w:w="80"/>
              <w:left w:type="dxa" w:w="100"/>
              <w:bottom w:type="dxa" w:w="80"/>
              <w:right w:type="dxa" w:w="100"/>
            </w:tcMar>
          </w:tcPr>
          <w:p>
            <w:r>
              <w:rPr>
                <w:b w:val="false"/>
                <w:bCs w:val="false"/>
              </w:rPr>
              <w:t xml:space="preserve">Clothing</w:t>
            </w:r>
          </w:p>
        </w:tc>
        <w:tc>
          <w:tcPr>
            <w:tcW w:type="dxa" w:w="1800"/>
            <w:tcMar>
              <w:top w:type="dxa" w:w="80"/>
              <w:left w:type="dxa" w:w="100"/>
              <w:bottom w:type="dxa" w:w="80"/>
              <w:right w:type="dxa" w:w="100"/>
            </w:tcMar>
          </w:tcPr>
          <w:p>
            <w:r>
              <w:rPr>
                <w:b w:val="false"/>
                <w:bCs w:val="false"/>
              </w:rPr>
              <w:t xml:space="preserve">248 601</w:t>
            </w:r>
          </w:p>
        </w:tc>
        <w:tc>
          <w:tcPr>
            <w:tcW w:type="dxa" w:w="1400"/>
            <w:tcMar>
              <w:top w:type="dxa" w:w="80"/>
              <w:left w:type="dxa" w:w="100"/>
              <w:bottom w:type="dxa" w:w="80"/>
              <w:right w:type="dxa" w:w="100"/>
            </w:tcMar>
          </w:tcPr>
          <w:p>
            <w:r>
              <w:rPr>
                <w:b w:val="false"/>
                <w:bCs w:val="false"/>
              </w:rPr>
              <w:t xml:space="preserve">45,0</w:t>
            </w:r>
          </w:p>
        </w:tc>
        <w:tc>
          <w:tcPr>
            <w:tcW w:type="dxa" w:w="1900"/>
            <w:tcMar>
              <w:top w:type="dxa" w:w="80"/>
              <w:left w:type="dxa" w:w="100"/>
              <w:bottom w:type="dxa" w:w="80"/>
              <w:right w:type="dxa" w:w="100"/>
            </w:tcMar>
          </w:tcPr>
          <w:p>
            <w:r>
              <w:rPr>
                <w:b w:val="false"/>
                <w:bCs w:val="false"/>
              </w:rPr>
              <w:t xml:space="preserve">16,00</w:t>
            </w:r>
          </w:p>
        </w:tc>
        <w:tc>
          <w:tcPr>
            <w:tcW w:type="dxa" w:w="2500"/>
            <w:tcMar>
              <w:top w:type="dxa" w:w="80"/>
              <w:left w:type="dxa" w:w="100"/>
              <w:bottom w:type="dxa" w:w="80"/>
              <w:right w:type="dxa" w:w="100"/>
            </w:tcMar>
          </w:tcPr>
          <w:p>
            <w:r>
              <w:rPr>
                <w:b w:val="false"/>
                <w:bCs w:val="false"/>
              </w:rPr>
              <w:t xml:space="preserve">111 870</w:t>
            </w:r>
          </w:p>
        </w:tc>
      </w:tr>
      <w:tr>
        <w:tc>
          <w:tcPr>
            <w:tcW w:type="dxa" w:w="2200"/>
            <w:tcMar>
              <w:top w:type="dxa" w:w="80"/>
              <w:left w:type="dxa" w:w="100"/>
              <w:bottom w:type="dxa" w:w="80"/>
              <w:right w:type="dxa" w:w="100"/>
            </w:tcMar>
          </w:tcPr>
          <w:p>
            <w:r>
              <w:rPr>
                <w:b w:val="false"/>
                <w:bCs w:val="false"/>
              </w:rPr>
              <w:t xml:space="preserve">Beauty</w:t>
            </w:r>
          </w:p>
        </w:tc>
        <w:tc>
          <w:tcPr>
            <w:tcW w:type="dxa" w:w="1800"/>
            <w:tcMar>
              <w:top w:type="dxa" w:w="80"/>
              <w:left w:type="dxa" w:w="100"/>
              <w:bottom w:type="dxa" w:w="80"/>
              <w:right w:type="dxa" w:w="100"/>
            </w:tcMar>
          </w:tcPr>
          <w:p>
            <w:r>
              <w:rPr>
                <w:b w:val="false"/>
                <w:bCs w:val="false"/>
              </w:rPr>
              <w:t xml:space="preserve">168 624</w:t>
            </w:r>
          </w:p>
        </w:tc>
        <w:tc>
          <w:tcPr>
            <w:tcW w:type="dxa" w:w="1400"/>
            <w:tcMar>
              <w:top w:type="dxa" w:w="80"/>
              <w:left w:type="dxa" w:w="100"/>
              <w:bottom w:type="dxa" w:w="80"/>
              <w:right w:type="dxa" w:w="100"/>
            </w:tcMar>
          </w:tcPr>
          <w:p>
            <w:r>
              <w:rPr>
                <w:b w:val="false"/>
                <w:bCs w:val="false"/>
              </w:rPr>
              <w:t xml:space="preserve">55,0</w:t>
            </w:r>
          </w:p>
        </w:tc>
        <w:tc>
          <w:tcPr>
            <w:tcW w:type="dxa" w:w="1900"/>
            <w:tcMar>
              <w:top w:type="dxa" w:w="80"/>
              <w:left w:type="dxa" w:w="100"/>
              <w:bottom w:type="dxa" w:w="80"/>
              <w:right w:type="dxa" w:w="100"/>
            </w:tcMar>
          </w:tcPr>
          <w:p>
            <w:r>
              <w:rPr>
                <w:b w:val="false"/>
                <w:bCs w:val="false"/>
              </w:rPr>
              <w:t xml:space="preserve">9,97</w:t>
            </w:r>
          </w:p>
        </w:tc>
        <w:tc>
          <w:tcPr>
            <w:tcW w:type="dxa" w:w="2500"/>
            <w:tcMar>
              <w:top w:type="dxa" w:w="80"/>
              <w:left w:type="dxa" w:w="100"/>
              <w:bottom w:type="dxa" w:w="80"/>
              <w:right w:type="dxa" w:w="100"/>
            </w:tcMar>
          </w:tcPr>
          <w:p>
            <w:r>
              <w:rPr>
                <w:b w:val="false"/>
                <w:bCs w:val="false"/>
              </w:rPr>
              <w:t xml:space="preserve">92 743</w:t>
            </w:r>
          </w:p>
        </w:tc>
      </w:tr>
      <w:tr>
        <w:tc>
          <w:tcPr>
            <w:tcW w:type="dxa" w:w="2200"/>
            <w:tcMar>
              <w:top w:type="dxa" w:w="80"/>
              <w:left w:type="dxa" w:w="100"/>
              <w:bottom w:type="dxa" w:w="80"/>
              <w:right w:type="dxa" w:w="100"/>
            </w:tcMar>
          </w:tcPr>
          <w:p>
            <w:r>
              <w:rPr>
                <w:b w:val="false"/>
                <w:bCs w:val="false"/>
              </w:rPr>
              <w:t xml:space="preserve">Toys</w:t>
            </w:r>
          </w:p>
        </w:tc>
        <w:tc>
          <w:tcPr>
            <w:tcW w:type="dxa" w:w="1800"/>
            <w:tcMar>
              <w:top w:type="dxa" w:w="80"/>
              <w:left w:type="dxa" w:w="100"/>
              <w:bottom w:type="dxa" w:w="80"/>
              <w:right w:type="dxa" w:w="100"/>
            </w:tcMar>
          </w:tcPr>
          <w:p>
            <w:r>
              <w:rPr>
                <w:b w:val="false"/>
                <w:bCs w:val="false"/>
              </w:rPr>
              <w:t xml:space="preserve">140 506</w:t>
            </w:r>
          </w:p>
        </w:tc>
        <w:tc>
          <w:tcPr>
            <w:tcW w:type="dxa" w:w="1400"/>
            <w:tcMar>
              <w:top w:type="dxa" w:w="80"/>
              <w:left w:type="dxa" w:w="100"/>
              <w:bottom w:type="dxa" w:w="80"/>
              <w:right w:type="dxa" w:w="100"/>
            </w:tcMar>
          </w:tcPr>
          <w:p>
            <w:r>
              <w:rPr>
                <w:b w:val="false"/>
                <w:bCs w:val="false"/>
              </w:rPr>
              <w:t xml:space="preserve">40,0</w:t>
            </w:r>
          </w:p>
        </w:tc>
        <w:tc>
          <w:tcPr>
            <w:tcW w:type="dxa" w:w="1900"/>
            <w:tcMar>
              <w:top w:type="dxa" w:w="80"/>
              <w:left w:type="dxa" w:w="100"/>
              <w:bottom w:type="dxa" w:w="80"/>
              <w:right w:type="dxa" w:w="100"/>
            </w:tcMar>
          </w:tcPr>
          <w:p>
            <w:r>
              <w:rPr>
                <w:b w:val="false"/>
                <w:bCs w:val="false"/>
              </w:rPr>
              <w:t xml:space="preserve">8,98</w:t>
            </w:r>
          </w:p>
        </w:tc>
        <w:tc>
          <w:tcPr>
            <w:tcW w:type="dxa" w:w="2500"/>
            <w:tcMar>
              <w:top w:type="dxa" w:w="80"/>
              <w:left w:type="dxa" w:w="100"/>
              <w:bottom w:type="dxa" w:w="80"/>
              <w:right w:type="dxa" w:w="100"/>
            </w:tcMar>
          </w:tcPr>
          <w:p>
            <w:r>
              <w:rPr>
                <w:b w:val="false"/>
                <w:bCs w:val="false"/>
              </w:rPr>
              <w:t xml:space="preserve">56 202</w:t>
            </w:r>
          </w:p>
        </w:tc>
      </w:tr>
      <w:tr>
        <w:tc>
          <w:tcPr>
            <w:tcW w:type="dxa" w:w="2200"/>
            <w:tcMar>
              <w:top w:type="dxa" w:w="80"/>
              <w:left w:type="dxa" w:w="100"/>
              <w:bottom w:type="dxa" w:w="80"/>
              <w:right w:type="dxa" w:w="100"/>
            </w:tcMar>
          </w:tcPr>
          <w:p>
            <w:r>
              <w:rPr>
                <w:b w:val="false"/>
                <w:bCs w:val="false"/>
              </w:rPr>
              <w:t xml:space="preserve">Books</w:t>
            </w:r>
          </w:p>
        </w:tc>
        <w:tc>
          <w:tcPr>
            <w:tcW w:type="dxa" w:w="1800"/>
            <w:tcMar>
              <w:top w:type="dxa" w:w="80"/>
              <w:left w:type="dxa" w:w="100"/>
              <w:bottom w:type="dxa" w:w="80"/>
              <w:right w:type="dxa" w:w="100"/>
            </w:tcMar>
          </w:tcPr>
          <w:p>
            <w:r>
              <w:rPr>
                <w:b w:val="false"/>
                <w:bCs w:val="false"/>
              </w:rPr>
              <w:t xml:space="preserve">90 758</w:t>
            </w:r>
          </w:p>
        </w:tc>
        <w:tc>
          <w:tcPr>
            <w:tcW w:type="dxa" w:w="1400"/>
            <w:tcMar>
              <w:top w:type="dxa" w:w="80"/>
              <w:left w:type="dxa" w:w="100"/>
              <w:bottom w:type="dxa" w:w="80"/>
              <w:right w:type="dxa" w:w="100"/>
            </w:tcMar>
          </w:tcPr>
          <w:p>
            <w:r>
              <w:rPr>
                <w:b w:val="false"/>
                <w:bCs w:val="false"/>
              </w:rPr>
              <w:t xml:space="preserve">25,0</w:t>
            </w:r>
          </w:p>
        </w:tc>
        <w:tc>
          <w:tcPr>
            <w:tcW w:type="dxa" w:w="1900"/>
            <w:tcMar>
              <w:top w:type="dxa" w:w="80"/>
              <w:left w:type="dxa" w:w="100"/>
              <w:bottom w:type="dxa" w:w="80"/>
              <w:right w:type="dxa" w:w="100"/>
            </w:tcMar>
          </w:tcPr>
          <w:p>
            <w:r>
              <w:rPr>
                <w:b w:val="false"/>
                <w:bCs w:val="false"/>
              </w:rPr>
              <w:t xml:space="preserve">8,13</w:t>
            </w:r>
          </w:p>
        </w:tc>
        <w:tc>
          <w:tcPr>
            <w:tcW w:type="dxa" w:w="2500"/>
            <w:tcMar>
              <w:top w:type="dxa" w:w="80"/>
              <w:left w:type="dxa" w:w="100"/>
              <w:bottom w:type="dxa" w:w="80"/>
              <w:right w:type="dxa" w:w="100"/>
            </w:tcMar>
          </w:tcPr>
          <w:p>
            <w:r>
              <w:rPr>
                <w:b w:val="false"/>
                <w:bCs w:val="false"/>
              </w:rPr>
              <w:t xml:space="preserve">22 689</w:t>
            </w:r>
          </w:p>
        </w:tc>
      </w:tr>
    </w:tbl>
    <w:p>
      <w:pPr>
        <w:spacing w:after="160"/>
      </w:pPr>
    </w:p>
    <w:p>
      <w:pPr>
        <w:spacing w:after="140"/>
      </w:pPr>
      <w:r>
        <w:rPr>
          <w:b/>
          <w:bCs/>
        </w:rPr>
        <w:t xml:space="preserve">Fazit: </w:t>
      </w:r>
      <w:r>
        <w:t xml:space="preserve">Electronics ist der Hauptkandidat für die „Volumen-Illusion“: 60 % des gesamten Unternehmensumsatzes, aber die niedrigste Marge aller Kategorien (12 %) und die höchste Rücksendequote (15,97 %). Trotz enormen Umsatzvolumens ist der tatsächliche Gewinn pro verkauftem Dollar hier am geringsten, und die Logistikkosten für Rücksendungen sind am höchsten.</w:t>
      </w:r>
    </w:p>
    <w:p>
      <w:pPr>
        <w:spacing w:after="140"/>
      </w:pPr>
      <w:r>
        <w:t xml:space="preserve">Clothing ist der zweite Kandidat: solide Marge (45 %), aber die höchste Rücksendequote (16,0 %) – ein typisches Problem bei Bekleidung (falsche Größe/Farbe), das einen Teil des Gewinns durch die Logistik von Rücksendungen auffrisst.</w:t>
      </w:r>
    </w:p>
    <w:p>
      <w:pPr>
        <w:pStyle w:val="Heading2"/>
        <w:spacing w:after="120" w:before="260"/>
      </w:pPr>
      <w:r>
        <w:t xml:space="preserve">Frage 7. Gibt es einen „verborgenen Diamanten“? Was ist damit zu tun?</w:t>
      </w:r>
    </w:p>
    <w:p>
      <w:pPr>
        <w:spacing w:after="140"/>
      </w:pPr>
      <w:r>
        <w:rPr>
          <w:b/>
          <w:bCs/>
        </w:rPr>
        <w:t xml:space="preserve">Fazit: </w:t>
      </w:r>
      <w:r>
        <w:t xml:space="preserve">Ja – Beauty. Die höchste Marge aller Kategorien (55 %), eine der niedrigsten Rücksendequoten (9,97 %), aber nur 5 % des Gesamtumsatzes des Unternehmens (168 624 $ von 3 474 016 $).</w:t>
      </w:r>
    </w:p>
    <w:p>
      <w:pPr>
        <w:spacing w:after="140"/>
      </w:pPr>
      <w:r>
        <w:rPr>
          <w:b/>
          <w:bCs/>
        </w:rPr>
        <w:t xml:space="preserve">Empfehlung: </w:t>
      </w:r>
      <w:r>
        <w:t xml:space="preserve">Die Kategorie ist gemessen an ihrer Profitabilität unterinvestiert. Empfohlen wird: (1) ein eigenes Marketingbudget für Beauty bereitzustellen, insbesondere über den Influencer-Kanal (Frage 4 zeigte, dass genau dieser Kanal die hochwertigsten Kunden liefert und Beauty-Produkte sich historisch gut über Influencer verkaufen); (2) das Produktsortiment in dieser Kategorie zu erweitern; (3) Cross-Selling zwischen Beauty und Clothing zu testen, da beide eine ähnliche Zielgruppe ansprechen.</w:t>
      </w:r>
    </w:p>
    <w:p>
      <w:pPr>
        <w:pStyle w:val="Heading1"/>
        <w:spacing w:after="150" w:before="300"/>
      </w:pPr>
      <w:r>
        <w:t xml:space="preserve">Case C. Rabatte und wertvolle Kunden</w:t>
      </w:r>
    </w:p>
    <w:p>
      <w:pPr>
        <w:pStyle w:val="Heading2"/>
        <w:spacing w:after="120" w:before="260"/>
      </w:pPr>
      <w:r>
        <w:t xml:space="preserve">Frage 8. Kunden mit Rabatten (&gt;20 %) im Vergleich zu den übrigen – binden sie sich stärker?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600"/>
      </w:tblGrid>
      <w:tr>
        <w:trPr>
          <w:tblHeader/>
        </w:trPr>
        <w:tc>
          <w:tcPr>
            <w:tcW w:type="dxa" w:w="3600"/>
            <w:shd w:fill="D9E2F3" w:val="clear"/>
            <w:tcMar>
              <w:top w:type="dxa" w:w="80"/>
              <w:left w:type="dxa" w:w="100"/>
              <w:bottom w:type="dxa" w:w="80"/>
              <w:right w:type="dxa" w:w="100"/>
            </w:tcMar>
          </w:tcPr>
          <w:p>
            <w:r>
              <w:rPr>
                <w:b/>
                <w:bCs/>
              </w:rPr>
              <w:t xml:space="preserve">Segment</w:t>
            </w:r>
          </w:p>
        </w:tc>
        <w:tc>
          <w:tcPr>
            <w:tcW w:type="dxa" w:w="1800"/>
            <w:shd w:fill="D9E2F3" w:val="clear"/>
            <w:tcMar>
              <w:top w:type="dxa" w:w="80"/>
              <w:left w:type="dxa" w:w="100"/>
              <w:bottom w:type="dxa" w:w="80"/>
              <w:right w:type="dxa" w:w="100"/>
            </w:tcMar>
          </w:tcPr>
          <w:p>
            <w:r>
              <w:rPr>
                <w:b/>
                <w:bCs/>
              </w:rPr>
              <w:t xml:space="preserve">Kunden</w:t>
            </w:r>
          </w:p>
        </w:tc>
        <w:tc>
          <w:tcPr>
            <w:tcW w:type="dxa" w:w="2600"/>
            <w:shd w:fill="D9E2F3" w:val="clear"/>
            <w:tcMar>
              <w:top w:type="dxa" w:w="80"/>
              <w:left w:type="dxa" w:w="100"/>
              <w:bottom w:type="dxa" w:w="80"/>
              <w:right w:type="dxa" w:w="100"/>
            </w:tcMar>
          </w:tcPr>
          <w:p>
            <w:r>
              <w:rPr>
                <w:b/>
                <w:bCs/>
              </w:rPr>
              <w:t xml:space="preserve">Ø Bestellanzahl pro Kunde</w:t>
            </w:r>
          </w:p>
        </w:tc>
      </w:tr>
      <w:tr>
        <w:tc>
          <w:tcPr>
            <w:tcW w:type="dxa" w:w="3600"/>
            <w:tcMar>
              <w:top w:type="dxa" w:w="80"/>
              <w:left w:type="dxa" w:w="100"/>
              <w:bottom w:type="dxa" w:w="80"/>
              <w:right w:type="dxa" w:w="100"/>
            </w:tcMar>
          </w:tcPr>
          <w:p>
            <w:r>
              <w:rPr>
                <w:b w:val="false"/>
                <w:bCs w:val="false"/>
              </w:rPr>
              <w:t xml:space="preserve">Rabattkunden (Ø Rabatt &gt; 20 %)</w:t>
            </w:r>
          </w:p>
        </w:tc>
        <w:tc>
          <w:tcPr>
            <w:tcW w:type="dxa" w:w="1800"/>
            <w:tcMar>
              <w:top w:type="dxa" w:w="80"/>
              <w:left w:type="dxa" w:w="100"/>
              <w:bottom w:type="dxa" w:w="80"/>
              <w:right w:type="dxa" w:w="100"/>
            </w:tcMar>
          </w:tcPr>
          <w:p>
            <w:r>
              <w:rPr>
                <w:b w:val="false"/>
                <w:bCs w:val="false"/>
              </w:rPr>
              <w:t xml:space="preserve">352</w:t>
            </w:r>
          </w:p>
        </w:tc>
        <w:tc>
          <w:tcPr>
            <w:tcW w:type="dxa" w:w="2600"/>
            <w:tcMar>
              <w:top w:type="dxa" w:w="80"/>
              <w:left w:type="dxa" w:w="100"/>
              <w:bottom w:type="dxa" w:w="80"/>
              <w:right w:type="dxa" w:w="100"/>
            </w:tcMar>
          </w:tcPr>
          <w:p>
            <w:r>
              <w:rPr>
                <w:b w:val="false"/>
                <w:bCs w:val="false"/>
              </w:rPr>
              <w:t xml:space="preserve">2,17</w:t>
            </w:r>
          </w:p>
        </w:tc>
      </w:tr>
      <w:tr>
        <w:tc>
          <w:tcPr>
            <w:tcW w:type="dxa" w:w="3600"/>
            <w:tcMar>
              <w:top w:type="dxa" w:w="80"/>
              <w:left w:type="dxa" w:w="100"/>
              <w:bottom w:type="dxa" w:w="80"/>
              <w:right w:type="dxa" w:w="100"/>
            </w:tcMar>
          </w:tcPr>
          <w:p>
            <w:r>
              <w:rPr>
                <w:b w:val="false"/>
                <w:bCs w:val="false"/>
              </w:rPr>
              <w:t xml:space="preserve">Übrige Kunden</w:t>
            </w:r>
          </w:p>
        </w:tc>
        <w:tc>
          <w:tcPr>
            <w:tcW w:type="dxa" w:w="1800"/>
            <w:tcMar>
              <w:top w:type="dxa" w:w="80"/>
              <w:left w:type="dxa" w:w="100"/>
              <w:bottom w:type="dxa" w:w="80"/>
              <w:right w:type="dxa" w:w="100"/>
            </w:tcMar>
          </w:tcPr>
          <w:p>
            <w:r>
              <w:rPr>
                <w:b w:val="false"/>
                <w:bCs w:val="false"/>
              </w:rPr>
              <w:t xml:space="preserve">2 648</w:t>
            </w:r>
          </w:p>
        </w:tc>
        <w:tc>
          <w:tcPr>
            <w:tcW w:type="dxa" w:w="2600"/>
            <w:tcMar>
              <w:top w:type="dxa" w:w="80"/>
              <w:left w:type="dxa" w:w="100"/>
              <w:bottom w:type="dxa" w:w="80"/>
              <w:right w:type="dxa" w:w="100"/>
            </w:tcMar>
          </w:tcPr>
          <w:p>
            <w:r>
              <w:rPr>
                <w:b w:val="false"/>
                <w:bCs w:val="false"/>
              </w:rPr>
              <w:t xml:space="preserve">4,35</w:t>
            </w:r>
          </w:p>
        </w:tc>
      </w:tr>
    </w:tbl>
    <w:p>
      <w:pPr>
        <w:spacing w:after="160"/>
      </w:pPr>
    </w:p>
    <w:p>
      <w:pPr>
        <w:spacing w:after="140"/>
      </w:pPr>
      <w:r>
        <w:rPr>
          <w:b/>
          <w:bCs/>
        </w:rPr>
        <w:t xml:space="preserve">Fazit: </w:t>
      </w:r>
      <w:r>
        <w:t xml:space="preserve">Nein, im Gegenteil. Kunden, die überwiegend mit Rabatten einkaufen, tätigen im Durchschnitt nur halb so viele Bestellungen (2,17) wie der Rest der Kundenbasis (4,35). Das bestätigt die Hypothese des CEO: Aggressive Rabatte ziehen „Schnäppchenjäger“ an, die ein- bis zweimal kaufen und dann verschwinden, statt loyale Kunden aufzubauen.</w:t>
      </w:r>
    </w:p>
    <w:p>
      <w:pPr>
        <w:spacing w:after="140"/>
      </w:pPr>
      <w:r>
        <w:t xml:space="preserve">Wichtiger Hinweis: Dieses Ergebnis ist eine Korrelation. Möglicherweise liegt die Ursache nicht im Rabatt selbst, sondern darin, dass diese Kunden von vornherein weniger an der Marke interessiert sind (und deshalb nur „im Sale“ kaufen). Aus geschäftlicher Sicht bleibt die praktische Schlussfolgerung dennoch dieselbe: Pauschale Rabatte ohne Anbindung an ein Loyalitätsprogramm bauen keinen langfristigen Kundenwert auf.</w:t>
      </w:r>
    </w:p>
    <w:p>
      <w:pPr>
        <w:pStyle w:val="Heading2"/>
        <w:spacing w:after="120" w:before="260"/>
      </w:pPr>
      <w:r>
        <w:t xml:space="preserve">Frage 9. Welchen Umsatzanteil erwirtschaften die Top-5%-Kunden? Wer sind sie? Wie hält man sie?</w:t>
      </w:r>
    </w:p>
    <w:p>
      <w:pPr>
        <w:spacing w:after="140"/>
      </w:pPr>
      <w:r>
        <w:rPr>
          <w:b/>
          <w:bCs/>
        </w:rPr>
        <w:t xml:space="preserve">Fazit: </w:t>
      </w:r>
      <w:r>
        <w:t xml:space="preserve">Die Top-5%-Kunden (150 von 3000) erwirtschaften 35,07 % des gesamten Unternehmensumsatzes (1 218 211 $ von 3 474 016 $).</w:t>
      </w:r>
    </w:p>
    <w:p>
      <w:pPr>
        <w:spacing w:after="140"/>
      </w:pPr>
      <w:r>
        <w:rPr>
          <w:b/>
          <w:bCs/>
        </w:rPr>
        <w:t xml:space="preserve">Profil: </w:t>
      </w:r>
      <w:r>
        <w:t xml:space="preserve">Am häufigsten handelt es sich um Kunden aus Europa und Nordamerika, gewonnen über Influencer, Organic und Referral – genau die Kanäle, die in Frage 4 den höchsten LTV zeigten.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400"/>
      </w:tblGrid>
      <w:tr>
        <w:trPr>
          <w:tblHeader/>
        </w:trPr>
        <w:tc>
          <w:tcPr>
            <w:tcW w:type="dxa" w:w="2600"/>
            <w:shd w:fill="D9E2F3" w:val="clear"/>
            <w:tcMar>
              <w:top w:type="dxa" w:w="80"/>
              <w:left w:type="dxa" w:w="100"/>
              <w:bottom w:type="dxa" w:w="80"/>
              <w:right w:type="dxa" w:w="100"/>
            </w:tcMar>
          </w:tcPr>
          <w:p>
            <w:r>
              <w:rPr>
                <w:b/>
                <w:bCs/>
              </w:rPr>
              <w:t xml:space="preserve">Region</w:t>
            </w:r>
          </w:p>
        </w:tc>
        <w:tc>
          <w:tcPr>
            <w:tcW w:type="dxa" w:w="3000"/>
            <w:shd w:fill="D9E2F3" w:val="clear"/>
            <w:tcMar>
              <w:top w:type="dxa" w:w="80"/>
              <w:left w:type="dxa" w:w="100"/>
              <w:bottom w:type="dxa" w:w="80"/>
              <w:right w:type="dxa" w:w="100"/>
            </w:tcMar>
          </w:tcPr>
          <w:p>
            <w:r>
              <w:rPr>
                <w:b/>
                <w:bCs/>
              </w:rPr>
              <w:t xml:space="preserve">acquisition_channel</w:t>
            </w:r>
          </w:p>
        </w:tc>
        <w:tc>
          <w:tcPr>
            <w:tcW w:type="dxa" w:w="2400"/>
            <w:shd w:fill="D9E2F3" w:val="clear"/>
            <w:tcMar>
              <w:top w:type="dxa" w:w="80"/>
              <w:left w:type="dxa" w:w="100"/>
              <w:bottom w:type="dxa" w:w="80"/>
              <w:right w:type="dxa" w:w="100"/>
            </w:tcMar>
          </w:tcPr>
          <w:p>
            <w:r>
              <w:rPr>
                <w:b/>
                <w:bCs/>
              </w:rPr>
              <w:t xml:space="preserve">Anzahl in den Top 5 %</w:t>
            </w:r>
          </w:p>
        </w:tc>
      </w:tr>
      <w:tr>
        <w:tc>
          <w:tcPr>
            <w:tcW w:type="dxa" w:w="2600"/>
            <w:tcMar>
              <w:top w:type="dxa" w:w="80"/>
              <w:left w:type="dxa" w:w="100"/>
              <w:bottom w:type="dxa" w:w="80"/>
              <w:right w:type="dxa" w:w="100"/>
            </w:tcMar>
          </w:tcPr>
          <w:p>
            <w:r>
              <w:rPr>
                <w:b w:val="false"/>
                <w:bCs w:val="false"/>
              </w:rPr>
              <w:t xml:space="preserve">Europe</w:t>
            </w:r>
          </w:p>
        </w:tc>
        <w:tc>
          <w:tcPr>
            <w:tcW w:type="dxa" w:w="3000"/>
            <w:tcMar>
              <w:top w:type="dxa" w:w="80"/>
              <w:left w:type="dxa" w:w="100"/>
              <w:bottom w:type="dxa" w:w="80"/>
              <w:right w:type="dxa" w:w="100"/>
            </w:tcMar>
          </w:tcPr>
          <w:p>
            <w:r>
              <w:rPr>
                <w:b w:val="false"/>
                <w:bCs w:val="false"/>
              </w:rPr>
              <w:t xml:space="preserve">Influencer</w:t>
            </w:r>
          </w:p>
        </w:tc>
        <w:tc>
          <w:tcPr>
            <w:tcW w:type="dxa" w:w="2400"/>
            <w:tcMar>
              <w:top w:type="dxa" w:w="80"/>
              <w:left w:type="dxa" w:w="100"/>
              <w:bottom w:type="dxa" w:w="80"/>
              <w:right w:type="dxa" w:w="100"/>
            </w:tcMar>
          </w:tcPr>
          <w:p>
            <w:r>
              <w:rPr>
                <w:b w:val="false"/>
                <w:bCs w:val="false"/>
              </w:rPr>
              <w:t xml:space="preserve">12</w:t>
            </w:r>
          </w:p>
        </w:tc>
      </w:tr>
      <w:tr>
        <w:tc>
          <w:tcPr>
            <w:tcW w:type="dxa" w:w="2600"/>
            <w:tcMar>
              <w:top w:type="dxa" w:w="80"/>
              <w:left w:type="dxa" w:w="100"/>
              <w:bottom w:type="dxa" w:w="80"/>
              <w:right w:type="dxa" w:w="100"/>
            </w:tcMar>
          </w:tcPr>
          <w:p>
            <w:r>
              <w:rPr>
                <w:b w:val="false"/>
                <w:bCs w:val="false"/>
              </w:rPr>
              <w:t xml:space="preserve">Southeast Asia</w:t>
            </w:r>
          </w:p>
        </w:tc>
        <w:tc>
          <w:tcPr>
            <w:tcW w:type="dxa" w:w="3000"/>
            <w:tcMar>
              <w:top w:type="dxa" w:w="80"/>
              <w:left w:type="dxa" w:w="100"/>
              <w:bottom w:type="dxa" w:w="80"/>
              <w:right w:type="dxa" w:w="100"/>
            </w:tcMar>
          </w:tcPr>
          <w:p>
            <w:r>
              <w:rPr>
                <w:b w:val="false"/>
                <w:bCs w:val="false"/>
              </w:rPr>
              <w:t xml:space="preserve">Organic</w:t>
            </w:r>
          </w:p>
        </w:tc>
        <w:tc>
          <w:tcPr>
            <w:tcW w:type="dxa" w:w="2400"/>
            <w:tcMar>
              <w:top w:type="dxa" w:w="80"/>
              <w:left w:type="dxa" w:w="100"/>
              <w:bottom w:type="dxa" w:w="80"/>
              <w:right w:type="dxa" w:w="100"/>
            </w:tcMar>
          </w:tcPr>
          <w:p>
            <w:r>
              <w:rPr>
                <w:b w:val="false"/>
                <w:bCs w:val="false"/>
              </w:rPr>
              <w:t xml:space="preserve">12</w:t>
            </w:r>
          </w:p>
        </w:tc>
      </w:tr>
      <w:tr>
        <w:tc>
          <w:tcPr>
            <w:tcW w:type="dxa" w:w="2600"/>
            <w:tcMar>
              <w:top w:type="dxa" w:w="80"/>
              <w:left w:type="dxa" w:w="100"/>
              <w:bottom w:type="dxa" w:w="80"/>
              <w:right w:type="dxa" w:w="100"/>
            </w:tcMar>
          </w:tcPr>
          <w:p>
            <w:r>
              <w:rPr>
                <w:b w:val="false"/>
                <w:bCs w:val="false"/>
              </w:rPr>
              <w:t xml:space="preserve">North America</w:t>
            </w:r>
          </w:p>
        </w:tc>
        <w:tc>
          <w:tcPr>
            <w:tcW w:type="dxa" w:w="3000"/>
            <w:tcMar>
              <w:top w:type="dxa" w:w="80"/>
              <w:left w:type="dxa" w:w="100"/>
              <w:bottom w:type="dxa" w:w="80"/>
              <w:right w:type="dxa" w:w="100"/>
            </w:tcMar>
          </w:tcPr>
          <w:p>
            <w:r>
              <w:rPr>
                <w:b w:val="false"/>
                <w:bCs w:val="false"/>
              </w:rPr>
              <w:t xml:space="preserve">Influencer</w:t>
            </w:r>
          </w:p>
        </w:tc>
        <w:tc>
          <w:tcPr>
            <w:tcW w:type="dxa" w:w="2400"/>
            <w:tcMar>
              <w:top w:type="dxa" w:w="80"/>
              <w:left w:type="dxa" w:w="100"/>
              <w:bottom w:type="dxa" w:w="80"/>
              <w:right w:type="dxa" w:w="100"/>
            </w:tcMar>
          </w:tcPr>
          <w:p>
            <w:r>
              <w:rPr>
                <w:b w:val="false"/>
                <w:bCs w:val="false"/>
              </w:rPr>
              <w:t xml:space="preserve">11</w:t>
            </w:r>
          </w:p>
        </w:tc>
      </w:tr>
      <w:tr>
        <w:tc>
          <w:tcPr>
            <w:tcW w:type="dxa" w:w="2600"/>
            <w:tcMar>
              <w:top w:type="dxa" w:w="80"/>
              <w:left w:type="dxa" w:w="100"/>
              <w:bottom w:type="dxa" w:w="80"/>
              <w:right w:type="dxa" w:w="100"/>
            </w:tcMar>
          </w:tcPr>
          <w:p>
            <w:r>
              <w:rPr>
                <w:b w:val="false"/>
                <w:bCs w:val="false"/>
              </w:rPr>
              <w:t xml:space="preserve">North America</w:t>
            </w:r>
          </w:p>
        </w:tc>
        <w:tc>
          <w:tcPr>
            <w:tcW w:type="dxa" w:w="3000"/>
            <w:tcMar>
              <w:top w:type="dxa" w:w="80"/>
              <w:left w:type="dxa" w:w="100"/>
              <w:bottom w:type="dxa" w:w="80"/>
              <w:right w:type="dxa" w:w="100"/>
            </w:tcMar>
          </w:tcPr>
          <w:p>
            <w:r>
              <w:rPr>
                <w:b w:val="false"/>
                <w:bCs w:val="false"/>
              </w:rPr>
              <w:t xml:space="preserve">Organic</w:t>
            </w:r>
          </w:p>
        </w:tc>
        <w:tc>
          <w:tcPr>
            <w:tcW w:type="dxa" w:w="2400"/>
            <w:tcMar>
              <w:top w:type="dxa" w:w="80"/>
              <w:left w:type="dxa" w:w="100"/>
              <w:bottom w:type="dxa" w:w="80"/>
              <w:right w:type="dxa" w:w="100"/>
            </w:tcMar>
          </w:tcPr>
          <w:p>
            <w:r>
              <w:rPr>
                <w:b w:val="false"/>
                <w:bCs w:val="false"/>
              </w:rPr>
              <w:t xml:space="preserve">10</w:t>
            </w:r>
          </w:p>
        </w:tc>
      </w:tr>
      <w:tr>
        <w:tc>
          <w:tcPr>
            <w:tcW w:type="dxa" w:w="2600"/>
            <w:tcMar>
              <w:top w:type="dxa" w:w="80"/>
              <w:left w:type="dxa" w:w="100"/>
              <w:bottom w:type="dxa" w:w="80"/>
              <w:right w:type="dxa" w:w="100"/>
            </w:tcMar>
          </w:tcPr>
          <w:p>
            <w:r>
              <w:rPr>
                <w:b w:val="false"/>
                <w:bCs w:val="false"/>
              </w:rPr>
              <w:t xml:space="preserve">Southeast Asia</w:t>
            </w:r>
          </w:p>
        </w:tc>
        <w:tc>
          <w:tcPr>
            <w:tcW w:type="dxa" w:w="3000"/>
            <w:tcMar>
              <w:top w:type="dxa" w:w="80"/>
              <w:left w:type="dxa" w:w="100"/>
              <w:bottom w:type="dxa" w:w="80"/>
              <w:right w:type="dxa" w:w="100"/>
            </w:tcMar>
          </w:tcPr>
          <w:p>
            <w:r>
              <w:rPr>
                <w:b w:val="false"/>
                <w:bCs w:val="false"/>
              </w:rPr>
              <w:t xml:space="preserve">Influencer</w:t>
            </w:r>
          </w:p>
        </w:tc>
        <w:tc>
          <w:tcPr>
            <w:tcW w:type="dxa" w:w="2400"/>
            <w:tcMar>
              <w:top w:type="dxa" w:w="80"/>
              <w:left w:type="dxa" w:w="100"/>
              <w:bottom w:type="dxa" w:w="80"/>
              <w:right w:type="dxa" w:w="100"/>
            </w:tcMar>
          </w:tcPr>
          <w:p>
            <w:r>
              <w:rPr>
                <w:b w:val="false"/>
                <w:bCs w:val="false"/>
              </w:rPr>
              <w:t xml:space="preserve">10</w:t>
            </w:r>
          </w:p>
        </w:tc>
      </w:tr>
    </w:tbl>
    <w:p>
      <w:pPr>
        <w:spacing w:after="160"/>
      </w:pPr>
    </w:p>
    <w:p>
      <w:pPr>
        <w:spacing w:after="140"/>
      </w:pPr>
      <w:r>
        <w:rPr>
          <w:b/>
          <w:bCs/>
        </w:rPr>
        <w:t xml:space="preserve">Wie man sie hält:</w:t>
      </w:r>
    </w:p>
    <w:p>
      <w:pPr>
        <w:pStyle w:val="ListParagraph"/>
        <w:numPr>
          <w:ilvl w:val="0"/>
          <w:numId w:val="1"/>
        </w:numPr>
        <w:spacing w:after="100"/>
      </w:pPr>
      <w:r>
        <w:t xml:space="preserve">Ein persönliches Loyalitätsprogramm / eine VIP-Stufe mit exklusiven Vorteilen (keine Rabatte, sondern Service: bevorzugter Support, früher Zugang zu neuen Produkten).</w:t>
      </w:r>
    </w:p>
    <w:p>
      <w:pPr>
        <w:pStyle w:val="ListParagraph"/>
        <w:numPr>
          <w:ilvl w:val="0"/>
          <w:numId w:val="1"/>
        </w:numPr>
        <w:spacing w:after="100"/>
      </w:pPr>
      <w:r>
        <w:t xml:space="preserve">Personalisierte Empfehlungen auf Basis der Kaufhistorie statt pauschaler Rabattmailings.</w:t>
      </w:r>
    </w:p>
    <w:p>
      <w:pPr>
        <w:pStyle w:val="ListParagraph"/>
        <w:numPr>
          <w:ilvl w:val="0"/>
          <w:numId w:val="1"/>
        </w:numPr>
        <w:spacing w:after="100"/>
      </w:pPr>
      <w:r>
        <w:t xml:space="preserve">Ein separater Kommunikationskanal (z. B. eine persönliche E-Mail vom Brand-Manager) – die Investition lohnt sich, da der Verlust selbst weniger solcher Kunden den Gesamtumsatz spürbar beeinflusst.</w:t>
      </w:r>
    </w:p>
    <w:p>
      <w:pPr>
        <w:pStyle w:val="Heading1"/>
        <w:spacing w:after="150" w:before="300"/>
      </w:pPr>
      <w:r>
        <w:t xml:space="preserve">Block 5. Statistisches Denken: A/B-Test des Checkouts</w:t>
      </w:r>
    </w:p>
    <w:p>
      <w:pPr>
        <w:spacing w:after="140"/>
      </w:pPr>
      <w:r>
        <w:t xml:space="preserve">Das Experiment läuft seit dem 1. Juni 2024. Die folgende Analyse umfasst ausschließlich Bestellungen mit ab_variant = 'A' oder 'B' (7 355 Bestellungen).</w:t>
      </w:r>
    </w:p>
    <w:p>
      <w:pPr>
        <w:pStyle w:val="Heading2"/>
        <w:spacing w:after="120" w:before="260"/>
      </w:pPr>
      <w:r>
        <w:t xml:space="preserve">Frage 10. Durchschnittlicher Bestellwert A vs. B über alle Bestellungen – wirkt B besser?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tblGrid>
      <w:tr>
        <w:trPr>
          <w:tblHeader/>
        </w:trPr>
        <w:tc>
          <w:tcPr>
            <w:tcW w:type="dxa" w:w="2400"/>
            <w:shd w:fill="D9E2F3" w:val="clear"/>
            <w:tcMar>
              <w:top w:type="dxa" w:w="80"/>
              <w:left w:type="dxa" w:w="100"/>
              <w:bottom w:type="dxa" w:w="80"/>
              <w:right w:type="dxa" w:w="100"/>
            </w:tcMar>
          </w:tcPr>
          <w:p>
            <w:r>
              <w:rPr>
                <w:b/>
                <w:bCs/>
              </w:rPr>
              <w:t xml:space="preserve">ab_variant</w:t>
            </w:r>
          </w:p>
        </w:tc>
        <w:tc>
          <w:tcPr>
            <w:tcW w:type="dxa" w:w="3200"/>
            <w:shd w:fill="D9E2F3" w:val="clear"/>
            <w:tcMar>
              <w:top w:type="dxa" w:w="80"/>
              <w:left w:type="dxa" w:w="100"/>
              <w:bottom w:type="dxa" w:w="80"/>
              <w:right w:type="dxa" w:w="100"/>
            </w:tcMar>
          </w:tcPr>
          <w:p>
            <w:r>
              <w:rPr>
                <w:b/>
                <w:bCs/>
              </w:rPr>
              <w:t xml:space="preserve">Anzahl Bestellungen</w:t>
            </w:r>
          </w:p>
        </w:tc>
        <w:tc>
          <w:tcPr>
            <w:tcW w:type="dxa" w:w="2400"/>
            <w:shd w:fill="D9E2F3" w:val="clear"/>
            <w:tcMar>
              <w:top w:type="dxa" w:w="80"/>
              <w:left w:type="dxa" w:w="100"/>
              <w:bottom w:type="dxa" w:w="80"/>
              <w:right w:type="dxa" w:w="100"/>
            </w:tcMar>
          </w:tcPr>
          <w:p>
            <w:r>
              <w:rPr>
                <w:b/>
                <w:bCs/>
              </w:rPr>
              <w:t xml:space="preserve">Ø Bestellwert, $</w:t>
            </w:r>
          </w:p>
        </w:tc>
      </w:tr>
      <w:tr>
        <w:tc>
          <w:tcPr>
            <w:tcW w:type="dxa" w:w="2400"/>
            <w:tcMar>
              <w:top w:type="dxa" w:w="80"/>
              <w:left w:type="dxa" w:w="100"/>
              <w:bottom w:type="dxa" w:w="80"/>
              <w:right w:type="dxa" w:w="100"/>
            </w:tcMar>
          </w:tcPr>
          <w:p>
            <w:r>
              <w:rPr>
                <w:b w:val="false"/>
                <w:bCs w:val="false"/>
              </w:rPr>
              <w:t xml:space="preserve">A</w:t>
            </w:r>
          </w:p>
        </w:tc>
        <w:tc>
          <w:tcPr>
            <w:tcW w:type="dxa" w:w="3200"/>
            <w:tcMar>
              <w:top w:type="dxa" w:w="80"/>
              <w:left w:type="dxa" w:w="100"/>
              <w:bottom w:type="dxa" w:w="80"/>
              <w:right w:type="dxa" w:w="100"/>
            </w:tcMar>
          </w:tcPr>
          <w:p>
            <w:r>
              <w:rPr>
                <w:b w:val="false"/>
                <w:bCs w:val="false"/>
              </w:rPr>
              <w:t xml:space="preserve">3 681</w:t>
            </w:r>
          </w:p>
        </w:tc>
        <w:tc>
          <w:tcPr>
            <w:tcW w:type="dxa" w:w="2400"/>
            <w:tcMar>
              <w:top w:type="dxa" w:w="80"/>
              <w:left w:type="dxa" w:w="100"/>
              <w:bottom w:type="dxa" w:w="80"/>
              <w:right w:type="dxa" w:w="100"/>
            </w:tcMar>
          </w:tcPr>
          <w:p>
            <w:r>
              <w:rPr>
                <w:b w:val="false"/>
                <w:bCs w:val="false"/>
              </w:rPr>
              <w:t xml:space="preserve">281,73</w:t>
            </w:r>
          </w:p>
        </w:tc>
      </w:tr>
      <w:tr>
        <w:tc>
          <w:tcPr>
            <w:tcW w:type="dxa" w:w="2400"/>
            <w:tcMar>
              <w:top w:type="dxa" w:w="80"/>
              <w:left w:type="dxa" w:w="100"/>
              <w:bottom w:type="dxa" w:w="80"/>
              <w:right w:type="dxa" w:w="100"/>
            </w:tcMar>
          </w:tcPr>
          <w:p>
            <w:r>
              <w:rPr>
                <w:b w:val="false"/>
                <w:bCs w:val="false"/>
              </w:rPr>
              <w:t xml:space="preserve">B</w:t>
            </w:r>
          </w:p>
        </w:tc>
        <w:tc>
          <w:tcPr>
            <w:tcW w:type="dxa" w:w="3200"/>
            <w:tcMar>
              <w:top w:type="dxa" w:w="80"/>
              <w:left w:type="dxa" w:w="100"/>
              <w:bottom w:type="dxa" w:w="80"/>
              <w:right w:type="dxa" w:w="100"/>
            </w:tcMar>
          </w:tcPr>
          <w:p>
            <w:r>
              <w:rPr>
                <w:b w:val="false"/>
                <w:bCs w:val="false"/>
              </w:rPr>
              <w:t xml:space="preserve">3 674</w:t>
            </w:r>
          </w:p>
        </w:tc>
        <w:tc>
          <w:tcPr>
            <w:tcW w:type="dxa" w:w="2400"/>
            <w:tcMar>
              <w:top w:type="dxa" w:w="80"/>
              <w:left w:type="dxa" w:w="100"/>
              <w:bottom w:type="dxa" w:w="80"/>
              <w:right w:type="dxa" w:w="100"/>
            </w:tcMar>
          </w:tcPr>
          <w:p>
            <w:r>
              <w:rPr>
                <w:b w:val="false"/>
                <w:bCs w:val="false"/>
              </w:rPr>
              <w:t xml:space="preserve">287,27</w:t>
            </w:r>
          </w:p>
        </w:tc>
      </w:tr>
    </w:tbl>
    <w:p>
      <w:pPr>
        <w:spacing w:after="160"/>
      </w:pPr>
    </w:p>
    <w:p>
      <w:pPr>
        <w:spacing w:after="140"/>
      </w:pPr>
      <w:r>
        <w:rPr>
          <w:b/>
          <w:bCs/>
        </w:rPr>
        <w:t xml:space="preserve">Fazit: </w:t>
      </w:r>
      <w:r>
        <w:t xml:space="preserve">Auf den ersten Blick ja – B wirkt etwas besser: Der durchschnittliche Bestellwert ist um 5,54 $ höher (+1,97 %). Würde die Analyse hier enden, wäre die naheliegende Schlussfolgerung „B für alle einführen“.</w:t>
      </w:r>
    </w:p>
    <w:p>
      <w:pPr>
        <w:pStyle w:val="Heading2"/>
        <w:spacing w:after="120" w:before="260"/>
      </w:pPr>
      <w:r>
        <w:t xml:space="preserve">Frage 11. Aufschlüsselung nach neuen und wiederkehrenden Kunden (neu = erste Bestellung innerhalb von ca. 60 Tagen nach der Registrierung)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200"/>
      </w:tblGrid>
      <w:tr>
        <w:trPr>
          <w:tblHeader/>
        </w:trPr>
        <w:tc>
          <w:tcPr>
            <w:tcW w:type="dxa" w:w="1800"/>
            <w:shd w:fill="D9E2F3" w:val="clear"/>
            <w:tcMar>
              <w:top w:type="dxa" w:w="80"/>
              <w:left w:type="dxa" w:w="100"/>
              <w:bottom w:type="dxa" w:w="80"/>
              <w:right w:type="dxa" w:w="100"/>
            </w:tcMar>
          </w:tcPr>
          <w:p>
            <w:r>
              <w:rPr>
                <w:b/>
                <w:bCs/>
              </w:rPr>
              <w:t xml:space="preserve">ab_variant</w:t>
            </w:r>
          </w:p>
        </w:tc>
        <w:tc>
          <w:tcPr>
            <w:tcW w:type="dxa" w:w="2400"/>
            <w:shd w:fill="D9E2F3" w:val="clear"/>
            <w:tcMar>
              <w:top w:type="dxa" w:w="80"/>
              <w:left w:type="dxa" w:w="100"/>
              <w:bottom w:type="dxa" w:w="80"/>
              <w:right w:type="dxa" w:w="100"/>
            </w:tcMar>
          </w:tcPr>
          <w:p>
            <w:r>
              <w:rPr>
                <w:b/>
                <w:bCs/>
              </w:rPr>
              <w:t xml:space="preserve">Kundentyp</w:t>
            </w:r>
          </w:p>
        </w:tc>
        <w:tc>
          <w:tcPr>
            <w:tcW w:type="dxa" w:w="2400"/>
            <w:shd w:fill="D9E2F3" w:val="clear"/>
            <w:tcMar>
              <w:top w:type="dxa" w:w="80"/>
              <w:left w:type="dxa" w:w="100"/>
              <w:bottom w:type="dxa" w:w="80"/>
              <w:right w:type="dxa" w:w="100"/>
            </w:tcMar>
          </w:tcPr>
          <w:p>
            <w:r>
              <w:rPr>
                <w:b/>
                <w:bCs/>
              </w:rPr>
              <w:t xml:space="preserve">Anzahl Bestellungen</w:t>
            </w:r>
          </w:p>
        </w:tc>
        <w:tc>
          <w:tcPr>
            <w:tcW w:type="dxa" w:w="2200"/>
            <w:shd w:fill="D9E2F3" w:val="clear"/>
            <w:tcMar>
              <w:top w:type="dxa" w:w="80"/>
              <w:left w:type="dxa" w:w="100"/>
              <w:bottom w:type="dxa" w:w="80"/>
              <w:right w:type="dxa" w:w="100"/>
            </w:tcMar>
          </w:tcPr>
          <w:p>
            <w:r>
              <w:rPr>
                <w:b/>
                <w:bCs/>
              </w:rPr>
              <w:t xml:space="preserve">Ø Bestellwert, $</w:t>
            </w:r>
          </w:p>
        </w:tc>
      </w:tr>
      <w:tr>
        <w:tc>
          <w:tcPr>
            <w:tcW w:type="dxa" w:w="1800"/>
            <w:tcMar>
              <w:top w:type="dxa" w:w="80"/>
              <w:left w:type="dxa" w:w="100"/>
              <w:bottom w:type="dxa" w:w="80"/>
              <w:right w:type="dxa" w:w="100"/>
            </w:tcMar>
          </w:tcPr>
          <w:p>
            <w:r>
              <w:rPr>
                <w:b w:val="false"/>
                <w:bCs w:val="false"/>
              </w:rPr>
              <w:t xml:space="preserve">A</w:t>
            </w:r>
          </w:p>
        </w:tc>
        <w:tc>
          <w:tcPr>
            <w:tcW w:type="dxa" w:w="2400"/>
            <w:tcMar>
              <w:top w:type="dxa" w:w="80"/>
              <w:left w:type="dxa" w:w="100"/>
              <w:bottom w:type="dxa" w:w="80"/>
              <w:right w:type="dxa" w:w="100"/>
            </w:tcMar>
          </w:tcPr>
          <w:p>
            <w:r>
              <w:rPr>
                <w:b w:val="false"/>
                <w:bCs w:val="false"/>
              </w:rPr>
              <w:t xml:space="preserve">Neu</w:t>
            </w:r>
          </w:p>
        </w:tc>
        <w:tc>
          <w:tcPr>
            <w:tcW w:type="dxa" w:w="2400"/>
            <w:tcMar>
              <w:top w:type="dxa" w:w="80"/>
              <w:left w:type="dxa" w:w="100"/>
              <w:bottom w:type="dxa" w:w="80"/>
              <w:right w:type="dxa" w:w="100"/>
            </w:tcMar>
          </w:tcPr>
          <w:p>
            <w:r>
              <w:rPr>
                <w:b w:val="false"/>
                <w:bCs w:val="false"/>
              </w:rPr>
              <w:t xml:space="preserve">758</w:t>
            </w:r>
          </w:p>
        </w:tc>
        <w:tc>
          <w:tcPr>
            <w:tcW w:type="dxa" w:w="2200"/>
            <w:tcMar>
              <w:top w:type="dxa" w:w="80"/>
              <w:left w:type="dxa" w:w="100"/>
              <w:bottom w:type="dxa" w:w="80"/>
              <w:right w:type="dxa" w:w="100"/>
            </w:tcMar>
          </w:tcPr>
          <w:p>
            <w:r>
              <w:rPr>
                <w:b w:val="false"/>
                <w:bCs w:val="false"/>
              </w:rPr>
              <w:t xml:space="preserve">278,18</w:t>
            </w:r>
          </w:p>
        </w:tc>
      </w:tr>
      <w:tr>
        <w:tc>
          <w:tcPr>
            <w:tcW w:type="dxa" w:w="1800"/>
            <w:tcMar>
              <w:top w:type="dxa" w:w="80"/>
              <w:left w:type="dxa" w:w="100"/>
              <w:bottom w:type="dxa" w:w="80"/>
              <w:right w:type="dxa" w:w="100"/>
            </w:tcMar>
          </w:tcPr>
          <w:p>
            <w:r>
              <w:rPr>
                <w:b w:val="false"/>
                <w:bCs w:val="false"/>
              </w:rPr>
              <w:t xml:space="preserve">B</w:t>
            </w:r>
          </w:p>
        </w:tc>
        <w:tc>
          <w:tcPr>
            <w:tcW w:type="dxa" w:w="2400"/>
            <w:tcMar>
              <w:top w:type="dxa" w:w="80"/>
              <w:left w:type="dxa" w:w="100"/>
              <w:bottom w:type="dxa" w:w="80"/>
              <w:right w:type="dxa" w:w="100"/>
            </w:tcMar>
          </w:tcPr>
          <w:p>
            <w:r>
              <w:rPr>
                <w:b w:val="false"/>
                <w:bCs w:val="false"/>
              </w:rPr>
              <w:t xml:space="preserve">Neu</w:t>
            </w:r>
          </w:p>
        </w:tc>
        <w:tc>
          <w:tcPr>
            <w:tcW w:type="dxa" w:w="2400"/>
            <w:tcMar>
              <w:top w:type="dxa" w:w="80"/>
              <w:left w:type="dxa" w:w="100"/>
              <w:bottom w:type="dxa" w:w="80"/>
              <w:right w:type="dxa" w:w="100"/>
            </w:tcMar>
          </w:tcPr>
          <w:p>
            <w:r>
              <w:rPr>
                <w:b w:val="false"/>
                <w:bCs w:val="false"/>
              </w:rPr>
              <w:t xml:space="preserve">744</w:t>
            </w:r>
          </w:p>
        </w:tc>
        <w:tc>
          <w:tcPr>
            <w:tcW w:type="dxa" w:w="2200"/>
            <w:tcMar>
              <w:top w:type="dxa" w:w="80"/>
              <w:left w:type="dxa" w:w="100"/>
              <w:bottom w:type="dxa" w:w="80"/>
              <w:right w:type="dxa" w:w="100"/>
            </w:tcMar>
          </w:tcPr>
          <w:p>
            <w:r>
              <w:rPr>
                <w:b w:val="false"/>
                <w:bCs w:val="false"/>
              </w:rPr>
              <w:t xml:space="preserve">341,47</w:t>
            </w:r>
          </w:p>
        </w:tc>
      </w:tr>
      <w:tr>
        <w:tc>
          <w:tcPr>
            <w:tcW w:type="dxa" w:w="1800"/>
            <w:tcMar>
              <w:top w:type="dxa" w:w="80"/>
              <w:left w:type="dxa" w:w="100"/>
              <w:bottom w:type="dxa" w:w="80"/>
              <w:right w:type="dxa" w:w="100"/>
            </w:tcMar>
          </w:tcPr>
          <w:p>
            <w:r>
              <w:rPr>
                <w:b w:val="false"/>
                <w:bCs w:val="false"/>
              </w:rPr>
              <w:t xml:space="preserve">A</w:t>
            </w:r>
          </w:p>
        </w:tc>
        <w:tc>
          <w:tcPr>
            <w:tcW w:type="dxa" w:w="2400"/>
            <w:tcMar>
              <w:top w:type="dxa" w:w="80"/>
              <w:left w:type="dxa" w:w="100"/>
              <w:bottom w:type="dxa" w:w="80"/>
              <w:right w:type="dxa" w:w="100"/>
            </w:tcMar>
          </w:tcPr>
          <w:p>
            <w:r>
              <w:rPr>
                <w:b w:val="false"/>
                <w:bCs w:val="false"/>
              </w:rPr>
              <w:t xml:space="preserve">Wiederkehrend</w:t>
            </w:r>
          </w:p>
        </w:tc>
        <w:tc>
          <w:tcPr>
            <w:tcW w:type="dxa" w:w="2400"/>
            <w:tcMar>
              <w:top w:type="dxa" w:w="80"/>
              <w:left w:type="dxa" w:w="100"/>
              <w:bottom w:type="dxa" w:w="80"/>
              <w:right w:type="dxa" w:w="100"/>
            </w:tcMar>
          </w:tcPr>
          <w:p>
            <w:r>
              <w:rPr>
                <w:b w:val="false"/>
                <w:bCs w:val="false"/>
              </w:rPr>
              <w:t xml:space="preserve">2 923</w:t>
            </w:r>
          </w:p>
        </w:tc>
        <w:tc>
          <w:tcPr>
            <w:tcW w:type="dxa" w:w="2200"/>
            <w:tcMar>
              <w:top w:type="dxa" w:w="80"/>
              <w:left w:type="dxa" w:w="100"/>
              <w:bottom w:type="dxa" w:w="80"/>
              <w:right w:type="dxa" w:w="100"/>
            </w:tcMar>
          </w:tcPr>
          <w:p>
            <w:r>
              <w:rPr>
                <w:b w:val="false"/>
                <w:bCs w:val="false"/>
              </w:rPr>
              <w:t xml:space="preserve">282,65</w:t>
            </w:r>
          </w:p>
        </w:tc>
      </w:tr>
      <w:tr>
        <w:tc>
          <w:tcPr>
            <w:tcW w:type="dxa" w:w="1800"/>
            <w:tcMar>
              <w:top w:type="dxa" w:w="80"/>
              <w:left w:type="dxa" w:w="100"/>
              <w:bottom w:type="dxa" w:w="80"/>
              <w:right w:type="dxa" w:w="100"/>
            </w:tcMar>
          </w:tcPr>
          <w:p>
            <w:r>
              <w:rPr>
                <w:b w:val="false"/>
                <w:bCs w:val="false"/>
              </w:rPr>
              <w:t xml:space="preserve">B</w:t>
            </w:r>
          </w:p>
        </w:tc>
        <w:tc>
          <w:tcPr>
            <w:tcW w:type="dxa" w:w="2400"/>
            <w:tcMar>
              <w:top w:type="dxa" w:w="80"/>
              <w:left w:type="dxa" w:w="100"/>
              <w:bottom w:type="dxa" w:w="80"/>
              <w:right w:type="dxa" w:w="100"/>
            </w:tcMar>
          </w:tcPr>
          <w:p>
            <w:r>
              <w:rPr>
                <w:b w:val="false"/>
                <w:bCs w:val="false"/>
              </w:rPr>
              <w:t xml:space="preserve">Wiederkehrend</w:t>
            </w:r>
          </w:p>
        </w:tc>
        <w:tc>
          <w:tcPr>
            <w:tcW w:type="dxa" w:w="2400"/>
            <w:tcMar>
              <w:top w:type="dxa" w:w="80"/>
              <w:left w:type="dxa" w:w="100"/>
              <w:bottom w:type="dxa" w:w="80"/>
              <w:right w:type="dxa" w:w="100"/>
            </w:tcMar>
          </w:tcPr>
          <w:p>
            <w:r>
              <w:rPr>
                <w:b w:val="false"/>
                <w:bCs w:val="false"/>
              </w:rPr>
              <w:t xml:space="preserve">2 930</w:t>
            </w:r>
          </w:p>
        </w:tc>
        <w:tc>
          <w:tcPr>
            <w:tcW w:type="dxa" w:w="2200"/>
            <w:tcMar>
              <w:top w:type="dxa" w:w="80"/>
              <w:left w:type="dxa" w:w="100"/>
              <w:bottom w:type="dxa" w:w="80"/>
              <w:right w:type="dxa" w:w="100"/>
            </w:tcMar>
          </w:tcPr>
          <w:p>
            <w:r>
              <w:rPr>
                <w:b w:val="false"/>
                <w:bCs w:val="false"/>
              </w:rPr>
              <w:t xml:space="preserve">273,51</w:t>
            </w:r>
          </w:p>
        </w:tc>
      </w:tr>
    </w:tbl>
    <w:p>
      <w:pPr>
        <w:spacing w:after="160"/>
      </w:pPr>
    </w:p>
    <w:p>
      <w:pPr>
        <w:spacing w:after="140"/>
      </w:pPr>
      <w:r>
        <w:rPr>
          <w:b/>
          <w:bCs/>
        </w:rPr>
        <w:t xml:space="preserve">Fazit: Das Bild verändert sich grundlegend bei der Aufschlüsselung in Untergruppen:</w:t>
      </w:r>
    </w:p>
    <w:p>
      <w:pPr>
        <w:pStyle w:val="ListParagraph"/>
        <w:numPr>
          <w:ilvl w:val="0"/>
          <w:numId w:val="1"/>
        </w:numPr>
        <w:spacing w:after="100"/>
      </w:pPr>
      <w:r>
        <w:rPr>
          <w:b/>
          <w:bCs/>
        </w:rPr>
        <w:t xml:space="preserve">Neukunden: </w:t>
      </w:r>
      <w:r>
        <w:t xml:space="preserve">Variante B ist deutlich besser – der durchschnittliche Bestellwert steigt von 278,18 $ auf 341,47 $ (+22,8 %).</w:t>
      </w:r>
    </w:p>
    <w:p>
      <w:pPr>
        <w:pStyle w:val="ListParagraph"/>
        <w:numPr>
          <w:ilvl w:val="0"/>
          <w:numId w:val="1"/>
        </w:numPr>
        <w:spacing w:after="100"/>
      </w:pPr>
      <w:r>
        <w:rPr>
          <w:b/>
          <w:bCs/>
        </w:rPr>
        <w:t xml:space="preserve">Wiederkehrende Kunden: </w:t>
      </w:r>
      <w:r>
        <w:t xml:space="preserve">Variante B schneidet schlechter ab – der durchschnittliche Bestellwert sinkt von 282,65 $ auf 273,51 $ (−3,2 %).</w:t>
      </w:r>
    </w:p>
    <w:p>
      <w:pPr>
        <w:spacing w:after="140"/>
      </w:pPr>
      <w:r>
        <w:t xml:space="preserve">Der insgesamt „positive“ Effekt von B (+1,97 % aus Frage 10) ist also kein gleichmäßiger Effekt, sondern das Ergebnis der Vermischung zweier gegensätzlicher Effekte: einer starken Verbesserung bei Neukunden (die mit nur ca. 20 % der Experiment-Bestellungen in der Minderheit sind) und einer leichten Verschlechterung bei wiederkehrenden Kunden (die mit ca. 80 % in der Mehrheit sind).</w:t>
      </w:r>
    </w:p>
    <w:p>
      <w:pPr>
        <w:pStyle w:val="Heading2"/>
        <w:spacing w:after="120" w:before="260"/>
      </w:pPr>
      <w:r>
        <w:t xml:space="preserve">Frage 12. Simpson-Paradoxon: Für wen lohnt sich B tatsächlich?</w:t>
      </w:r>
    </w:p>
    <w:p>
      <w:pPr>
        <w:spacing w:after="140"/>
      </w:pPr>
      <w:r>
        <w:rPr>
          <w:b/>
          <w:bCs/>
        </w:rPr>
        <w:t xml:space="preserve">Fazit: </w:t>
      </w:r>
      <w:r>
        <w:t xml:space="preserve">Dies ist ein klassisches Beispiel für das Simpson-Paradoxon – der Gesamtdurchschnitt verdeckt gegensätzliche Effekte in den Untergruppen. Das neue Checkout-Design (Variante B) hilft eindeutig Neukunden (möglicherweise ist es einfacher oder verständlicher für Personen, die ihre erste Bestellung aufgeben und noch nicht an die alte Oberfläche gewöhnt sind), erschwert jedoch wiederkehrenden Kunden den Prozess (möglicherweise sind sie bereits an den alten Checkout gewöhnt, und die Änderung stört den gewohnten, schnellen Ablauf – ein klassischer „Gewohnheitseffekt“).</w:t>
      </w:r>
    </w:p>
    <w:p>
      <w:pPr>
        <w:spacing w:after="140"/>
      </w:pPr>
      <w:r>
        <w:rPr>
          <w:b/>
          <w:bCs/>
        </w:rPr>
        <w:t xml:space="preserve">Empfehlung: B darf NICHT undifferenziert für alle eingeführt werden. Der richtige Schritt:</w:t>
      </w:r>
    </w:p>
    <w:p>
      <w:pPr>
        <w:pStyle w:val="ListParagraph"/>
        <w:numPr>
          <w:ilvl w:val="0"/>
          <w:numId w:val="1"/>
        </w:numPr>
        <w:spacing w:after="100"/>
      </w:pPr>
      <w:r>
        <w:t xml:space="preserve">Variante B nur für Neukunden einführen (erste ca. 60 Tage nach Registrierung) – hier ist der Effekt stark und eindeutig positiv.</w:t>
      </w:r>
    </w:p>
    <w:p>
      <w:pPr>
        <w:pStyle w:val="ListParagraph"/>
        <w:numPr>
          <w:ilvl w:val="0"/>
          <w:numId w:val="1"/>
        </w:numPr>
        <w:spacing w:after="100"/>
      </w:pPr>
      <w:r>
        <w:t xml:space="preserve">Variante A (alter Checkout) für wiederkehrende Kunden beibehalten, oder einen separaten, längeren A/B-Test speziell für dieses Segment durchführen, bevor etwas für die treue Kundenbasis geändert wird.</w:t>
      </w:r>
    </w:p>
    <w:p>
      <w:pPr>
        <w:pStyle w:val="ListParagraph"/>
        <w:numPr>
          <w:ilvl w:val="0"/>
          <w:numId w:val="1"/>
        </w:numPr>
        <w:spacing w:after="100"/>
      </w:pPr>
      <w:r>
        <w:t xml:space="preserve">Die Ursache untersuchen: Handelt es sich wirklich um „Gewohnheit“, oder gibt es ein konkretes Problem im neuen Design (mehr Schritte, schlechtere UX auf Mobilgeräten usw.) – dies lässt sich zusätzlich nach Gerät (Mobile/Desktop/Tablet) prüfen.</w:t>
      </w:r>
    </w:p>
    <w:p>
      <w:pPr>
        <w:pStyle w:val="Heading2"/>
        <w:spacing w:after="120" w:before="260"/>
      </w:pPr>
      <w:r>
        <w:t xml:space="preserve">Frage 13. Wie stellt man das Ergebnis ehrlich dar – und wie könnte man es manipulativ darstellen?</w:t>
      </w:r>
    </w:p>
    <w:p>
      <w:pPr>
        <w:spacing w:after="140"/>
      </w:pPr>
      <w:r>
        <w:rPr>
          <w:b/>
          <w:bCs/>
        </w:rPr>
        <w:t xml:space="preserve">Wenn man B um jeden Preis „verkaufen“ wollte: </w:t>
      </w:r>
      <w:r>
        <w:t xml:space="preserve">Man würde nur den Gesamtdurchschnitt (+1,97 %, Frage 10) zeigen und dies als „statistisch signifikante Verbesserung für alle Kunden“ bezeichnen, ohne nach Untergruppen aufzuschlüsseln und ohne zu erwähnen, dass das Ergebnis für 80 % der Bestellungen (wiederkehrende Kunden) tatsächlich negativ ist.</w:t>
      </w:r>
    </w:p>
    <w:p>
      <w:pPr>
        <w:spacing w:after="140"/>
      </w:pPr>
      <w:r>
        <w:rPr>
          <w:b/>
          <w:bCs/>
        </w:rPr>
        <w:t xml:space="preserve">Wenn man B „verstecken“ wollte: </w:t>
      </w:r>
      <w:r>
        <w:t xml:space="preserve">Man würde nur das Segment der wiederkehrenden Kunden (−3,2 %) zeigen und dies als „das neue Design schadet dem Geschäft“ darstellen, ohne zu erwähnen, dass der Effekt bei Neukunden stark positiv ist (+22,8 %) und genau dieses Segment für das langfristige Wachstum der Kundenbasis am wichtigsten ist.</w:t>
      </w:r>
    </w:p>
    <w:p>
      <w:pPr>
        <w:spacing w:after="140"/>
      </w:pPr>
      <w:r>
        <w:rPr>
          <w:b/>
          <w:bCs/>
        </w:rPr>
        <w:t xml:space="preserve">Ehrlicher Ansatz: </w:t>
      </w:r>
      <w:r>
        <w:t xml:space="preserve">BEIDE Ebenen zeigen – den Gesamtdurchschnitt und die Aufschlüsselung nach Untergruppen – und dabei ausdrücklich darauf hinweisen, dass der Gesamtwert gegensätzliche Effekte verdeckt (Simpson-Paradoxon), sowie eine konkrete, segmentierte Empfehlung geben (B selektiv einführen) statt einer pauschalen Antwort „Ja“ oder „Nein“.</w:t>
      </w:r>
    </w:p>
    <w:p>
      <w:pPr>
        <w:pStyle w:val="Heading1"/>
        <w:spacing w:after="150" w:before="300"/>
      </w:pPr>
      <w:r>
        <w:t xml:space="preserve">Zusammenfassung: 5 zentrale Empfehlungen für den CEO</w:t>
      </w:r>
    </w:p>
    <w:p>
      <w:pPr>
        <w:pStyle w:val="ListParagraph"/>
        <w:numPr>
          <w:ilvl w:val="0"/>
          <w:numId w:val="1"/>
        </w:numPr>
        <w:spacing w:after="100"/>
      </w:pPr>
      <w:r>
        <w:rPr>
          <w:b/>
          <w:bCs/>
        </w:rPr>
        <w:t xml:space="preserve">1. Marketingbudget umverteilen: </w:t>
      </w:r>
      <w:r>
        <w:t xml:space="preserve">Den Anteil von Paid Search (schlechtester ROI = 1,0 und niedrigster Kunden-LTV = 648 $) um 15–20 Prozentpunkte zugunsten von Influencer und Email kürzen – den Kanälen mit gleichzeitig höchstem ROI und LTV.</w:t>
      </w:r>
    </w:p>
    <w:p>
      <w:pPr>
        <w:pStyle w:val="ListParagraph"/>
        <w:numPr>
          <w:ilvl w:val="0"/>
          <w:numId w:val="1"/>
        </w:numPr>
        <w:spacing w:after="100"/>
      </w:pPr>
      <w:r>
        <w:rPr>
          <w:b/>
          <w:bCs/>
        </w:rPr>
        <w:t xml:space="preserve">2. In Beauty als „verborgenen Diamanten“ investieren: </w:t>
      </w:r>
      <w:r>
        <w:t xml:space="preserve">höchste Marge (55 %) und niedrige Rücksendequote (9,97 %), obwohl die Kategorie nur 5 % des Umsatzes erwirtschaftet – hier besteht Wachstumspotenzial ohne Einbußen bei der Profitabilität.</w:t>
      </w:r>
    </w:p>
    <w:p>
      <w:pPr>
        <w:pStyle w:val="ListParagraph"/>
        <w:numPr>
          <w:ilvl w:val="0"/>
          <w:numId w:val="1"/>
        </w:numPr>
        <w:spacing w:after="100"/>
      </w:pPr>
      <w:r>
        <w:rPr>
          <w:b/>
          <w:bCs/>
        </w:rPr>
        <w:t xml:space="preserve">3. Die Electronics-Strategie überdenken: </w:t>
      </w:r>
      <w:r>
        <w:t xml:space="preserve">60 % des Unternehmensumsatzes, aber niedrigste Marge (12 %) und höchste Rücksendequote (15,97 %) – die Ursachen der Rücksendungen sollten analysiert und Preiserhöhungen oder eine Sortimentsänderung in der Kategorie geprüft werden.</w:t>
      </w:r>
    </w:p>
    <w:p>
      <w:pPr>
        <w:pStyle w:val="ListParagraph"/>
        <w:numPr>
          <w:ilvl w:val="0"/>
          <w:numId w:val="1"/>
        </w:numPr>
        <w:spacing w:after="100"/>
      </w:pPr>
      <w:r>
        <w:rPr>
          <w:b/>
          <w:bCs/>
        </w:rPr>
        <w:t xml:space="preserve">4. Auf pauschale Rabatte als Akquisitionsinstrument verzichten: </w:t>
      </w:r>
      <w:r>
        <w:t xml:space="preserve">Rabattkunden tätigen halb so viele Bestellungen (2,17 gegenüber 4,35) – Rabatte durch ein Loyalitätsprogramm ersetzen, das sich an den Top-5%-Kunden orientiert, die bereits 35 % des Umsatzes erwirtschaften.</w:t>
      </w:r>
    </w:p>
    <w:p>
      <w:pPr>
        <w:pStyle w:val="ListParagraph"/>
        <w:numPr>
          <w:ilvl w:val="0"/>
          <w:numId w:val="1"/>
        </w:numPr>
        <w:spacing w:after="100"/>
      </w:pPr>
      <w:r>
        <w:rPr>
          <w:b/>
          <w:bCs/>
        </w:rPr>
        <w:t xml:space="preserve">5. Neuen Checkout (Variante B) selektiv einführen: </w:t>
      </w:r>
      <w:r>
        <w:t xml:space="preserve">nur für Neukunden (+22,8 % beim durchschnittlichen Bestellwert), während für wiederkehrende Kunden die alte Variante beibehalten wird, da das neue Design dort das Ergebnis verschlechtert (−3,2 %) – so lässt sich der Fehler vermeiden, „für alle einzuführen“ auf Basis eines irreführenden Gesamtdurchschnitts.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2026-07-19T10:46:42.229Z</dcterms:created>
  <dcterms:modified xsi:type="dcterms:W3CDTF">2026-07-19T10:46:42.241Z</dcterms:modified>
</cp:coreProperties>
</file>

<file path=docProps/custom.xml><?xml version="1.0" encoding="utf-8"?>
<Properties xmlns="http://schemas.openxmlformats.org/officeDocument/2006/custom-properties" xmlns:vt="http://schemas.openxmlformats.org/officeDocument/2006/docPropsVTypes"/>
</file>