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Approfondissement</w:t>
      </w:r>
      <w:r>
        <w:t xml:space="preserve"> </w:t>
      </w:r>
      <w:r>
        <w:t xml:space="preserve">–</w:t>
      </w:r>
      <w:r>
        <w:t xml:space="preserve"> </w:t>
      </w:r>
      <w:r>
        <w:t xml:space="preserve">LaTeX</w:t>
      </w:r>
      <w:r>
        <w:t xml:space="preserve"> </w:t>
      </w:r>
      <w:r>
        <w:t xml:space="preserve">et</w:t>
      </w:r>
      <w:r>
        <w:t xml:space="preserve"> </w:t>
      </w:r>
      <w:r>
        <w:t xml:space="preserve">outils</w:t>
      </w:r>
      <w:r>
        <w:t xml:space="preserve"> </w:t>
      </w:r>
      <w:r>
        <w:t xml:space="preserve">connexes</w:t>
      </w:r>
    </w:p>
    <w:p>
      <w:pPr>
        <w:pStyle w:val="Author"/>
      </w:pPr>
      <w:r>
        <w:t xml:space="preserve">Sébastien</w:t>
      </w:r>
      <w:r>
        <w:t xml:space="preserve"> </w:t>
      </w:r>
      <w:r>
        <w:t xml:space="preserve">Mengin</w:t>
      </w:r>
    </w:p>
    <w:bookmarkStart w:id="28" w:name="questions-techniques-du-jour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Questions techniques du</w:t>
      </w:r>
      <w:r>
        <w:t xml:space="preserve"> </w:t>
      </w:r>
      <w:r>
        <w:t xml:space="preserve">jour</w:t>
      </w:r>
    </w:p>
    <w:bookmarkStart w:id="20" w:name="gestion-des-documents-volumineux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Gestion des documents</w:t>
      </w:r>
      <w:r>
        <w:t xml:space="preserve"> </w:t>
      </w:r>
      <w:r>
        <w:t xml:space="preserve">volumineux</w:t>
      </w:r>
    </w:p>
    <w:bookmarkEnd w:id="20"/>
    <w:p>
      <w:pPr>
        <w:numPr>
          <w:ilvl w:val="0"/>
          <w:numId w:val="1001"/>
        </w:numPr>
      </w:pPr>
      <w:r>
        <w:t xml:space="preserve">commandes</w:t>
      </w:r>
      <w:r>
        <w:t xml:space="preserve"> </w:t>
      </w:r>
      <w:r>
        <w:rPr>
          <w:rStyle w:val="VerbatimChar"/>
        </w:rPr>
        <w:t xml:space="preserve">\input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\include</w:t>
      </w:r>
    </w:p>
    <w:p>
      <w:pPr>
        <w:numPr>
          <w:ilvl w:val="0"/>
          <w:numId w:val="1001"/>
        </w:numPr>
      </w:pPr>
      <w:r>
        <w:t xml:space="preserve">commande</w:t>
      </w:r>
      <w:r>
        <w:t xml:space="preserve"> </w:t>
      </w:r>
      <w:r>
        <w:rPr>
          <w:rStyle w:val="VerbatimChar"/>
        </w:rPr>
        <w:t xml:space="preserve">\includeonly</w:t>
      </w:r>
    </w:p>
    <w:p>
      <w:pPr>
        <w:numPr>
          <w:ilvl w:val="0"/>
          <w:numId w:val="1001"/>
        </w:numPr>
      </w:pPr>
      <w:r>
        <w:t xml:space="preserve">dossiers pour les éléments graphiques et commande</w:t>
      </w:r>
      <w:r>
        <w:t xml:space="preserve"> </w:t>
      </w:r>
      <w:r>
        <w:rPr>
          <w:rStyle w:val="VerbatimChar"/>
        </w:rPr>
        <w:t xml:space="preserve">\graphicspath{}</w:t>
      </w:r>
    </w:p>
    <w:p>
      <w:pPr>
        <w:numPr>
          <w:ilvl w:val="0"/>
          <w:numId w:val="1001"/>
        </w:numPr>
      </w:pPr>
      <w:r>
        <w:t xml:space="preserve">package</w:t>
      </w:r>
      <w:r>
        <w:t xml:space="preserve"> </w:t>
      </w:r>
      <w:r>
        <w:rPr>
          <w:rStyle w:val="VerbatimChar"/>
        </w:rPr>
        <w:t xml:space="preserve">comment</w:t>
      </w:r>
    </w:p>
    <w:bookmarkStart w:id="21" w:name="conversions-en-latex-et-word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Conversions en LaTeX et</w:t>
      </w:r>
      <w:r>
        <w:t xml:space="preserve"> </w:t>
      </w:r>
      <w:r>
        <w:t xml:space="preserve">Word</w:t>
      </w:r>
    </w:p>
    <w:bookmarkEnd w:id="21"/>
    <w:p>
      <w:pPr>
        <w:numPr>
          <w:ilvl w:val="0"/>
          <w:numId w:val="1002"/>
        </w:numPr>
      </w:pPr>
      <w:r>
        <w:t xml:space="preserve">pratiques actuelles</w:t>
      </w:r>
    </w:p>
    <w:p>
      <w:pPr>
        <w:numPr>
          <w:ilvl w:val="0"/>
          <w:numId w:val="1002"/>
        </w:numPr>
      </w:pPr>
      <w:r>
        <w:t xml:space="preserve">améliorations possibles ? (scripts ?)</w:t>
      </w:r>
    </w:p>
    <w:p>
      <w:pPr>
        <w:pStyle w:val="FirstParagraph"/>
      </w:pPr>
      <w:r>
        <w:t xml:space="preserve">Avec la ligne suivante les sections ne sont pas numérotées :</w:t>
      </w:r>
    </w:p>
    <w:p>
      <w:pPr>
        <w:pStyle w:val="SourceCode"/>
      </w:pPr>
      <w:r>
        <w:rPr>
          <w:rStyle w:val="VerbatimChar"/>
        </w:rPr>
        <w:t xml:space="preserve">pandoc --bibliography=Biblio_These.bib --bibliography=ComplementBibTex -o RevueLit.docx main.tex --citeproc --number-sections</w:t>
      </w:r>
    </w:p>
    <w:p>
      <w:pPr>
        <w:numPr>
          <w:ilvl w:val="0"/>
          <w:numId w:val="1003"/>
        </w:numPr>
      </w:pPr>
      <w:r>
        <w:t xml:space="preserve">utiliser LaTeX pour la mise en page finale</w:t>
      </w:r>
      <w:r>
        <w:rPr>
          <w:rStyle w:val="FootnoteReference"/>
        </w:rPr>
        <w:footnoteReference w:id="22"/>
      </w:r>
    </w:p>
    <w:bookmarkStart w:id="23" w:name="bibliographi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Bibliographies</w:t>
      </w:r>
    </w:p>
    <w:bookmarkEnd w:id="23"/>
    <w:p>
      <w:pPr>
        <w:pStyle w:val="FirstParagraph"/>
      </w:pPr>
      <w:r>
        <w:t xml:space="preserve">Convertir un DOI en bibtex.</w:t>
      </w:r>
      <w:r>
        <w:t xml:space="preserve"> </w:t>
      </w:r>
      <w:hyperlink r:id="rId24">
        <w:r>
          <w:rPr>
            <w:rStyle w:val="Hyperlink"/>
          </w:rPr>
          <w:t xml:space="preserve">https://www.doi2bib.org/</w:t>
        </w:r>
      </w:hyperlink>
    </w:p>
    <w:bookmarkStart w:id="25" w:name="saisie-en-markdown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Saisie en Markdown</w:t>
      </w:r>
    </w:p>
    <w:bookmarkEnd w:id="25"/>
    <w:p>
      <w:pPr>
        <w:numPr>
          <w:ilvl w:val="0"/>
          <w:numId w:val="1004"/>
        </w:numPr>
      </w:pPr>
      <w:r>
        <w:t xml:space="preserve">un exemple :</w:t>
      </w:r>
      <w:r>
        <w:t xml:space="preserve"> </w:t>
      </w:r>
      <w:hyperlink r:id="rId26">
        <w:r>
          <w:rPr>
            <w:rStyle w:val="Hyperlink"/>
          </w:rPr>
          <w:t xml:space="preserve">https://opensource.com/article/18/9/pandoc-research-paper</w:t>
        </w:r>
      </w:hyperlink>
    </w:p>
    <w:p>
      <w:pPr>
        <w:numPr>
          <w:ilvl w:val="0"/>
          <w:numId w:val="1004"/>
        </w:numPr>
      </w:pPr>
      <w:r>
        <w:t xml:space="preserve">gestion des bibliographies avec Zotero et l’extension better-bibtex</w:t>
      </w:r>
      <w:r>
        <w:t xml:space="preserve"> </w:t>
      </w:r>
      <w:r>
        <w:t xml:space="preserve">(Smith and Doe 2023)</w:t>
      </w:r>
    </w:p>
    <w:p>
      <w:pPr>
        <w:numPr>
          <w:ilvl w:val="0"/>
          <w:numId w:val="1004"/>
        </w:numPr>
      </w:pPr>
      <w:r>
        <w:t xml:space="preserve">exemple de commande à saisir dans un terminal pour exporter en LaTeX :</w:t>
      </w:r>
    </w:p>
    <w:p>
      <w:pPr>
        <w:numPr>
          <w:ilvl w:val="0"/>
          <w:numId w:val="1000"/>
        </w:numPr>
      </w:pPr>
      <w:r>
        <w:t xml:space="preserve">pandoc</w:t>
      </w:r>
      <w:r>
        <w:t xml:space="preserve"> </w:t>
      </w:r>
      <w:r>
        <w:t xml:space="preserve">-</w:t>
      </w:r>
      <w:r>
        <w:t xml:space="preserve">f markdown</w:t>
      </w:r>
      <w:r>
        <w:t xml:space="preserve"> </w:t>
      </w:r>
      <w:r>
        <w:t xml:space="preserve">-</w:t>
      </w:r>
      <w:r>
        <w:t xml:space="preserve">t latex</w:t>
      </w:r>
      <w:r>
        <w:t xml:space="preserve"> </w:t>
      </w:r>
      <w:r>
        <w:t xml:space="preserve">-</w:t>
      </w:r>
      <w:r>
        <w:t xml:space="preserve">-</w:t>
      </w:r>
      <w:r>
        <w:t xml:space="preserve">biblatex</w:t>
      </w:r>
      <w:r>
        <w:t xml:space="preserve"> </w:t>
      </w:r>
      <w:r>
        <w:t xml:space="preserve">-</w:t>
      </w:r>
      <w:r>
        <w:t xml:space="preserve">s FO</w:t>
      </w:r>
      <w:r>
        <w:t xml:space="preserve">-</w:t>
      </w:r>
      <w:r>
        <w:t xml:space="preserve">INRAE</w:t>
      </w:r>
      <w:r>
        <w:t xml:space="preserve">-</w:t>
      </w:r>
      <w:r>
        <w:t xml:space="preserve">approfondissement.md</w:t>
      </w:r>
      <w:r>
        <w:t xml:space="preserve"> </w:t>
      </w:r>
      <w:r>
        <w:t xml:space="preserve">-</w:t>
      </w:r>
      <w:r>
        <w:t xml:space="preserve">o FO</w:t>
      </w:r>
      <w:r>
        <w:t xml:space="preserve">-</w:t>
      </w:r>
      <w:r>
        <w:t xml:space="preserve">INRAE</w:t>
      </w:r>
      <w:r>
        <w:t xml:space="preserve">-</w:t>
      </w:r>
      <w:r>
        <w:t xml:space="preserve">approfondissement.tex</w:t>
      </w:r>
    </w:p>
    <w:p>
      <w:pPr>
        <w:numPr>
          <w:ilvl w:val="0"/>
          <w:numId w:val="1004"/>
        </w:numPr>
      </w:pPr>
      <w:r>
        <w:t xml:space="preserve">éditeur collaboratif en temps réel markdown</w:t>
      </w:r>
    </w:p>
    <w:p>
      <w:pPr>
        <w:numPr>
          <w:ilvl w:val="1"/>
          <w:numId w:val="1005"/>
        </w:numPr>
      </w:pPr>
      <w:r>
        <w:t xml:space="preserve">stylo (</w:t>
      </w:r>
      <w:hyperlink r:id="rId27">
        <w:r>
          <w:rPr>
            <w:rStyle w:val="Hyperlink"/>
          </w:rPr>
          <w:t xml:space="preserve">https://stylo.huma-num.fr/</w:t>
        </w:r>
      </w:hyperlink>
      <w:r>
        <w:t xml:space="preserve">)</w:t>
      </w:r>
    </w:p>
    <w:bookmarkEnd w:id="28"/>
    <w:bookmarkStart w:id="30" w:name="X28a446a1c63cb5d115b02c4928fb98696d56689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Rédaction collaborative en temps réel avec</w:t>
      </w:r>
      <w:r>
        <w:t xml:space="preserve"> </w:t>
      </w:r>
      <w:r>
        <w:t xml:space="preserve">Overleaf</w:t>
      </w:r>
    </w:p>
    <w:p>
      <w:pPr>
        <w:numPr>
          <w:ilvl w:val="0"/>
          <w:numId w:val="1006"/>
        </w:numPr>
      </w:pPr>
      <w:r>
        <w:t xml:space="preserve">limites d’Overleaf en version gratuite : 1 collaborateur max avec</w:t>
      </w:r>
      <w:r>
        <w:t xml:space="preserve"> </w:t>
      </w:r>
      <w:r>
        <w:t xml:space="preserve">droit d’écriture</w:t>
      </w:r>
      <w:r>
        <w:rPr>
          <w:rStyle w:val="FootnoteReference"/>
        </w:rPr>
        <w:footnoteReference w:id="29"/>
      </w:r>
    </w:p>
    <w:p>
      <w:pPr>
        <w:numPr>
          <w:ilvl w:val="0"/>
          <w:numId w:val="1007"/>
        </w:numPr>
      </w:pPr>
      <w:r>
        <w:t xml:space="preserve">solutions alternatives :</w:t>
      </w:r>
    </w:p>
    <w:p>
      <w:pPr>
        <w:numPr>
          <w:ilvl w:val="1"/>
          <w:numId w:val="1008"/>
        </w:numPr>
      </w:pPr>
      <w:r>
        <w:t xml:space="preserve">gérer les droits d’accès aux différents collaborateurs (écriture,</w:t>
      </w:r>
      <w:r>
        <w:t xml:space="preserve"> </w:t>
      </w:r>
      <w:r>
        <w:t xml:space="preserve">lecture)</w:t>
      </w:r>
    </w:p>
    <w:p>
      <w:pPr>
        <w:numPr>
          <w:ilvl w:val="1"/>
          <w:numId w:val="1008"/>
        </w:numPr>
      </w:pPr>
      <w:r>
        <w:t xml:space="preserve">utiliser des gestionnaires de version (github et cie). Limite :</w:t>
      </w:r>
      <w:r>
        <w:t xml:space="preserve"> </w:t>
      </w:r>
      <w:r>
        <w:t xml:space="preserve">asynchrone</w:t>
      </w:r>
    </w:p>
    <w:bookmarkEnd w:id="30"/>
    <w:bookmarkStart w:id="36" w:name="ruxe9capitulatif-benchmark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Récapitulatif (benchmark)</w:t>
      </w:r>
    </w:p>
    <w:bookmarkStart w:id="31" w:name="nextcloud-inra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Nextcloud INRAE</w:t>
      </w:r>
    </w:p>
    <w:bookmarkEnd w:id="31"/>
    <w:p>
      <w:pPr>
        <w:numPr>
          <w:ilvl w:val="0"/>
          <w:numId w:val="1009"/>
        </w:numPr>
      </w:pPr>
      <w:r>
        <w:t xml:space="preserve">markdown ok</w:t>
      </w:r>
    </w:p>
    <w:p>
      <w:pPr>
        <w:numPr>
          <w:ilvl w:val="0"/>
          <w:numId w:val="1009"/>
        </w:numPr>
      </w:pPr>
      <w:r>
        <w:t xml:space="preserve">zotero ? fichiers de bibliographie ?</w:t>
      </w:r>
    </w:p>
    <w:p>
      <w:pPr>
        <w:numPr>
          <w:ilvl w:val="0"/>
          <w:numId w:val="1009"/>
        </w:numPr>
      </w:pPr>
      <w:r>
        <w:t xml:space="preserve">images ?</w:t>
      </w:r>
    </w:p>
    <w:p>
      <w:pPr>
        <w:numPr>
          <w:ilvl w:val="0"/>
          <w:numId w:val="1009"/>
        </w:numPr>
      </w:pPr>
      <w:r>
        <w:t xml:space="preserve">historique des modifications ?</w:t>
      </w:r>
    </w:p>
    <w:p>
      <w:pPr>
        <w:numPr>
          <w:ilvl w:val="0"/>
          <w:numId w:val="1009"/>
        </w:numPr>
      </w:pPr>
      <w:r>
        <w:t xml:space="preserve">validation des modifications ?</w:t>
      </w:r>
    </w:p>
    <w:bookmarkStart w:id="32" w:name="githu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Github ?</w:t>
      </w:r>
    </w:p>
    <w:bookmarkEnd w:id="32"/>
    <w:bookmarkStart w:id="33" w:name="overleaf-version-payante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Overleaf version payante</w:t>
      </w:r>
    </w:p>
    <w:bookmarkEnd w:id="33"/>
    <w:bookmarkStart w:id="34" w:name="ruxe9daction-des-thuxe8s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Rédaction des thèses</w:t>
      </w:r>
    </w:p>
    <w:bookmarkEnd w:id="34"/>
    <w:p>
      <w:pPr>
        <w:pStyle w:val="FirstParagraph"/>
      </w:pPr>
      <w:r>
        <w:t xml:space="preserve">Overleaf pour le côté pragmatique, en version payante. Voir pour une</w:t>
      </w:r>
      <w:r>
        <w:t xml:space="preserve"> </w:t>
      </w:r>
      <w:r>
        <w:t xml:space="preserve">version hébergée sur les serveurs INRAE ?</w:t>
      </w:r>
    </w:p>
    <w:bookmarkStart w:id="35" w:name="ruxe9daction-darticles-de-recherches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Rédaction d’articles de</w:t>
      </w:r>
      <w:r>
        <w:t xml:space="preserve"> </w:t>
      </w:r>
      <w:r>
        <w:t xml:space="preserve">recherches</w:t>
      </w:r>
    </w:p>
    <w:bookmarkEnd w:id="35"/>
    <w:p>
      <w:pPr>
        <w:pStyle w:val="FirstParagraph"/>
      </w:pPr>
      <w:r>
        <w:t xml:space="preserve">Développer l’instance markdown sur nextcloud INRAE ?</w:t>
      </w:r>
    </w:p>
    <w:bookmarkEnd w:id="36"/>
    <w:bookmarkStart w:id="39" w:name="perspectiv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Perspectives</w:t>
      </w:r>
    </w:p>
    <w:p>
      <w:pPr>
        <w:pStyle w:val="FirstParagraph"/>
      </w:pPr>
      <w:r>
        <w:t xml:space="preserve">Selon nouvelle session de formation 2025-2026 à soumettre.</w:t>
      </w:r>
    </w:p>
    <w:bookmarkStart w:id="37" w:name="utilisation-des-templates-latex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Utilisation des templates</w:t>
      </w:r>
      <w:r>
        <w:t xml:space="preserve"> </w:t>
      </w:r>
      <w:r>
        <w:t xml:space="preserve">LaTeX</w:t>
      </w:r>
    </w:p>
    <w:bookmarkEnd w:id="37"/>
    <w:p>
      <w:pPr>
        <w:numPr>
          <w:ilvl w:val="0"/>
          <w:numId w:val="1010"/>
        </w:numPr>
      </w:pPr>
      <w:r>
        <w:t xml:space="preserve">rédiger en format basique (article, report, etc.) pour la</w:t>
      </w:r>
      <w:r>
        <w:t xml:space="preserve"> </w:t>
      </w:r>
      <w:r>
        <w:t xml:space="preserve">compatibilité maximale avec d’autres templates</w:t>
      </w:r>
    </w:p>
    <w:p>
      <w:pPr>
        <w:numPr>
          <w:ilvl w:val="0"/>
          <w:numId w:val="1010"/>
        </w:numPr>
      </w:pPr>
      <w:r>
        <w:t xml:space="preserve">appliquer un template déterminé lorsqu’il existe ou est fournir par</w:t>
      </w:r>
      <w:r>
        <w:t xml:space="preserve"> </w:t>
      </w:r>
      <w:r>
        <w:t xml:space="preserve">une revue</w:t>
      </w:r>
    </w:p>
    <w:p>
      <w:pPr>
        <w:numPr>
          <w:ilvl w:val="0"/>
          <w:numId w:val="1010"/>
        </w:numPr>
      </w:pPr>
      <w:r>
        <w:t xml:space="preserve">créer des templates propres aux articles et travaux publiés pour</w:t>
      </w:r>
      <w:r>
        <w:t xml:space="preserve"> </w:t>
      </w:r>
      <w:r>
        <w:t xml:space="preserve">Dynafor :</w:t>
      </w:r>
    </w:p>
    <w:p>
      <w:pPr>
        <w:numPr>
          <w:ilvl w:val="1"/>
          <w:numId w:val="1011"/>
        </w:numPr>
      </w:pPr>
      <w:r>
        <w:t xml:space="preserve">template écologie</w:t>
      </w:r>
    </w:p>
    <w:p>
      <w:pPr>
        <w:numPr>
          <w:ilvl w:val="1"/>
          <w:numId w:val="1011"/>
        </w:numPr>
      </w:pPr>
      <w:r>
        <w:t xml:space="preserve">template SHS</w:t>
      </w:r>
    </w:p>
    <w:p>
      <w:pPr>
        <w:numPr>
          <w:ilvl w:val="1"/>
          <w:numId w:val="1011"/>
        </w:numPr>
      </w:pPr>
      <w:r>
        <w:t xml:space="preserve">interdisciplinaire</w:t>
      </w:r>
    </w:p>
    <w:bookmarkStart w:id="38" w:name="groupe-de-travail-latex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Groupe de travail LaTeX</w:t>
      </w:r>
    </w:p>
    <w:bookmarkEnd w:id="38"/>
    <w:p>
      <w:pPr>
        <w:pStyle w:val="FirstParagraph"/>
      </w:pPr>
      <w:r>
        <w:t xml:space="preserve">Piloté par infogéom, animé par les utilisateurs LaTeX du laboratoire.</w:t>
      </w:r>
    </w:p>
    <w:bookmarkEnd w:id="39"/>
    <w:bookmarkStart w:id="43" w:name="calendrier-prochaines-session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Calendrier prochaines</w:t>
      </w:r>
      <w:r>
        <w:t xml:space="preserve"> </w:t>
      </w:r>
      <w:r>
        <w:t xml:space="preserve">sessions</w:t>
      </w:r>
    </w:p>
    <w:bookmarkStart w:id="40" w:name="juin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Juin</w:t>
      </w:r>
    </w:p>
    <w:bookmarkEnd w:id="40"/>
    <w:p>
      <w:pPr>
        <w:pStyle w:val="FirstParagraph"/>
      </w:pPr>
      <w:r>
        <w:t xml:space="preserve">13, 16, 20, 24, 25</w:t>
      </w:r>
    </w:p>
    <w:bookmarkStart w:id="41" w:name="juillet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Juillet</w:t>
      </w:r>
    </w:p>
    <w:bookmarkEnd w:id="41"/>
    <w:p>
      <w:pPr>
        <w:pStyle w:val="FirstParagraph"/>
      </w:pPr>
      <w:r>
        <w:t xml:space="preserve">9, 10, 18, 21, 24, 25</w:t>
      </w:r>
    </w:p>
    <w:bookmarkStart w:id="42" w:name="refs"/>
    <w:bookmarkEnd w:id="42"/>
    <w:p>
      <w:pPr>
        <w:pStyle w:val="BodyText"/>
      </w:pPr>
      <w:r>
        <w:t xml:space="preserve">Smith, John, and Jane Doe. 2023.</w:t>
      </w:r>
      <w:r>
        <w:t xml:space="preserve"> </w:t>
      </w:r>
      <w:r>
        <w:t xml:space="preserve">“</w:t>
      </w:r>
      <w:r>
        <w:t xml:space="preserve">Economic Statistics and Their Impact</w:t>
      </w:r>
      <w:r>
        <w:t xml:space="preserve"> </w:t>
      </w:r>
      <w:r>
        <w:t xml:space="preserve">on Policy Making.</w:t>
      </w:r>
      <w:r>
        <w:t xml:space="preserve">”</w:t>
      </w:r>
      <w:r>
        <w:t xml:space="preserve"> </w:t>
      </w:r>
      <w:r>
        <w:rPr>
          <w:iCs/>
          <w:i/>
        </w:rPr>
        <w:t xml:space="preserve">Journal of Economic Research</w:t>
      </w:r>
      <w:r>
        <w:t xml:space="preserve"> </w:t>
      </w:r>
      <w:r>
        <w:t xml:space="preserve">45 (2):</w:t>
      </w:r>
      <w:r>
        <w:t xml:space="preserve"> </w:t>
      </w:r>
      <w:r>
        <w:t xml:space="preserve">123–45.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Par conséquent,</w:t>
      </w:r>
      <w:r>
        <w:t xml:space="preserve"> </w:t>
      </w:r>
      <w:r>
        <w:t xml:space="preserve">rédiger en markdown le reste du temps…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Une note de bas de page peut être balisée</w:t>
      </w:r>
      <w:r>
        <w:t xml:space="preserve"> </w:t>
      </w:r>
      <w:r>
        <w:t xml:space="preserve">avec un chiffre ou avec un mot,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se charge des</w:t>
      </w:r>
      <w:r>
        <w:t xml:space="preserve"> </w:t>
      </w:r>
      <w:r>
        <w:t xml:space="preserve">compteurs…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opensource.com/article/18/9/pandoc-research-paper" TargetMode="External" /><Relationship Type="http://schemas.openxmlformats.org/officeDocument/2006/relationships/hyperlink" Id="rId27" Target="https://stylo.huma-num.fr/" TargetMode="External" /><Relationship Type="http://schemas.openxmlformats.org/officeDocument/2006/relationships/hyperlink" Id="rId24" Target="https://www.doi2bib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opensource.com/article/18/9/pandoc-research-paper" TargetMode="External" /><Relationship Type="http://schemas.openxmlformats.org/officeDocument/2006/relationships/hyperlink" Id="rId27" Target="https://stylo.huma-num.fr/" TargetMode="External" /><Relationship Type="http://schemas.openxmlformats.org/officeDocument/2006/relationships/hyperlink" Id="rId24" Target="https://www.doi2bib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Approfondissement – LaTeX et outils connexes</dc:title>
  <dc:creator>Sébastien Mengin</dc:creator>
  <cp:keywords/>
  <dcterms:created xsi:type="dcterms:W3CDTF">2025-06-05T19:14:06Z</dcterms:created>
  <dcterms:modified xsi:type="dcterms:W3CDTF">2025-06-05T19:14:06Z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