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t xml:space="preserve">QA Guardian</w:t>
      </w:r>
    </w:p>
    <w:p>
      <w:pPr>
        <w:spacing w:after="40"/>
      </w:pPr>
      <w:r>
        <w:rPr>
          <w:b/>
          <w:bCs/>
          <w:sz w:val="28"/>
          <w:szCs w:val="28"/>
        </w:rPr>
        <w:t xml:space="preserve">Guion de video-tutorial: “Cómo un QA usa la plataforma”</w:t>
      </w:r>
    </w:p>
    <w:p>
      <w:pPr>
        <w:spacing w:after="200"/>
      </w:pPr>
      <w:r>
        <w:rPr>
          <w:i/>
          <w:iCs/>
          <w:color w:val="6B7280"/>
        </w:rPr>
        <w:t xml:space="preserve">Narración (voz en off) + storyboard (qué mostrar en pantalla)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Duración estimada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~10 minutos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Audiencia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Analistas de QA / nuevos usuarios de la plataforma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Formato sugerido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Screencast (grabación de pantalla) con voz en off. La columna “Narración” puede leerse a micrófono o convertirse a audio con un TTS.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Tono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Claro, cercano y profesional. Ritmo pausado.</w:t>
            </w:r>
          </w:p>
        </w:tc>
      </w:tr>
    </w:tbl>
    <w:p>
      <w:pPr>
        <w:spacing w:after="40" w:before="200"/>
      </w:pPr>
      <w:r>
        <w:rPr>
          <w:b/>
          <w:bCs/>
        </w:rPr>
        <w:t xml:space="preserve">Cómo usar este guion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escena tiene dos columnas: </w:t>
      </w:r>
      <w:r>
        <w:rPr>
          <w:b/>
          <w:bCs/>
        </w:rPr>
        <w:t xml:space="preserve">EN PANTALLA</w:t>
      </w:r>
      <w:r>
        <w:t xml:space="preserve"> (lo que se graba/muestra) y </w:t>
      </w:r>
      <w:r>
        <w:rPr>
          <w:b/>
          <w:bCs/>
        </w:rPr>
        <w:t xml:space="preserve">NARRACIÓN</w:t>
      </w:r>
      <w:r>
        <w:t xml:space="preserve"> (lo que se dice).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tiempos son orientativos; ajústalos al ritmo real de la grabación.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 el </w:t>
      </w:r>
      <w:r>
        <w:rPr>
          <w:b/>
          <w:bCs/>
        </w:rPr>
        <w:t xml:space="preserve">audio</w:t>
      </w:r>
      <w:r>
        <w:t xml:space="preserve">: lee solo la columna de narración, en orden. Para el </w:t>
      </w:r>
      <w:r>
        <w:rPr>
          <w:b/>
          <w:bCs/>
        </w:rPr>
        <w:t xml:space="preserve">video</w:t>
      </w:r>
      <w:r>
        <w:t xml:space="preserve">: sincroniza cada bloque con su acción en pantalla.</w:t>
      </w:r>
    </w:p>
    <w:p>
      <w:r>
        <w:br w:type="page"/>
      </w:r>
    </w:p>
    <w:p>
      <w:pPr>
        <w:pStyle w:val="Heading2"/>
        <w:spacing w:after="100" w:before="240"/>
      </w:pPr>
      <w:r>
        <w:t xml:space="preserve">Escena 0 — Apertura — ¿Qué es QA Guardian?</w:t>
      </w:r>
      <w:r>
        <w:rPr>
          <w:color w:val="6B7280"/>
          <w:sz w:val="20"/>
          <w:szCs w:val="20"/>
        </w:rPr>
        <w:t xml:space="preserve">   (0:00–0:40)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6300"/>
      </w:tblGrid>
      <w:tr>
        <w:trPr>
          <w:tblHeader/>
        </w:trP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EN PANTALLA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NARRACIÓN (voz en off)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Logo / pantalla de inicio de QA Guardian.</w:t>
            </w:r>
          </w:p>
          <w:p>
            <w:pPr>
              <w:spacing w:after="60"/>
            </w:pPr>
            <w:r>
              <w:rPr>
                <w:b w:val="false"/>
                <w:bCs w:val="false"/>
              </w:rPr>
              <w:t xml:space="preserve">Texto en pantalla: “El Quality Gate de tus despliegues”.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/>
            </w:pPr>
            <w:r>
              <w:t xml:space="preserve">Bienvenido a </w:t>
            </w:r>
            <w:r>
              <w:rPr>
                <w:b/>
                <w:bCs/>
              </w:rPr>
              <w:t xml:space="preserve">QA Guardian</w:t>
            </w:r>
            <w:r>
              <w:t xml:space="preserve">, la plataforma que centraliza toda la calidad de tus proyectos en un solo lugar.</w:t>
            </w:r>
          </w:p>
          <w:p>
            <w:pPr>
              <w:spacing w:after="80"/>
            </w:pPr>
            <w:r>
              <w:t xml:space="preserve">Con ella, como analista de QA, puedes ejecutar pruebas funcionales, de regresión, de APIs, de rendimiento, de seguridad, detectar cambios visuales y validar bases de datos… y, sobre todo, decidir automáticamente si un despliegue </w:t>
            </w:r>
            <w:r>
              <w:rPr>
                <w:b/>
                <w:bCs/>
              </w:rPr>
              <w:t xml:space="preserve">se aprueba o se rechaza</w:t>
            </w:r>
            <w:r>
              <w:t xml:space="preserve">.</w:t>
            </w:r>
          </w:p>
          <w:p>
            <w:pPr>
              <w:spacing w:after="80"/>
            </w:pPr>
            <w:r>
              <w:t xml:space="preserve">En este video verás el flujo completo de trabajo de un día a día.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5334000" cy="3524250"/>
            <wp:effectExtent t="0" r="0" b="0" l="0"/>
            <wp:docPr id="1" name="02-dashboard.png" descr="Captura de pantalla de referencia" title="Apertura — ¿Qué es QA Guardian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B7280"/>
          <w:sz w:val="18"/>
          <w:szCs w:val="18"/>
        </w:rPr>
        <w:t xml:space="preserve">Referencia visual — Apertura — ¿Qué es QA Guardian?</w:t>
      </w:r>
    </w:p>
    <w:p>
      <w:pPr>
        <w:pStyle w:val="Heading2"/>
        <w:spacing w:after="100" w:before="240"/>
      </w:pPr>
      <w:r>
        <w:t xml:space="preserve">Escena 1 — Iniciar sesión</w:t>
      </w:r>
      <w:r>
        <w:rPr>
          <w:color w:val="6B7280"/>
          <w:sz w:val="20"/>
          <w:szCs w:val="20"/>
        </w:rPr>
        <w:t xml:space="preserve">   (0:40–1:05)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6300"/>
      </w:tblGrid>
      <w:tr>
        <w:trPr>
          <w:tblHeader/>
        </w:trP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EN PANTALLA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NARRACIÓN (voz en off)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Pantalla de login.</w:t>
            </w:r>
          </w:p>
          <w:p>
            <w:pPr>
              <w:spacing w:after="60"/>
            </w:pPr>
            <w:r>
              <w:rPr>
                <w:b w:val="false"/>
                <w:bCs w:val="false"/>
              </w:rPr>
              <w:t xml:space="preserve">Se escribe el correo y la contraseña.</w:t>
            </w:r>
          </w:p>
          <w:p>
            <w:pPr>
              <w:spacing w:after="60"/>
            </w:pPr>
            <w:r>
              <w:rPr>
                <w:b w:val="false"/>
                <w:bCs w:val="false"/>
              </w:rPr>
              <w:t xml:space="preserve">Clic en “Ingresar”.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/>
            </w:pPr>
            <w:r>
              <w:t xml:space="preserve">Lo primero es </w:t>
            </w:r>
            <w:r>
              <w:rPr>
                <w:b/>
                <w:bCs/>
              </w:rPr>
              <w:t xml:space="preserve">iniciar sesión</w:t>
            </w:r>
            <w:r>
              <w:t xml:space="preserve"> con tu cuenta corporativa.</w:t>
            </w:r>
          </w:p>
          <w:p>
            <w:pPr>
              <w:spacing w:after="80"/>
            </w:pPr>
            <w:r>
              <w:t xml:space="preserve">Cada usuario tiene un rol —por ejemplo, Administrador o Analista— que define qué puede hacer: ejecutar pruebas, gestionar proyectos o solo ver reportes.</w:t>
            </w:r>
          </w:p>
          <w:p>
            <w:pPr>
              <w:spacing w:after="80"/>
            </w:pPr>
            <w:r>
              <w:t xml:space="preserve">Ingresa tus credenciales y entra al panel principal.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5334000" cy="3524250"/>
            <wp:effectExtent t="0" r="0" b="0" l="0"/>
            <wp:docPr id="1" name="01-login.png" descr="Captura de pantalla de referencia" title="Iniciar ses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B7280"/>
          <w:sz w:val="18"/>
          <w:szCs w:val="18"/>
        </w:rPr>
        <w:t xml:space="preserve">Referencia visual — Iniciar sesión</w:t>
      </w:r>
    </w:p>
    <w:p>
      <w:pPr>
        <w:pStyle w:val="Heading2"/>
        <w:spacing w:after="100" w:before="240"/>
      </w:pPr>
      <w:r>
        <w:t xml:space="preserve">Escena 2 — Elegir el proyecto</w:t>
      </w:r>
      <w:r>
        <w:rPr>
          <w:color w:val="6B7280"/>
          <w:sz w:val="20"/>
          <w:szCs w:val="20"/>
        </w:rPr>
        <w:t xml:space="preserve">   (1:05–1:35)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6300"/>
      </w:tblGrid>
      <w:tr>
        <w:trPr>
          <w:tblHeader/>
        </w:trP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EN PANTALLA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NARRACIÓN (voz en off)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Selector de proyecto arriba a la derecha.</w:t>
            </w:r>
          </w:p>
          <w:p>
            <w:pPr>
              <w:spacing w:after="60"/>
            </w:pPr>
            <w:r>
              <w:rPr>
                <w:b w:val="false"/>
                <w:bCs w:val="false"/>
              </w:rPr>
              <w:t xml:space="preserve">Se elige “BD-001 — Base de datos”.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/>
            </w:pPr>
            <w:r>
              <w:t xml:space="preserve">Arriba a la derecha eliges el </w:t>
            </w:r>
            <w:r>
              <w:rPr>
                <w:b/>
                <w:bCs/>
              </w:rPr>
              <w:t xml:space="preserve">proyecto</w:t>
            </w:r>
            <w:r>
              <w:t xml:space="preserve"> con el que vas a trabajar; en este ejemplo, “BD-001 — Base de datos”.</w:t>
            </w:r>
          </w:p>
          <w:p>
            <w:pPr>
              <w:spacing w:after="80"/>
            </w:pPr>
            <w:r>
              <w:t xml:space="preserve">Todo lo que hagas —casos, ejecuciones, integraciones y el Quality Gate— queda asociado a ese proyecto.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5334000" cy="3524250"/>
            <wp:effectExtent t="0" r="0" b="0" l="0"/>
            <wp:docPr id="1" name="02-dashboard.png" descr="Captura de pantalla de referencia" title="Elegir el proyec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B7280"/>
          <w:sz w:val="18"/>
          <w:szCs w:val="18"/>
        </w:rPr>
        <w:t xml:space="preserve">Referencia visual — Elegir el proyecto</w:t>
      </w:r>
    </w:p>
    <w:p>
      <w:pPr>
        <w:pStyle w:val="Heading2"/>
        <w:spacing w:after="100" w:before="240"/>
      </w:pPr>
      <w:r>
        <w:t xml:space="preserve">Escena 3 — Crear un caso de prueba funcional</w:t>
      </w:r>
      <w:r>
        <w:rPr>
          <w:color w:val="6B7280"/>
          <w:sz w:val="20"/>
          <w:szCs w:val="20"/>
        </w:rPr>
        <w:t xml:space="preserve">   (1:35–2:40)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6300"/>
      </w:tblGrid>
      <w:tr>
        <w:trPr>
          <w:tblHeader/>
        </w:trP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EN PANTALLA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NARRACIÓN (voz en off)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Menú “Casos de prueba”.</w:t>
            </w:r>
          </w:p>
          <w:p>
            <w:pPr>
              <w:spacing w:after="60"/>
            </w:pPr>
            <w:r>
              <w:rPr>
                <w:b w:val="false"/>
                <w:bCs w:val="false"/>
              </w:rPr>
              <w:t xml:space="preserve">Botón “Nuevo caso”.</w:t>
            </w:r>
          </w:p>
          <w:p>
            <w:pPr>
              <w:spacing w:after="60"/>
            </w:pPr>
            <w:r>
              <w:rPr>
                <w:b w:val="false"/>
                <w:bCs w:val="false"/>
              </w:rPr>
              <w:t xml:space="preserve">Se llenan: código, título, tipo, prioridad y los pasos (acción / resultado esperado).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/>
            </w:pPr>
            <w:r>
              <w:t xml:space="preserve">Vamos a </w:t>
            </w:r>
            <w:r>
              <w:rPr>
                <w:b/>
                <w:bCs/>
              </w:rPr>
              <w:t xml:space="preserve">crear un caso de prueba</w:t>
            </w:r>
            <w:r>
              <w:t xml:space="preserve">. En “Casos de prueba”, pulsa “Nuevo caso”.</w:t>
            </w:r>
          </w:p>
          <w:p>
            <w:pPr>
              <w:spacing w:after="80"/>
            </w:pPr>
            <w:r>
              <w:t xml:space="preserve">Le das un </w:t>
            </w:r>
            <w:r>
              <w:rPr>
                <w:b/>
                <w:bCs/>
              </w:rPr>
              <w:t xml:space="preserve">código</w:t>
            </w:r>
            <w:r>
              <w:t xml:space="preserve"> (por ejemplo TC-001), un </w:t>
            </w:r>
            <w:r>
              <w:rPr>
                <w:b/>
                <w:bCs/>
              </w:rPr>
              <w:t xml:space="preserve">título</w:t>
            </w:r>
            <w:r>
              <w:t xml:space="preserve"> claro, eliges el </w:t>
            </w:r>
            <w:r>
              <w:rPr>
                <w:b/>
                <w:bCs/>
              </w:rPr>
              <w:t xml:space="preserve">tipo</w:t>
            </w:r>
            <w:r>
              <w:t xml:space="preserve"> —Funcional, API, Rendimiento, etc.— y la </w:t>
            </w:r>
            <w:r>
              <w:rPr>
                <w:b/>
                <w:bCs/>
              </w:rPr>
              <w:t xml:space="preserve">prioridad</w:t>
            </w:r>
            <w:r>
              <w:t xml:space="preserve">.</w:t>
            </w:r>
          </w:p>
          <w:p>
            <w:pPr>
              <w:spacing w:after="80"/>
            </w:pPr>
            <w:r>
              <w:t xml:space="preserve">Luego defines los </w:t>
            </w:r>
            <w:r>
              <w:rPr>
                <w:b/>
                <w:bCs/>
              </w:rPr>
              <w:t xml:space="preserve">pasos</w:t>
            </w:r>
            <w:r>
              <w:t xml:space="preserve">: para cada uno, la </w:t>
            </w:r>
            <w:r>
              <w:rPr>
                <w:b/>
                <w:bCs/>
              </w:rPr>
              <w:t xml:space="preserve">acción</w:t>
            </w:r>
            <w:r>
              <w:t xml:space="preserve"> que se ejecuta y el </w:t>
            </w:r>
            <w:r>
              <w:rPr>
                <w:b/>
                <w:bCs/>
              </w:rPr>
              <w:t xml:space="preserve">resultado esperado</w:t>
            </w:r>
            <w:r>
              <w:t xml:space="preserve">. Estos pasos son la documentación viva del caso.</w:t>
            </w:r>
          </w:p>
          <w:p>
            <w:pPr>
              <w:spacing w:after="80"/>
            </w:pPr>
            <w:r>
              <w:t xml:space="preserve">Guarda, y el caso queda listo para automatizarse o ejecutarse.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5334000" cy="3524250"/>
            <wp:effectExtent t="0" r="0" b="0" l="0"/>
            <wp:docPr id="1" name="03-casos.png" descr="Captura de pantalla de referencia" title="Crear un caso de prueba funcio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B7280"/>
          <w:sz w:val="18"/>
          <w:szCs w:val="18"/>
        </w:rPr>
        <w:t xml:space="preserve">Referencia visual — Crear un caso de prueba funcional</w:t>
      </w:r>
    </w:p>
    <w:p>
      <w:pPr>
        <w:pStyle w:val="Heading2"/>
        <w:spacing w:after="100" w:before="240"/>
      </w:pPr>
      <w:r>
        <w:t xml:space="preserve">Escena 4 — Automatizar el caso</w:t>
      </w:r>
      <w:r>
        <w:rPr>
          <w:color w:val="6B7280"/>
          <w:sz w:val="20"/>
          <w:szCs w:val="20"/>
        </w:rPr>
        <w:t xml:space="preserve">   (2:40–4:00)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6300"/>
      </w:tblGrid>
      <w:tr>
        <w:trPr>
          <w:tblHeader/>
        </w:trP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EN PANTALLA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NARRACIÓN (voz en off)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Acción “Automatizar” sobre el caso.</w:t>
            </w:r>
          </w:p>
          <w:p>
            <w:pPr>
              <w:spacing w:after="60"/>
            </w:pPr>
            <w:r>
              <w:rPr>
                <w:b w:val="false"/>
                <w:bCs w:val="false"/>
              </w:rPr>
              <w:t xml:space="preserve">Selección de framework: Playwright, Postman, JMeter, ZAP o Regresión Visual.</w:t>
            </w:r>
          </w:p>
          <w:p>
            <w:pPr>
              <w:spacing w:after="60"/>
            </w:pPr>
            <w:r>
              <w:rPr>
                <w:b w:val="false"/>
                <w:bCs w:val="false"/>
              </w:rPr>
              <w:t xml:space="preserve">Diálogo “Editar script”.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/>
            </w:pPr>
            <w:r>
              <w:t xml:space="preserve">Un caso puede ser manual o </w:t>
            </w:r>
            <w:r>
              <w:rPr>
                <w:b/>
                <w:bCs/>
              </w:rPr>
              <w:t xml:space="preserve">automatizado</w:t>
            </w:r>
            <w:r>
              <w:t xml:space="preserve">. Al automatizarlo eliges el </w:t>
            </w:r>
            <w:r>
              <w:rPr>
                <w:b/>
                <w:bCs/>
              </w:rPr>
              <w:t xml:space="preserve">motor</w:t>
            </w:r>
            <w:r>
              <w:t xml:space="preserve"> según el tipo de prueba: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Playwright</w:t>
            </w:r>
            <w:r>
              <w:t xml:space="preserve"> para funcionales y regresión, </w:t>
            </w:r>
            <w:r>
              <w:rPr>
                <w:b/>
                <w:bCs/>
              </w:rPr>
              <w:t xml:space="preserve">Postman/Newman</w:t>
            </w:r>
            <w:r>
              <w:t xml:space="preserve"> para APIs, </w:t>
            </w:r>
            <w:r>
              <w:rPr>
                <w:b/>
                <w:bCs/>
              </w:rPr>
              <w:t xml:space="preserve">JMeter</w:t>
            </w:r>
            <w:r>
              <w:t xml:space="preserve"> para rendimiento, </w:t>
            </w:r>
            <w:r>
              <w:rPr>
                <w:b/>
                <w:bCs/>
              </w:rPr>
              <w:t xml:space="preserve">OWASP ZAP</w:t>
            </w:r>
            <w:r>
              <w:t xml:space="preserve"> para seguridad y </w:t>
            </w:r>
            <w:r>
              <w:rPr>
                <w:b/>
                <w:bCs/>
              </w:rPr>
              <w:t xml:space="preserve">Regresión Visual</w:t>
            </w:r>
            <w:r>
              <w:t xml:space="preserve"> para cambios de interfaz.</w:t>
            </w:r>
          </w:p>
          <w:p>
            <w:pPr>
              <w:spacing w:after="80"/>
            </w:pPr>
            <w:r>
              <w:t xml:space="preserve">El contenido del script puede escribirse dentro de la plataforma, o apuntar a un </w:t>
            </w:r>
            <w:r>
              <w:rPr>
                <w:b/>
                <w:bCs/>
              </w:rPr>
              <w:t xml:space="preserve">archivo externo</w:t>
            </w:r>
            <w:r>
              <w:t xml:space="preserve"> —por ejemplo un plan .jmx de JMeter— o a una </w:t>
            </w:r>
            <w:r>
              <w:rPr>
                <w:b/>
                <w:bCs/>
              </w:rPr>
              <w:t xml:space="preserve">URL objetivo</w:t>
            </w:r>
            <w:r>
              <w:t xml:space="preserve">, como en las pruebas visuales.</w:t>
            </w:r>
          </w:p>
          <w:p>
            <w:pPr>
              <w:spacing w:after="80"/>
            </w:pPr>
            <w:r>
              <w:t xml:space="preserve">Si el script es un archivo externo o una URL, el editor te lo indica con una </w:t>
            </w:r>
            <w:r>
              <w:rPr>
                <w:b/>
                <w:bCs/>
              </w:rPr>
              <w:t xml:space="preserve">observación</w:t>
            </w:r>
            <w:r>
              <w:t xml:space="preserve">, para que sepas dónde vive y cómo editarlo.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5334000" cy="3524250"/>
            <wp:effectExtent t="0" r="0" b="0" l="0"/>
            <wp:docPr id="1" name="03-casos.png" descr="Captura de pantalla de referencia" title="Automatizar el ca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B7280"/>
          <w:sz w:val="18"/>
          <w:szCs w:val="18"/>
        </w:rPr>
        <w:t xml:space="preserve">Referencia visual — Automatizar el caso</w:t>
      </w:r>
    </w:p>
    <w:p>
      <w:pPr>
        <w:pStyle w:val="Heading2"/>
        <w:spacing w:after="100" w:before="240"/>
      </w:pPr>
      <w:r>
        <w:t xml:space="preserve">Escena 5 — Ejecutar una prueba</w:t>
      </w:r>
      <w:r>
        <w:rPr>
          <w:color w:val="6B7280"/>
          <w:sz w:val="20"/>
          <w:szCs w:val="20"/>
        </w:rPr>
        <w:t xml:space="preserve">   (4:00–4:55)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6300"/>
      </w:tblGrid>
      <w:tr>
        <w:trPr>
          <w:tblHeader/>
        </w:trP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EN PANTALLA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NARRACIÓN (voz en off)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Pantalla “Ejecuciones de prueba”.</w:t>
            </w:r>
          </w:p>
          <w:p>
            <w:pPr>
              <w:spacing w:after="60"/>
            </w:pPr>
            <w:r>
              <w:rPr>
                <w:b w:val="false"/>
                <w:bCs w:val="false"/>
              </w:rPr>
              <w:t xml:space="preserve">Botón “NUEVA EJECUCIÓN”.</w:t>
            </w:r>
          </w:p>
          <w:p>
            <w:pPr>
              <w:spacing w:after="60"/>
            </w:pPr>
            <w:r>
              <w:rPr>
                <w:b w:val="false"/>
                <w:bCs w:val="false"/>
              </w:rPr>
              <w:t xml:space="preserve">Se elige tipo de prueba y ambiente (QA, Staging…).</w:t>
            </w:r>
          </w:p>
          <w:p>
            <w:pPr>
              <w:spacing w:after="60"/>
            </w:pPr>
            <w:r>
              <w:rPr>
                <w:b w:val="false"/>
                <w:bCs w:val="false"/>
              </w:rPr>
              <w:t xml:space="preserve">El estado cambia: Pendiente → En curso → Completada.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/>
            </w:pPr>
            <w:r>
              <w:t xml:space="preserve">Ahora ejecutamos. En “Ejecuciones de prueba”, pulsa </w:t>
            </w:r>
            <w:r>
              <w:rPr>
                <w:b/>
                <w:bCs/>
              </w:rPr>
              <w:t xml:space="preserve">“Nueva ejecución”</w:t>
            </w:r>
            <w:r>
              <w:t xml:space="preserve">.</w:t>
            </w:r>
          </w:p>
          <w:p>
            <w:pPr>
              <w:spacing w:after="80"/>
            </w:pPr>
            <w:r>
              <w:t xml:space="preserve">Eliges el </w:t>
            </w:r>
            <w:r>
              <w:rPr>
                <w:b/>
                <w:bCs/>
              </w:rPr>
              <w:t xml:space="preserve">tipo</w:t>
            </w:r>
            <w:r>
              <w:t xml:space="preserve"> de prueba y el </w:t>
            </w:r>
            <w:r>
              <w:rPr>
                <w:b/>
                <w:bCs/>
              </w:rPr>
              <w:t xml:space="preserve">ambiente</w:t>
            </w:r>
            <w:r>
              <w:t xml:space="preserve"> —por ejemplo QA— y la plataforma la lanza en segundo plano.</w:t>
            </w:r>
          </w:p>
          <w:p>
            <w:pPr>
              <w:spacing w:after="80"/>
            </w:pPr>
            <w:r>
              <w:t xml:space="preserve">Verás el estado actualizarse </w:t>
            </w:r>
            <w:r>
              <w:rPr>
                <w:b/>
                <w:bCs/>
              </w:rPr>
              <w:t xml:space="preserve">en tiempo real</w:t>
            </w:r>
            <w:r>
              <w:t xml:space="preserve">: primero “Pendiente”, luego “En curso” y finalmente “Completada” o “Fallida”. No necesitas refrescar: la plataforma te avisa sola.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5334000" cy="3524250"/>
            <wp:effectExtent t="0" r="0" b="0" l="0"/>
            <wp:docPr id="1" name="04-ejecuciones.png" descr="Captura de pantalla de referencia" title="Ejecutar una prue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B7280"/>
          <w:sz w:val="18"/>
          <w:szCs w:val="18"/>
        </w:rPr>
        <w:t xml:space="preserve">Referencia visual — Ejecutar una prueba</w:t>
      </w:r>
    </w:p>
    <w:p>
      <w:pPr>
        <w:pStyle w:val="Heading2"/>
        <w:spacing w:after="100" w:before="240"/>
      </w:pPr>
      <w:r>
        <w:t xml:space="preserve">Escena 6 — Leer los resultados y la evidencia</w:t>
      </w:r>
      <w:r>
        <w:rPr>
          <w:color w:val="6B7280"/>
          <w:sz w:val="20"/>
          <w:szCs w:val="20"/>
        </w:rPr>
        <w:t xml:space="preserve">   (4:55–6:05)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6300"/>
      </w:tblGrid>
      <w:tr>
        <w:trPr>
          <w:tblHeader/>
        </w:trP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EN PANTALLA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NARRACIÓN (voz en off)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Tabla de ejecuciones: Total, ✓, ✗, % Éxito, Quality Gate.</w:t>
            </w:r>
          </w:p>
          <w:p>
            <w:pPr>
              <w:spacing w:after="60"/>
            </w:pPr>
            <w:r>
              <w:rPr>
                <w:b w:val="false"/>
                <w:bCs w:val="false"/>
              </w:rPr>
              <w:t xml:space="preserve">Clic en una ejecución para ver el detalle.</w:t>
            </w:r>
          </w:p>
          <w:p>
            <w:pPr>
              <w:spacing w:after="60"/>
            </w:pPr>
            <w:r>
              <w:rPr>
                <w:b w:val="false"/>
                <w:bCs w:val="false"/>
              </w:rPr>
              <w:t xml:space="preserve">Evidencias: capturas, reporte JTL/Newman, diff visual.</w:t>
            </w:r>
          </w:p>
          <w:p>
            <w:pPr>
              <w:spacing w:after="60"/>
            </w:pPr>
            <w:r>
              <w:rPr>
                <w:b w:val="false"/>
                <w:bCs w:val="false"/>
              </w:rPr>
              <w:t xml:space="preserve">Botón de descarga de reporte (PDF/Word).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/>
            </w:pPr>
            <w:r>
              <w:t xml:space="preserve">Cada ejecución muestra en la lista los </w:t>
            </w:r>
            <w:r>
              <w:rPr>
                <w:b/>
                <w:bCs/>
              </w:rPr>
              <w:t xml:space="preserve">totales</w:t>
            </w:r>
            <w:r>
              <w:t xml:space="preserve">: cuántas pruebas corrieron, cuántas pasaron, cuántas fallaron y el </w:t>
            </w:r>
            <w:r>
              <w:rPr>
                <w:b/>
                <w:bCs/>
              </w:rPr>
              <w:t xml:space="preserve">porcentaje de éxito</w:t>
            </w:r>
            <w:r>
              <w:t xml:space="preserve">.</w:t>
            </w:r>
          </w:p>
          <w:p>
            <w:pPr>
              <w:spacing w:after="80"/>
            </w:pPr>
            <w:r>
              <w:t xml:space="preserve">Al abrir el detalle ves cada resultado con sus </w:t>
            </w:r>
            <w:r>
              <w:rPr>
                <w:b/>
                <w:bCs/>
              </w:rPr>
              <w:t xml:space="preserve">métricas</w:t>
            </w:r>
            <w:r>
              <w:t xml:space="preserve"> y su </w:t>
            </w:r>
            <w:r>
              <w:rPr>
                <w:b/>
                <w:bCs/>
              </w:rPr>
              <w:t xml:space="preserve">evidencia automática</w:t>
            </w:r>
            <w:r>
              <w:t xml:space="preserve">: capturas de pantalla, el reporte de Newman en las de API, el archivo de resultados en las de rendimiento, o la imagen de diferencias en las visuales.</w:t>
            </w:r>
          </w:p>
          <w:p>
            <w:pPr>
              <w:spacing w:after="80"/>
            </w:pPr>
            <w:r>
              <w:t xml:space="preserve">Y con un clic descargas el </w:t>
            </w:r>
            <w:r>
              <w:rPr>
                <w:b/>
                <w:bCs/>
              </w:rPr>
              <w:t xml:space="preserve">reporte consolidado</w:t>
            </w:r>
            <w:r>
              <w:t xml:space="preserve"> en PDF o Word para adjuntarlo a tu documentación o compartirlo con el equipo.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5334000" cy="3524250"/>
            <wp:effectExtent t="0" r="0" b="0" l="0"/>
            <wp:docPr id="1" name="04-ejecuciones.png" descr="Captura de pantalla de referencia" title="Leer los resultados y la eviden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B7280"/>
          <w:sz w:val="18"/>
          <w:szCs w:val="18"/>
        </w:rPr>
        <w:t xml:space="preserve">Referencia visual — Leer los resultados y la evidencia</w:t>
      </w:r>
    </w:p>
    <w:p>
      <w:pPr>
        <w:pStyle w:val="Heading2"/>
        <w:spacing w:after="100" w:before="240"/>
      </w:pPr>
      <w:r>
        <w:t xml:space="preserve">Escena 7 — El Quality Gate: aprobar o rechazar el despliegue</w:t>
      </w:r>
      <w:r>
        <w:rPr>
          <w:color w:val="6B7280"/>
          <w:sz w:val="20"/>
          <w:szCs w:val="20"/>
        </w:rPr>
        <w:t xml:space="preserve">   (6:05–7:00)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6300"/>
      </w:tblGrid>
      <w:tr>
        <w:trPr>
          <w:tblHeader/>
        </w:trP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EN PANTALLA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NARRACIÓN (voz en off)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Columna “Quality Gate” con estado Passed o Failed.</w:t>
            </w:r>
          </w:p>
          <w:p>
            <w:pPr>
              <w:spacing w:after="60"/>
            </w:pPr>
            <w:r>
              <w:rPr>
                <w:b w:val="false"/>
                <w:bCs w:val="false"/>
              </w:rPr>
              <w:t xml:space="preserve">Indicador “Despliegue aprobado / bloqueado”.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/>
            </w:pPr>
            <w:r>
              <w:t xml:space="preserve">Aquí está el corazón de la plataforma: el </w:t>
            </w:r>
            <w:r>
              <w:rPr>
                <w:b/>
                <w:bCs/>
              </w:rPr>
              <w:t xml:space="preserve">Quality Gate</w:t>
            </w:r>
            <w:r>
              <w:t xml:space="preserve">.</w:t>
            </w:r>
          </w:p>
          <w:p>
            <w:pPr>
              <w:spacing w:after="80"/>
            </w:pPr>
            <w:r>
              <w:t xml:space="preserve">Según reglas configurables —como un mínimo de % de éxito o cero vulnerabilidades críticas— la plataforma evalúa cada ejecución y emite un veredicto: </w:t>
            </w:r>
            <w:r>
              <w:rPr>
                <w:b/>
                <w:bCs/>
              </w:rPr>
              <w:t xml:space="preserve">Passed</w:t>
            </w:r>
            <w:r>
              <w:t xml:space="preserve"> o </w:t>
            </w:r>
            <w:r>
              <w:rPr>
                <w:b/>
                <w:bCs/>
              </w:rPr>
              <w:t xml:space="preserve">Failed</w:t>
            </w:r>
            <w:r>
              <w:t xml:space="preserve">.</w:t>
            </w:r>
          </w:p>
          <w:p>
            <w:pPr>
              <w:spacing w:after="80"/>
            </w:pPr>
            <w:r>
              <w:t xml:space="preserve">Si el gate pasa, el </w:t>
            </w:r>
            <w:r>
              <w:rPr>
                <w:b/>
                <w:bCs/>
              </w:rPr>
              <w:t xml:space="preserve">despliegue se aprueba</w:t>
            </w:r>
            <w:r>
              <w:t xml:space="preserve">; si no, se </w:t>
            </w:r>
            <w:r>
              <w:rPr>
                <w:b/>
                <w:bCs/>
              </w:rPr>
              <w:t xml:space="preserve">bloquea</w:t>
            </w:r>
            <w:r>
              <w:t xml:space="preserve"> automáticamente. Así, ningún cambio llega a producción sin evidencia de calidad.</w:t>
            </w:r>
          </w:p>
          <w:p>
            <w:pPr>
              <w:spacing w:after="80"/>
            </w:pPr>
            <w:r>
              <w:t xml:space="preserve">Ten en cuenta: una ejecución que se cae por un error de entorno no obtiene veredicto —aparece con un guion— porque nunca llegó a evaluarse.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5334000" cy="3524250"/>
            <wp:effectExtent t="0" r="0" b="0" l="0"/>
            <wp:docPr id="1" name="04-ejecuciones.png" descr="Captura de pantalla de referencia" title="El Quality Gate: aprobar o rechazar el desplieg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B7280"/>
          <w:sz w:val="18"/>
          <w:szCs w:val="18"/>
        </w:rPr>
        <w:t xml:space="preserve">Referencia visual — El Quality Gate: aprobar o rechazar el despliegue</w:t>
      </w:r>
    </w:p>
    <w:p>
      <w:pPr>
        <w:pStyle w:val="Heading2"/>
        <w:spacing w:after="100" w:before="240"/>
      </w:pPr>
      <w:r>
        <w:t xml:space="preserve">Escena 8 — Casos especiales: visual, seguridad y base de datos</w:t>
      </w:r>
      <w:r>
        <w:rPr>
          <w:color w:val="6B7280"/>
          <w:sz w:val="20"/>
          <w:szCs w:val="20"/>
        </w:rPr>
        <w:t xml:space="preserve">   (7:00–8:05)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6300"/>
      </w:tblGrid>
      <w:tr>
        <w:trPr>
          <w:tblHeader/>
        </w:trP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EN PANTALLA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NARRACIÓN (voz en off)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Regresión visual: baseline vs actual vs diff.</w:t>
            </w:r>
          </w:p>
          <w:p>
            <w:pPr>
              <w:spacing w:after="60"/>
            </w:pPr>
            <w:r>
              <w:rPr>
                <w:b w:val="false"/>
                <w:bCs w:val="false"/>
              </w:rPr>
              <w:t xml:space="preserve">Seguridad: hallazgos del escaneo ZAP por nivel de riesgo.</w:t>
            </w:r>
          </w:p>
          <w:p>
            <w:pPr>
              <w:spacing w:after="60"/>
            </w:pPr>
            <w:r>
              <w:rPr>
                <w:b w:val="false"/>
                <w:bCs w:val="false"/>
              </w:rPr>
              <w:t xml:space="preserve">Validación de BD: lista de diferencias de esquema.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/>
            </w:pPr>
            <w:r>
              <w:t xml:space="preserve">Tres tipos de prueba muy útiles para el QA:</w:t>
            </w:r>
          </w:p>
          <w:p>
            <w:pPr>
              <w:spacing w:after="80"/>
            </w:pPr>
            <w:r>
              <w:t xml:space="preserve">En </w:t>
            </w:r>
            <w:r>
              <w:rPr>
                <w:b/>
                <w:bCs/>
              </w:rPr>
              <w:t xml:space="preserve">regresión visual</w:t>
            </w:r>
            <w:r>
              <w:t xml:space="preserve">, la primera ejecución crea una imagen de referencia —el *baseline*— y las siguientes la comparan pixel a pixel: si algo cambia por encima del umbral, falla y te muestra la imagen de diferencias.</w:t>
            </w:r>
          </w:p>
          <w:p>
            <w:pPr>
              <w:spacing w:after="80"/>
            </w:pPr>
            <w:r>
              <w:t xml:space="preserve">En </w:t>
            </w:r>
            <w:r>
              <w:rPr>
                <w:b/>
                <w:bCs/>
              </w:rPr>
              <w:t xml:space="preserve">seguridad</w:t>
            </w:r>
            <w:r>
              <w:t xml:space="preserve">, el escaneo OWASP ZAP revisa la aplicación y lista los hallazgos por nivel de riesgo; el gate rechaza si hay vulnerabilidades altas o críticas.</w:t>
            </w:r>
          </w:p>
          <w:p>
            <w:pPr>
              <w:spacing w:after="80"/>
            </w:pPr>
            <w:r>
              <w:t xml:space="preserve">En </w:t>
            </w:r>
            <w:r>
              <w:rPr>
                <w:b/>
                <w:bCs/>
              </w:rPr>
              <w:t xml:space="preserve">validación de base de datos</w:t>
            </w:r>
            <w:r>
              <w:t xml:space="preserve">, la plataforma compara dos esquemas —origen y destino— y te muestra las diferencias en tablas, columnas, índices, llaves foráneas y hasta el conteo de registros.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5334000" cy="3524250"/>
            <wp:effectExtent t="0" r="0" b="0" l="0"/>
            <wp:docPr id="1" name="07-defectos.png" descr="Captura de pantalla de referencia" title="Casos especiales: visual, seguridad y base de da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B7280"/>
          <w:sz w:val="18"/>
          <w:szCs w:val="18"/>
        </w:rPr>
        <w:t xml:space="preserve">Referencia visual — Casos especiales: visual, seguridad y base de datos</w:t>
      </w:r>
    </w:p>
    <w:p>
      <w:pPr>
        <w:pStyle w:val="Heading2"/>
        <w:spacing w:after="100" w:before="240"/>
      </w:pPr>
      <w:r>
        <w:t xml:space="preserve">Escena 9 — Integraciones: GitHub, SonarQube y CI/CD</w:t>
      </w:r>
      <w:r>
        <w:rPr>
          <w:color w:val="6B7280"/>
          <w:sz w:val="20"/>
          <w:szCs w:val="20"/>
        </w:rPr>
        <w:t xml:space="preserve">   (8:05–9:15)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6300"/>
      </w:tblGrid>
      <w:tr>
        <w:trPr>
          <w:tblHeader/>
        </w:trP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EN PANTALLA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NARRACIÓN (voz en off)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Página “Integraciones”.</w:t>
            </w:r>
          </w:p>
          <w:p>
            <w:pPr>
              <w:spacing w:after="60"/>
            </w:pPr>
            <w:r>
              <w:rPr>
                <w:b w:val="false"/>
                <w:bCs w:val="false"/>
              </w:rPr>
              <w:t xml:space="preserve">GitHub: check verde y comentario del veredicto en un Pull Request.</w:t>
            </w:r>
          </w:p>
          <w:p>
            <w:pPr>
              <w:spacing w:after="60"/>
            </w:pPr>
            <w:r>
              <w:rPr>
                <w:b w:val="false"/>
                <w:bCs w:val="false"/>
              </w:rPr>
              <w:t xml:space="preserve">SonarQube: bugs, code smells, cobertura, gate.</w:t>
            </w:r>
          </w:p>
          <w:p>
            <w:pPr>
              <w:spacing w:after="60"/>
            </w:pPr>
            <w:r>
              <w:rPr>
                <w:b w:val="false"/>
                <w:bCs w:val="false"/>
              </w:rPr>
              <w:t xml:space="preserve">Generar pipeline de CI/CD.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/>
            </w:pPr>
            <w:r>
              <w:t xml:space="preserve">QA Guardian se conecta con tu ecosistema.</w:t>
            </w:r>
          </w:p>
          <w:p>
            <w:pPr>
              <w:spacing w:after="80"/>
            </w:pPr>
            <w:r>
              <w:t xml:space="preserve">Con </w:t>
            </w:r>
            <w:r>
              <w:rPr>
                <w:b/>
                <w:bCs/>
              </w:rPr>
              <w:t xml:space="preserve">GitHub</w:t>
            </w:r>
            <w:r>
              <w:t xml:space="preserve">, al ejecutar sobre un Pull Request publica el veredicto del Quality Gate como un </w:t>
            </w:r>
            <w:r>
              <w:rPr>
                <w:b/>
                <w:bCs/>
              </w:rPr>
              <w:t xml:space="preserve">check</w:t>
            </w:r>
            <w:r>
              <w:t xml:space="preserve"> y un </w:t>
            </w:r>
            <w:r>
              <w:rPr>
                <w:b/>
                <w:bCs/>
              </w:rPr>
              <w:t xml:space="preserve">comentario</w:t>
            </w:r>
            <w:r>
              <w:t xml:space="preserve"> con la tabla de resultados: el equipo ve al instante si el cambio está aprobado o bloqueado.</w:t>
            </w:r>
          </w:p>
          <w:p>
            <w:pPr>
              <w:spacing w:after="80"/>
            </w:pPr>
            <w:r>
              <w:t xml:space="preserve">Con </w:t>
            </w:r>
            <w:r>
              <w:rPr>
                <w:b/>
                <w:bCs/>
              </w:rPr>
              <w:t xml:space="preserve">SonarQube</w:t>
            </w:r>
            <w:r>
              <w:t xml:space="preserve">, trae las métricas de calidad del código —bugs, *code smells*, cobertura, vulnerabilidades— y su propio quality gate, todo en la misma vista.</w:t>
            </w:r>
          </w:p>
          <w:p>
            <w:pPr>
              <w:spacing w:after="80"/>
            </w:pPr>
            <w:r>
              <w:t xml:space="preserve">Y con un clic genera el </w:t>
            </w:r>
            <w:r>
              <w:rPr>
                <w:b/>
                <w:bCs/>
              </w:rPr>
              <w:t xml:space="preserve">pipeline de CI/CD</w:t>
            </w:r>
            <w:r>
              <w:t xml:space="preserve"> —por ejemplo de GitHub Actions— que dispara las pruebas y </w:t>
            </w:r>
            <w:r>
              <w:rPr>
                <w:b/>
                <w:bCs/>
              </w:rPr>
              <w:t xml:space="preserve">detiene el despliegue</w:t>
            </w:r>
            <w:r>
              <w:t xml:space="preserve"> si el gate no pasa. QA Guardian se convierte en el Quality Gate de toda tu automatización.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5334000" cy="3524250"/>
            <wp:effectExtent t="0" r="0" b="0" l="0"/>
            <wp:docPr id="1" name="05-integraciones.png" descr="Captura de pantalla de referencia" title="Integraciones: GitHub, SonarQube y CI/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B7280"/>
          <w:sz w:val="18"/>
          <w:szCs w:val="18"/>
        </w:rPr>
        <w:t xml:space="preserve">Referencia visual — Integraciones: GitHub, SonarQube y CI/CD</w:t>
      </w:r>
    </w:p>
    <w:p>
      <w:pPr>
        <w:pStyle w:val="Heading2"/>
        <w:spacing w:after="100" w:before="240"/>
      </w:pPr>
      <w:r>
        <w:t xml:space="preserve">Escena 10 — Cierre — El flujo diario del QA</w:t>
      </w:r>
      <w:r>
        <w:rPr>
          <w:color w:val="6B7280"/>
          <w:sz w:val="20"/>
          <w:szCs w:val="20"/>
        </w:rPr>
        <w:t xml:space="preserve">   (9:15–10:00)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6300"/>
      </w:tblGrid>
      <w:tr>
        <w:trPr>
          <w:tblHeader/>
        </w:trP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EN PANTALLA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NARRACIÓN (voz en off)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</w:rPr>
              <w:t xml:space="preserve">Resumen en pantalla del ciclo.</w:t>
            </w:r>
          </w:p>
          <w:p>
            <w:pPr>
              <w:spacing w:after="60"/>
            </w:pPr>
            <w:r>
              <w:rPr>
                <w:b w:val="false"/>
                <w:bCs w:val="false"/>
              </w:rPr>
              <w:t xml:space="preserve">Logo de cierre.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/>
            </w:pPr>
            <w:r>
              <w:t xml:space="preserve">Recapitulando, el flujo diario del QA en la plataforma es: </w:t>
            </w:r>
            <w:r>
              <w:rPr>
                <w:b/>
                <w:bCs/>
              </w:rPr>
              <w:t xml:space="preserve">crear</w:t>
            </w:r>
            <w:r>
              <w:t xml:space="preserve"> el caso, </w:t>
            </w:r>
            <w:r>
              <w:rPr>
                <w:b/>
                <w:bCs/>
              </w:rPr>
              <w:t xml:space="preserve">automatizarlo</w:t>
            </w:r>
            <w:r>
              <w:t xml:space="preserve">, </w:t>
            </w:r>
            <w:r>
              <w:rPr>
                <w:b/>
                <w:bCs/>
              </w:rPr>
              <w:t xml:space="preserve">ejecutarlo</w:t>
            </w:r>
            <w:r>
              <w:t xml:space="preserve">, </w:t>
            </w:r>
            <w:r>
              <w:rPr>
                <w:b/>
                <w:bCs/>
              </w:rPr>
              <w:t xml:space="preserve">revisar</w:t>
            </w:r>
            <w:r>
              <w:t xml:space="preserve"> resultados y evidencia, y dejar que el </w:t>
            </w:r>
            <w:r>
              <w:rPr>
                <w:b/>
                <w:bCs/>
              </w:rPr>
              <w:t xml:space="preserve">Quality Gate</w:t>
            </w:r>
            <w:r>
              <w:t xml:space="preserve"> apruebe o rechace el despliegue —con todo integrado a GitHub, SonarQube y tu CI/CD.</w:t>
            </w:r>
          </w:p>
          <w:p>
            <w:pPr>
              <w:spacing w:after="80"/>
            </w:pPr>
            <w:r>
              <w:t xml:space="preserve">Menos trabajo manual, evidencia automática y decisiones de calidad objetivas.</w:t>
            </w:r>
          </w:p>
          <w:p>
            <w:pPr>
              <w:spacing w:after="80"/>
            </w:pPr>
            <w:r>
              <w:t xml:space="preserve">Eso es </w:t>
            </w:r>
            <w:r>
              <w:rPr>
                <w:b/>
                <w:bCs/>
              </w:rPr>
              <w:t xml:space="preserve">QA Guardian</w:t>
            </w:r>
            <w:r>
              <w:t xml:space="preserve">. ¡Gracias por acompañarnos!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5334000" cy="3524250"/>
            <wp:effectExtent t="0" r="0" b="0" l="0"/>
            <wp:docPr id="1" name="02-dashboard.png" descr="Captura de pantalla de referencia" title="Cierre — El flujo diario del Q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B7280"/>
          <w:sz w:val="18"/>
          <w:szCs w:val="18"/>
        </w:rPr>
        <w:t xml:space="preserve">Referencia visual — Cierre — El flujo diario del QA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QA Guardian — Guion de video-tutorial   ·   Página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F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80fd31557370d05928bb200c9fcf326c60a11bf.png"/><Relationship Id="rId9" Type="http://schemas.openxmlformats.org/officeDocument/2006/relationships/image" Target="media/7aa834145f83ca7037782fa08b35d9bc0cb127c0.png"/><Relationship Id="rId10" Type="http://schemas.openxmlformats.org/officeDocument/2006/relationships/image" Target="media/57b4c6227d8728cb3926713cb5e6e86d19d6130a.png"/><Relationship Id="rId11" Type="http://schemas.openxmlformats.org/officeDocument/2006/relationships/image" Target="media/1fadaacef1dabe0b43b4ad8d0293d1666d448fae.png"/><Relationship Id="rId12" Type="http://schemas.openxmlformats.org/officeDocument/2006/relationships/image" Target="media/7f10f9209ee3898c485334eb5da95019118f54f0.png"/><Relationship Id="rId13" Type="http://schemas.openxmlformats.org/officeDocument/2006/relationships/image" Target="media/b7711ccc5b8602b94fcd252c0f7d2f2780e33075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2026-07-10T13:52:43.326Z</dcterms:created>
  <dcterms:modified xsi:type="dcterms:W3CDTF">2026-07-10T13:52:43.336Z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