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jc w:val="both"/>
        <w:rPr>
          <w:rFonts w:ascii="Tahoma" w:hAnsi="Tahoma" w:cs="Tahoma"/>
          <w:b w:val="false"/>
          <w:sz w:val="22"/>
          <w:szCs w:val="22"/>
          <w:lang w:val="es-CO"/>
        </w:rPr>
      </w:pPr>
      <w:r>
        <w:rPr>
          <w:rFonts w:cs="Tahoma" w:ascii="Tahoma" w:hAnsi="Tahoma"/>
          <w:sz w:val="22"/>
          <w:szCs w:val="22"/>
        </w:rPr>
        <w:tab/>
        <w:tab/>
        <w:tab/>
      </w:r>
    </w:p>
    <w:p>
      <w:pPr>
        <w:pStyle w:val="Normal"/>
        <w:tabs>
          <w:tab w:val="clear" w:pos="708"/>
          <w:tab w:val="left" w:pos="3544" w:leader="none"/>
          <w:tab w:val="left" w:pos="3675" w:leader="none"/>
          <w:tab w:val="left" w:pos="4253" w:leader="none"/>
        </w:tabs>
        <w:spacing w:lineRule="auto" w:line="360"/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ascii="Tahoma" w:hAnsi="Tahoma" w:cs="Tahoma"/>
          <w:b/>
          <w:sz w:val="22"/>
        </w:rPr>
        <w:t xml:space="preserve">TEMA: </w:t>
      </w:r>
      <w:r>
        <w:rPr>
          <w:rFonts w:ascii="Tahoma" w:hAnsi="Tahoma" w:cs="Tahoma"/>
          <w:b w:val="0"/>
          <w:sz w:val="22"/>
        </w:rPr>
        <w:t>Seguimiento Plan de Estudio QA - Semana 2; Avance en Módulos 3 y 4</w:t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ascii="Tahoma" w:hAnsi="Tahoma" w:cs="Tahoma"/>
          <w:b/>
          <w:sz w:val="22"/>
        </w:rPr>
        <w:t xml:space="preserve">FECHA: </w:t>
      </w:r>
      <w:r>
        <w:rPr>
          <w:rFonts w:ascii="Tahoma" w:hAnsi="Tahoma" w:cs="Tahoma"/>
          <w:b w:val="0"/>
          <w:sz w:val="22"/>
        </w:rPr>
        <w:t>03 de septiembre de 2026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es-CO"/>
        </w:rPr>
      </w:pPr>
      <w:r>
        <w:rPr>
          <w:rFonts w:cs="Tahoma" w:ascii="Tahoma" w:hAnsi="Tahoma"/>
          <w:b/>
          <w:sz w:val="22"/>
          <w:szCs w:val="22"/>
          <w:lang w:val="es-CO"/>
        </w:rPr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es-CO"/>
        </w:rPr>
      </w:pPr>
      <w:r>
        <w:rPr>
          <w:rFonts w:ascii="Tahoma" w:hAnsi="Tahoma" w:cs="Tahoma"/>
          <w:b/>
          <w:sz w:val="22"/>
        </w:rPr>
        <w:t xml:space="preserve">HORA DE INICIO: </w:t>
      </w:r>
      <w:r>
        <w:rPr>
          <w:rFonts w:ascii="Tahoma" w:hAnsi="Tahoma" w:cs="Tahoma"/>
          <w:b w:val="0"/>
          <w:sz w:val="22"/>
        </w:rPr>
        <w:t>07:56 AM (GMT-5)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es-CO"/>
        </w:rPr>
      </w:pPr>
      <w:r>
        <w:rPr>
          <w:rFonts w:cs="Tahoma" w:ascii="Tahoma" w:hAnsi="Tahoma"/>
          <w:b/>
          <w:sz w:val="22"/>
          <w:szCs w:val="22"/>
          <w:lang w:val="es-CO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ascii="Tahoma" w:hAnsi="Tahoma" w:cs="Tahoma"/>
          <w:b/>
          <w:sz w:val="22"/>
        </w:rPr>
        <w:t xml:space="preserve">HORA DE FINAL: </w:t>
      </w:r>
      <w:r>
        <w:rPr>
          <w:rFonts w:ascii="Tahoma" w:hAnsi="Tahoma" w:cs="Tahoma"/>
          <w:b w:val="0"/>
          <w:sz w:val="22"/>
        </w:rPr>
        <w:t>No reportada</w:t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cs="Tahoma" w:ascii="Tahoma" w:hAnsi="Tahoma"/>
          <w:sz w:val="22"/>
          <w:szCs w:val="22"/>
          <w:lang w:val="es-CO"/>
        </w:rPr>
      </w:r>
    </w:p>
    <w:p>
      <w:pPr>
        <w:pStyle w:val="Normal"/>
        <w:tabs>
          <w:tab w:val="clear" w:pos="708"/>
          <w:tab w:val="left" w:pos="2625" w:leader="none"/>
        </w:tabs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ascii="Tahoma" w:hAnsi="Tahoma" w:cs="Tahoma"/>
          <w:b/>
          <w:sz w:val="22"/>
        </w:rPr>
        <w:t xml:space="preserve">LUGAR: </w:t>
      </w:r>
      <w:r>
        <w:rPr>
          <w:rFonts w:ascii="Tahoma" w:hAnsi="Tahoma" w:cs="Tahoma"/>
          <w:b w:val="0"/>
          <w:sz w:val="22"/>
        </w:rPr>
        <w:t>Reunión virtual</w:t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cs="Tahoma" w:ascii="Tahoma" w:hAnsi="Tahoma"/>
          <w:sz w:val="22"/>
          <w:szCs w:val="22"/>
          <w:lang w:val="es-CO"/>
        </w:rPr>
      </w:r>
    </w:p>
    <w:p>
      <w:pPr>
        <w:pStyle w:val="Normal"/>
        <w:spacing w:lineRule="auto" w:line="276"/>
        <w:jc w:val="both"/>
        <w:rPr/>
      </w:pPr>
      <w:r>
        <w:rPr>
          <w:rFonts w:ascii="Tahoma" w:hAnsi="Tahoma" w:cs="Tahoma"/>
          <w:b/>
          <w:sz w:val="22"/>
        </w:rPr>
        <w:t>CONVOCADOS:</w:t>
      </w:r>
    </w:p>
    <w:p>
      <w:pPr>
        <w:pStyle w:val="Normal"/>
        <w:spacing w:lineRule="auto" w:line="276"/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cs="Tahoma" w:ascii="Tahoma" w:hAnsi="Tahoma"/>
          <w:sz w:val="22"/>
          <w:szCs w:val="22"/>
          <w:lang w:val="es-CO"/>
        </w:rPr>
      </w:r>
    </w:p>
    <w:tbl>
      <w:tblPr>
        <w:tblW w:w="10300" w:type="dxa"/>
        <w:jc w:val="start"/>
        <w:tblInd w:w="-41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1"/>
        <w:gridCol w:w="2100"/>
        <w:gridCol w:w="2200"/>
        <w:gridCol w:w="2079"/>
      </w:tblGrid>
      <w:tr>
        <w:trPr>
          <w:trHeight w:val="465" w:hRule="atLeast"/>
        </w:trPr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CARGO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ENTIDAD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FIRMA</w:t>
            </w:r>
          </w:p>
        </w:tc>
      </w:tr>
      <w:tr>
        <w:trPr>
          <w:trHeight w:val="353" w:hRule="atLeast"/>
        </w:trPr>
        <w:tc>
          <w:tcPr>
            <w:tcW w:w="103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ASISTENTES</w:t>
            </w:r>
            <w:r>
              <w:rPr>
                <w:rFonts w:cs="Tahoma" w:ascii="Tahoma" w:hAnsi="Tahoma"/>
                <w:sz w:val="22"/>
                <w:szCs w:val="22"/>
                <w:lang w:val="es-CO"/>
              </w:rPr>
              <w:t>:</w:t>
            </w:r>
          </w:p>
        </w:tc>
      </w:tr>
      <w:tr>
        <w:trPr>
          <w:trHeight w:val="353" w:hRule="atLeast"/>
        </w:trPr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2"/>
              </w:rPr>
              <w:t>Edilson Andres Alvarez Jaramillo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2"/>
              </w:rPr>
              <w:t>Coordinador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18"/>
              </w:rPr>
              <w:t>SUMIMEDICAL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2"/>
              </w:rPr>
            </w:r>
          </w:p>
        </w:tc>
      </w:tr>
      <w:tr>
        <w:trPr>
          <w:trHeight w:val="353" w:hRule="atLeast"/>
        </w:trPr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2"/>
              </w:rPr>
              <w:t>Luis Fernando Pacheco Pachecho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2"/>
              </w:rPr>
              <w:t>Participante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18"/>
              </w:rPr>
              <w:t>SUMIMEDICAL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2"/>
              </w:rPr>
            </w:r>
          </w:p>
        </w:tc>
      </w:tr>
      <w:tr>
        <w:trPr>
          <w:trHeight w:val="353" w:hRule="atLeast"/>
        </w:trPr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</w:tr>
      <w:tr>
        <w:trPr>
          <w:trHeight w:val="353" w:hRule="atLeast"/>
        </w:trPr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</w:tr>
      <w:tr>
        <w:trPr>
          <w:trHeight w:val="353" w:hRule="atLeast"/>
        </w:trPr>
        <w:tc>
          <w:tcPr>
            <w:tcW w:w="103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ahoma" w:hAnsi="Tahoma" w:cs="Tahoma"/>
                <w:b/>
                <w:bCs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bCs/>
                <w:sz w:val="22"/>
                <w:szCs w:val="22"/>
                <w:lang w:val="es-CO"/>
              </w:rPr>
              <w:t xml:space="preserve">AUSENTES: </w:t>
            </w:r>
          </w:p>
        </w:tc>
      </w:tr>
      <w:tr>
        <w:trPr>
          <w:trHeight w:val="353" w:hRule="atLeast"/>
        </w:trPr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b/>
                <w:bCs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bCs/>
                <w:sz w:val="22"/>
                <w:szCs w:val="22"/>
                <w:lang w:val="es-CO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  <w:t>No aplica</w:t>
            </w:r>
          </w:p>
        </w:tc>
      </w:tr>
      <w:tr>
        <w:trPr>
          <w:trHeight w:val="353" w:hRule="atLeast"/>
        </w:trPr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sz w:val="22"/>
                <w:szCs w:val="22"/>
                <w:lang w:val="es-CO"/>
              </w:rPr>
              <w:t>No aplica</w:t>
            </w:r>
          </w:p>
        </w:tc>
      </w:tr>
    </w:tbl>
    <w:p>
      <w:pPr>
        <w:pStyle w:val="Normal"/>
        <w:spacing w:lineRule="auto" w:line="276"/>
        <w:jc w:val="both"/>
        <w:rPr>
          <w:rFonts w:ascii="Tahoma" w:hAnsi="Tahoma" w:cs="Tahoma"/>
          <w:sz w:val="22"/>
          <w:szCs w:val="22"/>
          <w:lang w:val="es-CO"/>
        </w:rPr>
      </w:pPr>
      <w:r>
        <w:rPr>
          <w:rFonts w:cs="Tahoma" w:ascii="Tahoma" w:hAnsi="Tahoma"/>
          <w:sz w:val="22"/>
          <w:szCs w:val="22"/>
          <w:lang w:val="es-CO"/>
        </w:rPr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</w:rPr>
        <w:t>OBJETIVO:</w:t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 w:val="0"/>
          <w:sz w:val="22"/>
        </w:rPr>
        <w:t>Hacer seguimiento y evaluación del progreso en el Plan de Estudio QA - Semana 2, correspondiente a la consolidación de fundamentos, niveles de prueba y estrategia de automatización; revisar avances en Módulos 3 y 4 (HTTP, APIs y métodos de petición); analizar dificultades identificadas durante el autoestudio; y definir compromisos y plazo de entrega para la sustentación.</w:t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tbl>
      <w:tblPr>
        <w:tblW w:w="106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999"/>
        <w:gridCol w:w="1028"/>
        <w:gridCol w:w="2574"/>
        <w:gridCol w:w="2206"/>
      </w:tblGrid>
      <w:tr>
        <w:trPr>
          <w:tblHeader w:val="true"/>
          <w:trHeight w:val="1186" w:hRule="atLeast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COMPROMISOS ANTERIORES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RESPONSABLE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/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DESCRIPCIÓN DEL AVANCE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ESTADO DE CUMPLIMIENTO</w:t>
            </w:r>
          </w:p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16"/>
                <w:szCs w:val="16"/>
                <w:lang w:val="es-CO"/>
              </w:rPr>
              <w:t>(No iniciado, completo, en desarrollo o atrasado)</w:t>
            </w:r>
          </w:p>
        </w:tc>
      </w:tr>
      <w:tr>
        <w:trPr>
          <w:trHeight w:val="274" w:hRule="atLeast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/>
                <w:sz w:val="20"/>
              </w:rPr>
              <w:t>Finalización Módulos 1 y 2 del Plan de Estudio QA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Previo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Se reporta finalización de módulos anteriores.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Completo</w:t>
            </w:r>
          </w:p>
        </w:tc>
      </w:tr>
      <w:tr>
        <w:trPr>
          <w:trHeight w:val="290" w:hRule="atLeast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/>
                <w:sz w:val="20"/>
              </w:rPr>
              <w:t>Matriz de pruebas Ciclo 1: organización de casos según clasificación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Previo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tabs>
                <w:tab w:val="clear" w:pos="708"/>
                <w:tab w:val="left" w:pos="2012" w:leader="none"/>
              </w:tabs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Organización de casos según clasificación anterior.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tabs>
                <w:tab w:val="clear" w:pos="708"/>
                <w:tab w:val="left" w:pos="2012" w:leader="none"/>
              </w:tabs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Completo</w:t>
            </w:r>
          </w:p>
        </w:tc>
      </w:tr>
      <w:tr>
        <w:trPr>
          <w:trHeight w:val="274" w:hRule="atLeast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/>
                <w:sz w:val="20"/>
              </w:rPr>
              <w:t>Script de validación de números telefónicos (Ferrocarriles y OMA)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03/09/2026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Iniciación de script para funcionalidad de validación de números telefónicos.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En desarrollo</w:t>
            </w:r>
          </w:p>
        </w:tc>
      </w:tr>
      <w:tr>
        <w:trPr>
          <w:trHeight w:val="274" w:hRule="atLeast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/>
                <w:sz w:val="20"/>
              </w:rPr>
              <w:t>Documentación de hallazgos en módulo Admin de pruebas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bCs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03/09/2026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Cs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Compilación de errores y defectos encontrados. Tiempo estimado: 2 horas.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sz w:val="20"/>
              </w:rPr>
              <w:t>En desarrollo</w:t>
            </w:r>
          </w:p>
        </w:tc>
      </w:tr>
      <w:tr>
        <w:trPr>
          <w:trHeight w:val="274" w:hRule="atLeast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/>
                <w:sz w:val="20"/>
              </w:rPr>
              <w:t>Tarea de producción: números de teléfono call center - Ferrocarriles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bCs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03/09/2026</w:t>
            </w:r>
          </w:p>
        </w:tc>
        <w:tc>
          <w:tcPr>
            <w:tcW w:w="2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Cs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Solicitud de establecimiento de números. Tiempo estimado: 2 horas (antes del mediodía).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sz w:val="20"/>
              </w:rPr>
              <w:t>En desarrollo</w:t>
            </w:r>
          </w:p>
        </w:tc>
      </w:tr>
    </w:tbl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</w:rPr>
        <w:t xml:space="preserve">TEMAS TRATADOS: </w:t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 w:val="0"/>
          <w:sz w:val="22"/>
        </w:rPr>
        <w:t>1. Seguimiento y evaluación del progreso en el Plan de Estudio QA - Semana 2, correspondiente a la consolidación de fundamentos, niveles de prueba y estrategia de automatización.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Revisión de avances en Módulos 3 y 4, con énfasis en conceptos de HTTP, APIs y métodos de petición.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3. Análisis de dificultades identificadas durante el autoestudio.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4. Definición de compromisos y plazo de entrega para la sustentación.</w:t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</w:rPr>
        <w:t>DESARROLLO: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2. AVANCES REPORTADOS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2.1 Actividades Completadas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Módulo 1 y 2: Se reporta finalización de módulos anteriores.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Matriz de pruebas Ciclo 1: Organización de casos según clasificación anterior.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Iniciación de script para funcionalidad de validación de números telefónicos (Ferrocarriles y OMA).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Documentación de hallazgos en módulo Admin de pruebas (defectos identificados).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2.2 Tareas en Proceso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Tarea de Producción (Prioritaria): Solicitud de establecimiento de números de teléfono de call center - Ferrocarriles. Tiempo estimado: 2 horas (antes del mediodía del 03/09/2026).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Documentación Admin: Compilación de errores y defectos encontrados. Tiempo estimado: 2 horas.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Apoyo a Equipo de Desarrollo: Monitoreo de facturación en colaboración con David. Tiempo comprometido: 3 horas.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Revisión de Código: Hasta 4 tareas potenciales en revisión pendientes de traer a pruebas.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3. DIFICULTADES IDENTIFICADAS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3.1 Módulo 3 - Niveles de Prueba y HTTP/APIs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Actividad 1 (Punto 1): Incomprensión en la redacción de la actividad 'llenar la ficha de decisión de nivel de anexo para los 17 casos de la matriz del ciclo uno'.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Falta de conexión entre la ficha de decisión (trabajada en Fase 1) y la actividad actual del módulo 3.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Requiere aclaración sobre las 'dos filas obligatorias' (justificación por qué sí/por qué no en cada nivel).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3.2 Conceptos de HTTP y APIs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Dificultad en la comprensión conceptual de métodos HTTP, idempotencia y códigos de respuesta.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Inclinación a ejecutar pruebas prácticas antes de haber asimilado los conceptos teóricos.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Necesidad de fortalecer la lectura de recursos de referencia (ISTQB, Atlassian, Test Pyramid).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4. ANÁLISIS Y DISCUSIÓN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Observación del Coordinador: En 15 días (desde la entrega del material de estudio) se ha avanzado en apenas 2-3 puntos, con solapamiento de temas ya vistos.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Recurso de Autoestudio: No se han utilizado los recursos proporcionados (artículos, syllabus ISTQB, referencias externas) de manera sistemática.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Dedicación: Se reporta dedicación solo durante las 2 horas de trabajo estructurado; se requiere autoestudio adicional.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Metodología: Se prioriza la práctica (ejecución en herramientas) sobre la comprensión conceptual (lectura y análisis).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El coordinador enfatiza que es necesario adquirir los conceptos primero mediante la lectura de recursos, para luego aplicarlos en la práctica, no al revés.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6. OBSERVACIONES Y RECOMENDACIONES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Se enfatiza el cumplimiento de las Reglas no negociables del Plan de Estudio QA: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Un ID es un caso, para siempre.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Ningún caso se registra sin resultado obtenido y sin estado.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Ningún caso se da por cubierto por inferencia. Sin evidencia propia = no ejecutado.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Toda justificación se escribe. Si no está escrita, no existe.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Cero datos reales de pacientes y cero credenciales en documentos.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• Las dos filas de 'por qué no en el nivel inferior/superior' nunca quedan vacías.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El proceso de aprendizaje requiere balance entre teoría (conceptos) y práctica (aplicación en herramientas). Secuencia correcta: estudiar conceptos → aplicar en práctica → documentar resultados.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7. CIERRE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Se concluye la reunión reforzando la importancia de mantener el ritmo de avance y la dedicación requerida para completar exitosamente el Plan de Estudio QA. La próxima reunión definirá si se procede con los siguientes módulos o se requieren ajustes en la metodología de estudio.</w:t>
      </w:r>
    </w:p>
    <w:p>
      <w:pPr>
        <w:spacing w:lineRule="auto" w:line="276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Próxima reunión de seguimiento: 04 de septiembre de 2026 a las 8:00 AM.</w:t>
      </w:r>
    </w:p>
    <w:p>
      <w:pPr>
        <w:pStyle w:val="Normal"/>
        <w:spacing w:lineRule="auto" w:line="276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cs="Tahoma"/>
          <w:bCs/>
          <w:sz w:val="22"/>
          <w:szCs w:val="22"/>
        </w:rPr>
      </w:pPr>
      <w:r>
        <w:rPr>
          <w:rFonts w:ascii="Tahoma" w:hAnsi="Tahoma" w:cs="Tahoma"/>
          <w:b w:val="0"/>
          <w:sz w:val="22"/>
        </w:rPr>
        <w:t>(Se convoca nueva mesa de trabajo: próxima reunión el 04 de septiembre de 2026 a las 8:00 AM para evaluar avances y conceptos asimilados.)</w:t>
      </w:r>
    </w:p>
    <w:p>
      <w:pPr>
        <w:pStyle w:val="Normal"/>
        <w:spacing w:lineRule="auto" w:line="276"/>
        <w:jc w:val="both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76"/>
        <w:jc w:val="center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tbl>
      <w:tblPr>
        <w:tblW w:w="10491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2835"/>
        <w:gridCol w:w="2694"/>
      </w:tblGrid>
      <w:tr>
        <w:trPr>
          <w:trHeight w:val="45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COMPROMISOS GENERADOS</w:t>
            </w:r>
          </w:p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  <w:t>(Describir en términos de enfoque, implementación o resultados)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RESPONSABLE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Prrafodelista"/>
              <w:spacing w:lineRule="auto" w:line="276"/>
              <w:ind w:start="0" w:end="0"/>
              <w:jc w:val="center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cs="Tahoma" w:ascii="Tahoma" w:hAnsi="Tahoma"/>
                <w:b/>
                <w:sz w:val="22"/>
                <w:szCs w:val="22"/>
                <w:lang w:val="es-CO"/>
              </w:rPr>
              <w:t>FECHA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Dedicar tiempo adicional de autoestudio fuera del horario de trabajo, incluyendo lectura de materiales de referencia (ISTQB, test pyramid, documentación de métodos HTTP).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04/09/2026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Completar íntegramente los Módulos 3 y 4 del Plan de Estudio QA, con entregables demostrables para presentar.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04/09/2026 8:00 AM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Evidenciar asimilación de conceptos: explicar y justificar las decisiones de prueba según los niveles estudiados en la próxima reunión.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Luis Fernando Pacheco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04/09/2026 8:00 AM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both"/>
              <w:rPr>
                <w:rFonts w:ascii="Tahoma" w:hAnsi="Tahoma" w:cs="Tahoma"/>
                <w:b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Reunión de seguimiento para evaluar avances y conceptos asimilados.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Edilson Andres Alvarez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rafodelista"/>
              <w:snapToGrid w:val="false"/>
              <w:spacing w:lineRule="auto" w:line="276"/>
              <w:ind w:start="0" w:end="0"/>
              <w:jc w:val="center"/>
              <w:rPr>
                <w:rFonts w:ascii="Tahoma" w:hAnsi="Tahoma" w:cs="Tahoma"/>
                <w:sz w:val="22"/>
                <w:szCs w:val="22"/>
                <w:lang w:val="es-CO"/>
              </w:rPr>
            </w:pPr>
            <w:r>
              <w:rPr>
                <w:rFonts w:ascii="Tahoma" w:hAnsi="Tahoma" w:cs="Tahoma"/>
                <w:b w:val="0"/>
                <w:sz w:val="20"/>
              </w:rPr>
              <w:t>04/09/2026 8:00 AM</w:t>
            </w:r>
          </w:p>
        </w:tc>
      </w:tr>
    </w:tbl>
    <w:p>
      <w:pPr>
        <w:pStyle w:val="Normal"/>
        <w:spacing w:lineRule="auto" w:line="276"/>
        <w:jc w:val="both"/>
        <w:rPr>
          <w:rFonts w:ascii="Tahoma" w:hAnsi="Tahoma" w:eastAsia="Arial Unicode MS" w:cs="Tahoma"/>
          <w:sz w:val="22"/>
          <w:szCs w:val="22"/>
        </w:rPr>
      </w:pPr>
      <w:r>
        <w:rPr>
          <w:rFonts w:eastAsia="Arial Unicode MS" w:cs="Tahoma" w:ascii="Tahoma" w:hAnsi="Tahoma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eastAsia="Arial Unicode MS" w:cs="Tahoma"/>
          <w:sz w:val="22"/>
          <w:szCs w:val="22"/>
        </w:rPr>
      </w:pPr>
      <w:r>
        <w:rPr>
          <w:rFonts w:eastAsia="Arial Unicode MS" w:cs="Tahoma" w:ascii="Tahoma" w:hAnsi="Tahoma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eastAsia="Arial Unicode MS" w:cs="Tahoma"/>
          <w:sz w:val="22"/>
          <w:szCs w:val="22"/>
        </w:rPr>
      </w:pPr>
      <w:r>
        <w:rPr>
          <w:rFonts w:eastAsia="Arial Unicode MS" w:cs="Tahoma" w:ascii="Tahoma" w:hAnsi="Tahoma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Tahoma" w:hAnsi="Tahoma" w:eastAsia="Arial Unicode MS" w:cs="Tahoma"/>
          <w:b/>
          <w:bCs/>
          <w:sz w:val="22"/>
          <w:szCs w:val="22"/>
        </w:rPr>
      </w:pPr>
      <w:r>
        <w:rPr>
          <w:rFonts w:ascii="Tahoma" w:hAnsi="Tahoma" w:cs="Tahoma"/>
          <w:b/>
          <w:sz w:val="22"/>
        </w:rPr>
        <w:t xml:space="preserve">NOMBRE DE QUIÉN REALIZA EL ACTA: </w:t>
      </w:r>
      <w:r>
        <w:rPr>
          <w:rFonts w:ascii="Tahoma" w:hAnsi="Tahoma" w:cs="Tahoma"/>
          <w:b w:val="0"/>
          <w:sz w:val="22"/>
        </w:rPr>
        <w:t>Edilson Andres Alvarez Jaramillo</w:t>
      </w:r>
    </w:p>
    <w:p>
      <w:pPr>
        <w:pStyle w:val="Normal"/>
        <w:spacing w:lineRule="auto" w:line="276"/>
        <w:jc w:val="both"/>
        <w:rPr>
          <w:rFonts w:ascii="Tahoma" w:hAnsi="Tahoma" w:eastAsia="Arial Unicode MS" w:cs="Tahoma"/>
          <w:b/>
          <w:bCs/>
          <w:sz w:val="22"/>
          <w:szCs w:val="22"/>
        </w:rPr>
      </w:pPr>
      <w:r>
        <w:rPr>
          <w:rFonts w:ascii="Tahoma" w:hAnsi="Tahoma" w:cs="Tahoma"/>
          <w:b/>
          <w:sz w:val="22"/>
        </w:rPr>
        <w:t xml:space="preserve">CARGO: </w:t>
      </w:r>
      <w:r>
        <w:rPr>
          <w:rFonts w:ascii="Tahoma" w:hAnsi="Tahoma" w:cs="Tahoma"/>
          <w:b w:val="0"/>
          <w:sz w:val="22"/>
        </w:rPr>
        <w:t>Coordinador</w:t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340" w:top="1417" w:footer="34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ahoma" w:hAnsi="Tahoma" w:cs="Tahoma"/>
        <w:b/>
        <w:bCs/>
        <w:sz w:val="22"/>
        <w:szCs w:val="22"/>
      </w:rPr>
    </w:pPr>
    <w:r>
      <w:rPr>
        <w:rFonts w:cs="Tahoma" w:ascii="Tahoma" w:hAnsi="Tahoma"/>
        <w:sz w:val="22"/>
        <w:szCs w:val="22"/>
        <w:lang w:val="es-ES"/>
      </w:rPr>
      <w:t xml:space="preserve">Página </w:t>
    </w:r>
    <w:r>
      <w:rPr>
        <w:rFonts w:cs="Tahoma" w:ascii="Tahoma" w:hAnsi="Tahoma"/>
        <w:b/>
        <w:bCs/>
        <w:sz w:val="22"/>
        <w:szCs w:val="22"/>
      </w:rPr>
      <w:fldChar w:fldCharType="begin"/>
    </w:r>
    <w:r>
      <w:rPr>
        <w:sz w:val="22"/>
        <w:b/>
        <w:szCs w:val="22"/>
        <w:bCs/>
        <w:rFonts w:cs="Tahoma" w:ascii="Tahoma" w:hAnsi="Tahoma"/>
      </w:rPr>
      <w:instrText xml:space="preserve"> PAGE \* ARABIC </w:instrText>
    </w:r>
    <w:r>
      <w:rPr>
        <w:sz w:val="22"/>
        <w:b/>
        <w:szCs w:val="22"/>
        <w:bCs/>
        <w:rFonts w:cs="Tahoma" w:ascii="Tahoma" w:hAnsi="Tahoma"/>
      </w:rPr>
      <w:fldChar w:fldCharType="separate"/>
    </w:r>
    <w:r>
      <w:rPr>
        <w:sz w:val="22"/>
        <w:b/>
        <w:szCs w:val="22"/>
        <w:bCs/>
        <w:rFonts w:cs="Tahoma" w:ascii="Tahoma" w:hAnsi="Tahoma"/>
      </w:rPr>
      <w:t>2</w:t>
    </w:r>
    <w:r>
      <w:rPr>
        <w:sz w:val="22"/>
        <w:b/>
        <w:szCs w:val="22"/>
        <w:bCs/>
        <w:rFonts w:cs="Tahoma" w:ascii="Tahoma" w:hAnsi="Tahoma"/>
      </w:rPr>
      <w:fldChar w:fldCharType="end"/>
    </w:r>
    <w:r>
      <w:rPr>
        <w:rFonts w:cs="Tahoma" w:ascii="Tahoma" w:hAnsi="Tahoma"/>
        <w:sz w:val="22"/>
        <w:szCs w:val="22"/>
        <w:lang w:val="es-ES"/>
      </w:rPr>
      <w:t xml:space="preserve"> de </w:t>
    </w:r>
    <w:r>
      <w:rPr>
        <w:rFonts w:cs="Tahoma" w:ascii="Tahoma" w:hAnsi="Tahoma"/>
        <w:b/>
        <w:bCs/>
        <w:sz w:val="22"/>
        <w:szCs w:val="22"/>
      </w:rPr>
      <w:fldChar w:fldCharType="begin"/>
    </w:r>
    <w:r>
      <w:rPr>
        <w:sz w:val="22"/>
        <w:b/>
        <w:szCs w:val="22"/>
        <w:bCs/>
        <w:rFonts w:cs="Tahoma" w:ascii="Tahoma" w:hAnsi="Tahoma"/>
      </w:rPr>
      <w:instrText xml:space="preserve"> NUMPAGES \* ARABIC </w:instrText>
    </w:r>
    <w:r>
      <w:rPr>
        <w:sz w:val="22"/>
        <w:b/>
        <w:szCs w:val="22"/>
        <w:bCs/>
        <w:rFonts w:cs="Tahoma" w:ascii="Tahoma" w:hAnsi="Tahoma"/>
      </w:rPr>
      <w:fldChar w:fldCharType="separate"/>
    </w:r>
    <w:r>
      <w:rPr>
        <w:sz w:val="22"/>
        <w:b/>
        <w:szCs w:val="22"/>
        <w:bCs/>
        <w:rFonts w:cs="Tahoma" w:ascii="Tahoma" w:hAnsi="Tahoma"/>
      </w:rPr>
      <w:t>2</w:t>
    </w:r>
    <w:r>
      <w:rPr>
        <w:sz w:val="22"/>
        <w:b/>
        <w:szCs w:val="22"/>
        <w:bCs/>
        <w:rFonts w:cs="Tahoma" w:ascii="Tahoma" w:hAnsi="Tahoma"/>
      </w:rPr>
      <w:fldChar w:fldCharType="end"/>
    </w:r>
  </w:p>
  <w:p>
    <w:pPr>
      <w:pStyle w:val="Footer"/>
      <w:jc w:val="end"/>
      <w:rPr>
        <w:rFonts w:ascii="Tahoma" w:hAnsi="Tahoma" w:cs="Tahoma"/>
        <w:sz w:val="22"/>
        <w:szCs w:val="22"/>
      </w:rPr>
    </w:pPr>
    <w:r>
      <w:rPr>
        <w:rFonts w:cs="Tahoma" w:ascii="Tahoma" w:hAnsi="Tahoma"/>
        <w:sz w:val="22"/>
        <w:szCs w:val="22"/>
      </w:rPr>
      <w:t>Una vez descargado o impreso este documento se considera copia no controlada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1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16"/>
      <w:gridCol w:w="5084"/>
      <w:gridCol w:w="2916"/>
    </w:tblGrid>
    <w:tr>
      <w:trPr>
        <w:trHeight w:val="454" w:hRule="atLeast"/>
      </w:trPr>
      <w:tc>
        <w:tcPr>
          <w:tcW w:w="261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Tahoma" w:hAnsi="Tahoma" w:cs="Tahoma"/>
              <w:sz w:val="24"/>
              <w:szCs w:val="24"/>
              <w:lang w:val="es-ES" w:eastAsia="es-ES"/>
            </w:rPr>
          </w:pPr>
          <w:r>
            <w:rPr>
              <w:rFonts w:cs="Tahoma" w:ascii="Tahoma" w:hAnsi="Tahoma"/>
              <w:sz w:val="24"/>
              <w:szCs w:val="24"/>
              <w:lang w:val="es-ES" w:eastAsia="en-US"/>
            </w:rPr>
            <w:drawing>
              <wp:inline distT="0" distB="0" distL="0" distR="0">
                <wp:extent cx="1523365" cy="923290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" t="-8" r="-5" b="-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3365" cy="923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ahoma" w:hAnsi="Tahoma" w:cs="Tahoma"/>
              <w:b/>
              <w:sz w:val="24"/>
              <w:szCs w:val="24"/>
              <w:lang w:val="es-ES" w:eastAsia="es-ES"/>
            </w:rPr>
          </w:pPr>
          <w:r>
            <w:rPr>
              <w:rFonts w:cs="Tahoma" w:ascii="Tahoma" w:hAnsi="Tahoma"/>
              <w:b/>
              <w:sz w:val="24"/>
              <w:szCs w:val="24"/>
              <w:lang w:val="es-ES" w:eastAsia="es-ES"/>
            </w:rPr>
            <w:t xml:space="preserve">ACTA DE REUNIÓN </w:t>
          </w:r>
        </w:p>
      </w:tc>
      <w:tc>
        <w:tcPr>
          <w:tcW w:w="291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/>
          </w:pPr>
          <w:r>
            <w:rPr>
              <w:rFonts w:cs="Tahoma" w:ascii="Tahoma" w:hAnsi="Tahoma"/>
              <w:b/>
              <w:sz w:val="22"/>
              <w:szCs w:val="22"/>
              <w:lang w:val="es-ES" w:eastAsia="es-ES"/>
            </w:rPr>
            <w:t xml:space="preserve">Código: </w:t>
          </w:r>
          <w:r>
            <w:rPr>
              <w:rFonts w:cs="Tahoma" w:ascii="Tahoma" w:hAnsi="Tahoma"/>
              <w:sz w:val="22"/>
              <w:szCs w:val="22"/>
              <w:lang w:val="es-ES" w:eastAsia="es-ES"/>
            </w:rPr>
            <w:t>FO-PD-003</w:t>
          </w:r>
        </w:p>
      </w:tc>
    </w:tr>
    <w:tr>
      <w:trPr>
        <w:trHeight w:val="454" w:hRule="atLeast"/>
      </w:trPr>
      <w:tc>
        <w:tcPr>
          <w:tcW w:w="261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Tahoma" w:hAnsi="Tahoma" w:cs="Tahoma"/>
              <w:sz w:val="24"/>
              <w:szCs w:val="24"/>
              <w:lang w:val="es-ES" w:eastAsia="es-ES"/>
            </w:rPr>
          </w:pPr>
          <w:r>
            <w:rPr>
              <w:rFonts w:cs="Tahoma" w:ascii="Tahoma" w:hAnsi="Tahoma"/>
              <w:sz w:val="24"/>
              <w:szCs w:val="24"/>
              <w:lang w:val="es-ES" w:eastAsia="es-ES"/>
            </w:rPr>
          </w:r>
        </w:p>
      </w:tc>
      <w:tc>
        <w:tcPr>
          <w:tcW w:w="50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Tahoma" w:hAnsi="Tahoma" w:cs="Tahoma"/>
              <w:sz w:val="24"/>
              <w:szCs w:val="24"/>
              <w:lang w:val="es-ES" w:eastAsia="es-ES"/>
            </w:rPr>
          </w:pPr>
          <w:r>
            <w:rPr>
              <w:rFonts w:cs="Tahoma" w:ascii="Tahoma" w:hAnsi="Tahoma"/>
              <w:sz w:val="24"/>
              <w:szCs w:val="24"/>
              <w:lang w:val="es-ES" w:eastAsia="es-ES"/>
            </w:rPr>
          </w:r>
        </w:p>
      </w:tc>
      <w:tc>
        <w:tcPr>
          <w:tcW w:w="291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Tahoma" w:hAnsi="Tahoma" w:cs="Tahoma"/>
              <w:sz w:val="22"/>
              <w:szCs w:val="22"/>
              <w:lang w:val="es-ES" w:eastAsia="es-ES"/>
            </w:rPr>
          </w:pPr>
          <w:r>
            <w:rPr>
              <w:rFonts w:cs="Tahoma" w:ascii="Tahoma" w:hAnsi="Tahoma"/>
              <w:b/>
              <w:sz w:val="22"/>
              <w:szCs w:val="22"/>
              <w:lang w:val="es-ES" w:eastAsia="es-ES"/>
            </w:rPr>
            <w:t>Versión:</w:t>
          </w:r>
          <w:r>
            <w:rPr>
              <w:rFonts w:cs="Tahoma" w:ascii="Tahoma" w:hAnsi="Tahoma"/>
              <w:sz w:val="22"/>
              <w:szCs w:val="22"/>
              <w:lang w:val="es-ES" w:eastAsia="es-ES"/>
            </w:rPr>
            <w:t xml:space="preserve"> 03</w:t>
          </w:r>
        </w:p>
      </w:tc>
    </w:tr>
    <w:tr>
      <w:trPr>
        <w:trHeight w:val="624" w:hRule="atLeast"/>
      </w:trPr>
      <w:tc>
        <w:tcPr>
          <w:tcW w:w="261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Tahoma" w:hAnsi="Tahoma" w:cs="Tahoma"/>
              <w:sz w:val="24"/>
              <w:szCs w:val="24"/>
              <w:lang w:val="es-ES" w:eastAsia="es-ES"/>
            </w:rPr>
          </w:pPr>
          <w:r>
            <w:rPr>
              <w:rFonts w:cs="Tahoma" w:ascii="Tahoma" w:hAnsi="Tahoma"/>
              <w:sz w:val="24"/>
              <w:szCs w:val="24"/>
              <w:lang w:val="es-ES" w:eastAsia="es-ES"/>
            </w:rPr>
          </w:r>
        </w:p>
      </w:tc>
      <w:tc>
        <w:tcPr>
          <w:tcW w:w="50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Tahoma" w:hAnsi="Tahoma" w:cs="Tahoma"/>
              <w:sz w:val="24"/>
              <w:szCs w:val="24"/>
              <w:lang w:val="es-ES" w:eastAsia="es-ES"/>
            </w:rPr>
          </w:pPr>
          <w:r>
            <w:rPr>
              <w:rFonts w:cs="Tahoma" w:ascii="Tahoma" w:hAnsi="Tahoma"/>
              <w:sz w:val="24"/>
              <w:szCs w:val="24"/>
              <w:lang w:val="es-ES" w:eastAsia="es-ES"/>
            </w:rPr>
          </w:r>
        </w:p>
      </w:tc>
      <w:tc>
        <w:tcPr>
          <w:tcW w:w="291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Tahoma" w:hAnsi="Tahoma" w:cs="Tahoma"/>
              <w:b/>
              <w:sz w:val="22"/>
              <w:szCs w:val="22"/>
              <w:lang w:val="es-ES" w:eastAsia="es-ES"/>
            </w:rPr>
          </w:pPr>
          <w:r>
            <w:rPr>
              <w:rFonts w:cs="Tahoma" w:ascii="Tahoma" w:hAnsi="Tahoma"/>
              <w:b/>
              <w:sz w:val="22"/>
              <w:szCs w:val="22"/>
              <w:lang w:val="es-ES" w:eastAsia="es-ES"/>
            </w:rPr>
            <w:t>Fecha de aprobación:</w:t>
          </w:r>
        </w:p>
        <w:p>
          <w:pPr>
            <w:pStyle w:val="Header"/>
            <w:rPr>
              <w:rFonts w:ascii="Tahoma" w:hAnsi="Tahoma" w:cs="Tahoma"/>
              <w:sz w:val="22"/>
              <w:szCs w:val="22"/>
              <w:lang w:val="es-ES" w:eastAsia="es-ES"/>
            </w:rPr>
          </w:pPr>
          <w:r>
            <w:rPr>
              <w:rFonts w:cs="Tahoma" w:ascii="Tahoma" w:hAnsi="Tahoma"/>
              <w:sz w:val="22"/>
              <w:szCs w:val="22"/>
              <w:lang w:val="es-ES" w:eastAsia="es-ES"/>
            </w:rPr>
            <w:t>31/01/2022</w:t>
          </w:r>
        </w:p>
      </w:tc>
    </w:tr>
  </w:tbl>
  <w:p>
    <w:pPr>
      <w:pStyle w:val="Header"/>
      <w:rPr>
        <w:rFonts w:ascii="Tahoma" w:hAnsi="Tahoma" w:cs="Tahoma"/>
      </w:rPr>
    </w:pPr>
    <w:r>
      <w:rPr>
        <w:rFonts w:cs="Tahoma" w:ascii="Tahoma" w:hAnsi="Tahoma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Calibri" w:cs="Times New Roman"/>
      <w:color w:val="auto"/>
      <w:sz w:val="20"/>
      <w:szCs w:val="20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uppressAutoHyphens w:val="true"/>
      <w:outlineLvl w:val="0"/>
    </w:pPr>
    <w:rPr>
      <w:rFonts w:ascii="Arial" w:hAnsi="Arial" w:eastAsia="Times New Roman" w:cs="Arial"/>
      <w:b/>
      <w:bCs/>
      <w:szCs w:val="24"/>
      <w:lang w:val="es-ES_tradnl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jc w:val="center"/>
      <w:outlineLvl w:val="1"/>
    </w:pPr>
    <w:rPr>
      <w:rFonts w:ascii="Arial" w:hAnsi="Arial" w:eastAsia="Times New Roman" w:cs="Arial"/>
      <w:b/>
      <w:bCs/>
      <w:sz w:val="16"/>
      <w:szCs w:val="24"/>
      <w:lang w:val="es-ES_tradnl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Cambria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b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Calibri" w:hAnsi="Calibri" w:eastAsia="Calibri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eastAsia="Calibri" w:cs="Tahoma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4z1">
    <w:name w:val="WW8Num34z1"/>
    <w:qFormat/>
    <w:rPr>
      <w:b/>
    </w:rPr>
  </w:style>
  <w:style w:type="character" w:styleId="Fuentedeprrafopredeter">
    <w:name w:val="Fuente de párrafo predeter."/>
    <w:qFormat/>
    <w:rPr/>
  </w:style>
  <w:style w:type="character" w:styleId="Ttulo1Car">
    <w:name w:val="Título 1 Car"/>
    <w:qFormat/>
    <w:rPr>
      <w:rFonts w:ascii="Arial" w:hAnsi="Arial" w:eastAsia="Times New Roman" w:cs="Arial"/>
      <w:b/>
      <w:bCs/>
      <w:sz w:val="20"/>
      <w:szCs w:val="24"/>
      <w:lang w:val="es-ES_tradnl"/>
    </w:rPr>
  </w:style>
  <w:style w:type="character" w:styleId="Ttulo2Car">
    <w:name w:val="Título 2 Car"/>
    <w:qFormat/>
    <w:rPr>
      <w:rFonts w:ascii="Arial" w:hAnsi="Arial" w:eastAsia="Times New Roman" w:cs="Arial"/>
      <w:b/>
      <w:bCs/>
      <w:sz w:val="16"/>
      <w:szCs w:val="24"/>
      <w:lang w:val="es-ES_tradnl"/>
    </w:rPr>
  </w:style>
  <w:style w:type="character" w:styleId="EncabezadoCar">
    <w:name w:val="Encabezado Car"/>
    <w:qFormat/>
    <w:rPr>
      <w:rFonts w:ascii="Times New Roman" w:hAnsi="Times New Roman" w:cs="Times New Roman"/>
    </w:rPr>
  </w:style>
  <w:style w:type="character" w:styleId="PiedepginaCar">
    <w:name w:val="Pie de página Car"/>
    <w:qFormat/>
    <w:rPr>
      <w:rFonts w:ascii="Times New Roman" w:hAnsi="Times New Roman" w:cs="Times New Roman"/>
    </w:rPr>
  </w:style>
  <w:style w:type="character" w:styleId="SubttuloCar">
    <w:name w:val="Subtítulo Car"/>
    <w:qFormat/>
    <w:rPr>
      <w:rFonts w:ascii="Cambria" w:hAnsi="Cambria" w:eastAsia="Times New Roman" w:cs="Times New Roman"/>
      <w:sz w:val="24"/>
      <w:szCs w:val="24"/>
      <w:lang w:val="es-ES"/>
    </w:rPr>
  </w:style>
  <w:style w:type="character" w:styleId="Ttulo3Car">
    <w:name w:val="Título 3 Car"/>
    <w:qFormat/>
    <w:rPr>
      <w:rFonts w:ascii="Cambria" w:hAnsi="Cambria" w:eastAsia="Times New Roman" w:cs="Times New Roman"/>
      <w:b/>
      <w:bCs/>
      <w:sz w:val="26"/>
      <w:szCs w:val="26"/>
      <w:lang w:val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rafodelista">
    <w:name w:val="Párrafo de lista"/>
    <w:basedOn w:val="Normal"/>
    <w:qFormat/>
    <w:pPr>
      <w:spacing w:before="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en-US"/>
    </w:rPr>
  </w:style>
  <w:style w:type="paragraph" w:styleId="Sinespaciado">
    <w:name w:val="Sin espaciado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eastAsia="Times New Roman" w:cs="Cambria"/>
      <w:sz w:val="24"/>
      <w:szCs w:val="24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Calibri"/>
      <w:sz w:val="24"/>
      <w:szCs w:val="24"/>
      <w:lang w:val="es-CO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2022-01-31T21:55:00Z</dcterms:created>
  <dc:creator>Bposada</dc:creator>
  <dc:description/>
  <cp:keywords/>
  <dc:language>en-US</dc:language>
  <cp:lastModifiedBy>SUMIMEDICAL S.A.S 37164</cp:lastModifiedBy>
  <dcterms:modified xsi:type="dcterms:W3CDTF">2022-01-31T21:56:00Z</dcterms:modified>
  <cp:revision>3</cp:revision>
  <dc:subject/>
  <dc:title/>
</cp:coreProperties>
</file>