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VORTEX AVIATION COMPLIANCE ECOSYSTEM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VORTEX — APROVAÇÃO DO PLANO DE EXECUÇÃO M0–M7 COM RESSALVAS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Retorno oficial de revisão ao plano de execução (Fases 1–3 + exportação VPS)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07 de setembro de 2026</w:t>
      </w:r>
    </w:p>
    <w:p>
      <w:pPr>
        <w:spacing w:before="60" w:after="120" w:line="276"/>
      </w:pPr>
      <w:r>
        <w:rPr>
          <w:b/>
          <w:bCs/>
        </w:rPr>
        <w:t xml:space="preserve">Atenção:</w:t>
      </w:r>
      <w:r>
        <w:t xml:space="preserve"> este documento estabelece as condições formais de engenharia para o início da implementação das Fases 1 a 3. Deve ser lido integralmente antes de qualquer atividade de código. O cumprimento das 6 ressalvas técnicas elencadas é requisito bloqueante para a homologação dos respectivos marcos.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Decisão (Veredito)</w:t>
      </w:r>
    </w:p>
    <w:p>
      <w:pPr>
        <w:spacing w:before="60" w:after="120" w:line="276"/>
        <w:jc w:val="both"/>
      </w:pPr>
      <w:r>
        <w:t xml:space="preserve">O plano de implementação referente aos marcos </w:t>
      </w:r>
      <w:r>
        <w:rPr>
          <w:b/>
          <w:bCs/>
        </w:rPr>
        <w:t xml:space="preserve">M0 a M7</w:t>
      </w:r>
      <w:r>
        <w:t xml:space="preserve"> (Fases 1 a 3 locais em Docker Compose e posterior exportação para VPS) é </w:t>
      </w:r>
      <w:r>
        <w:rPr>
          <w:b/>
          <w:bCs/>
        </w:rPr>
        <w:t xml:space="preserve">APROVADO COM RESSALVAS</w:t>
      </w:r>
      <w:r>
        <w:t xml:space="preserve">. A arquitetura macro proposta, o sequenciamento técnico — em especial a priorização do Ledger imutável antes da camada de domínio —, o isolamento disciplinado do escopo às Fases 1 a 3 e o alinhamento à declaração explícita de lacunas (conforme a </w:t>
      </w:r>
      <w:r>
        <w:rPr>
          <w:i/>
          <w:iCs/>
        </w:rPr>
        <w:t xml:space="preserve">Regra 10 do CLAUDE.md</w:t>
      </w:r>
      <w:r>
        <w:t xml:space="preserve">) demonstram excelente rigor metodológico e são integralmente ratificados.</w:t>
      </w:r>
    </w:p>
    <w:p>
      <w:pPr>
        <w:spacing w:before="60" w:after="120" w:line="276"/>
        <w:jc w:val="both"/>
      </w:pPr>
      <w:r>
        <w:t xml:space="preserve">Contudo, a execução técnica </w:t>
      </w:r>
      <w:r>
        <w:rPr>
          <w:b/>
          <w:bCs/>
        </w:rPr>
        <w:t xml:space="preserve">não deve ser iniciada</w:t>
      </w:r>
      <w:r>
        <w:t xml:space="preserve"> sem a incorporação imediata das </w:t>
      </w:r>
      <w:r>
        <w:rPr>
          <w:b/>
          <w:bCs/>
        </w:rPr>
        <w:t xml:space="preserve">6 ressalvas mandatórias</w:t>
      </w:r>
      <w:r>
        <w:t xml:space="preserve"> detalhadas neste instrumento. Tais ressalvas corrigem inconsistências estruturais de banco de dados, falhas de isolamento de contexto de segurança em camada HTTP, riscos de incompatibilidade entre a </w:t>
      </w:r>
      <w:r>
        <w:rPr>
          <w:i/>
          <w:iCs/>
        </w:rPr>
        <w:t xml:space="preserve">Resolução ANAC nº 458/2017</w:t>
      </w:r>
      <w:r>
        <w:t xml:space="preserve"> e a </w:t>
      </w:r>
      <w:r>
        <w:rPr>
          <w:i/>
          <w:iCs/>
        </w:rPr>
        <w:t xml:space="preserve">Lei nº 13.709/2018 (LGPD)</w:t>
      </w:r>
      <w:r>
        <w:t xml:space="preserve">, além de prever a completude de observabilidade e atomicidade transacional.</w:t>
      </w:r>
    </w:p>
    <w:p>
      <w:pPr>
        <w:spacing w:before="60" w:after="120" w:line="276"/>
        <w:jc w:val="both"/>
      </w:pPr>
      <w:r>
        <w:t xml:space="preserve">Cada ressalva passa a constituir critério de aceite adicional e eliminatório para a conclusão e homologação de seus respectivos marcos de entrega.</w:t>
      </w:r>
    </w:p>
    <w:p>
      <w:pPr>
        <w:pStyle w:val="Heading3"/>
        <w:spacing w:before="240" w:after="120"/>
      </w:pPr>
      <w:r>
        <w:t xml:space="preserve">2. O que foi Aprovado sem Ressalvas</w:t>
      </w:r>
    </w:p>
    <w:p>
      <w:pPr>
        <w:spacing w:before="60" w:after="120" w:line="276"/>
        <w:jc w:val="both"/>
      </w:pPr>
      <w:r>
        <w:t xml:space="preserve">Os seguintes elementos do plano de trabalho foram validados e devem ser preservados sem alterações conceituais: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Ordem Ledger-Primeiro (M1 antecedendo M3):</w:t>
      </w:r>
      <w:r>
        <w:t xml:space="preserve"> abordagem tecnicamente perfeita. Visto que toda operação de escrita do ecossistema ancora blocos no Ledger central, a disponibilidade prévia do ledger-service elimina retrabalhos e refatorações em massa nos serviços de domínio.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Escopo restrito às Fases 1–3:</w:t>
      </w:r>
      <w:r>
        <w:t xml:space="preserve"> conformidade com a diretriz do CLAUDE.md de construir e validar progressivamente uma fase por vez, postergando as Fases 4 a 8 para ciclos subsequentes.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Declaração transparente de lacunas:</w:t>
      </w:r>
      <w:r>
        <w:t xml:space="preserve"> a definição de adaptadores funcionais </w:t>
      </w:r>
      <w:r>
        <w:rPr>
          <w:i/>
          <w:iCs/>
        </w:rPr>
        <w:t xml:space="preserve">SIMPLE</w:t>
      </w:r>
      <w:r>
        <w:t xml:space="preserve"> para assinaturas, com </w:t>
      </w:r>
      <w:r>
        <w:rPr>
          <w:i/>
          <w:iCs/>
        </w:rPr>
        <w:t xml:space="preserve">stubs</w:t>
      </w:r>
      <w:r>
        <w:t xml:space="preserve"> explícitos para integrações </w:t>
      </w:r>
      <w:r>
        <w:rPr>
          <w:i/>
          <w:iCs/>
        </w:rPr>
        <w:t xml:space="preserve">GOVBR</w:t>
      </w:r>
      <w:r>
        <w:t xml:space="preserve"> e </w:t>
      </w:r>
      <w:r>
        <w:rPr>
          <w:i/>
          <w:iCs/>
        </w:rPr>
        <w:t xml:space="preserve">ICP_BRASIL</w:t>
      </w:r>
      <w:r>
        <w:t xml:space="preserve">, bem como o tratamento de integrações N2 externas (Receita Federal, SACI, RAB) como pendências declaradas, atende perfeitamente à </w:t>
      </w:r>
      <w:r>
        <w:rPr>
          <w:i/>
          <w:iCs/>
        </w:rPr>
        <w:t xml:space="preserve">Regra 10</w:t>
      </w:r>
      <w:r>
        <w:t xml:space="preserve"> e ao modelo de validação em níveis N0–N3.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Micro-frontends e isolamento:</w:t>
      </w:r>
      <w:r>
        <w:t xml:space="preserve"> implementação da Shell federada e do aplicativo Rconta completo (7 módulos e 2 menus), mantendo os 7 aplicativos restantes como remotes </w:t>
      </w:r>
      <w:r>
        <w:rPr>
          <w:i/>
          <w:iCs/>
        </w:rPr>
        <w:t xml:space="preserve">stub</w:t>
      </w:r>
      <w:r>
        <w:t xml:space="preserve"> com isolamento estrito de falhas em Module Federation.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Estrutura de marcos M0–M7 verificáveis:</w:t>
      </w:r>
      <w:r>
        <w:t xml:space="preserve"> segmentação clara de entregas atômicas com critérios objetivos de aceite e verificação antes de cada transição.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Padrão de engenharia e stack:</w:t>
      </w:r>
      <w:r>
        <w:t xml:space="preserve"> adoção de migrações em SQL puro com node-pg-migrate, aplicação dos </w:t>
      </w:r>
      <w:r>
        <w:rPr>
          <w:i/>
          <w:iCs/>
        </w:rPr>
        <w:t xml:space="preserve">seeds</w:t>
      </w:r>
      <w:r>
        <w:t xml:space="preserve"> canônicos de permissões e controle de monorepo via pnpm e Turborepo.</w:t>
      </w:r>
    </w:p>
    <w:p>
      <w:pPr>
        <w:pStyle w:val="Heading3"/>
        <w:spacing w:before="240" w:after="120"/>
      </w:pPr>
      <w:r>
        <w:t xml:space="preserve">3. Ressalvas Técnicas (Condições Obrigatórias de Aprovação)</w:t>
      </w:r>
    </w:p>
    <w:p>
      <w:r>
        <w:t xml:space="preserve">3.1 RESSALVA 1 — Lista canônica de schemas incompleta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Problema:</w:t>
      </w:r>
      <w:r>
        <w:t xml:space="preserve"> o plano menciona que a migração inicial 000 criará apenas 14 schemas no PostgreSQL. O contrato global do CLAUDE.md estabelece 19 schemas canônicos.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Correção exigida:</w:t>
      </w:r>
      <w:r>
        <w:t xml:space="preserve"> a migração 000 deve provisionar obrigatoriamente os </w:t>
      </w:r>
      <w:r>
        <w:rPr>
          <w:b/>
          <w:bCs/>
        </w:rPr>
        <w:t xml:space="preserve">19 schemas</w:t>
      </w:r>
      <w:r>
        <w:t xml:space="preserve"> desde o início: identity, professional, stock, recruitment, market, communication, mro, ops, training, airport, ledger, protocol, documents, signatures, catalog, subscriptions, oauth, compliance e notifications. Isso previne futuras migrações destrutivas na chegada das Fases 5 a 8.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Marco afetado:</w:t>
      </w:r>
      <w:r>
        <w:t xml:space="preserve"> M0.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Status:</w:t>
      </w:r>
      <w:r>
        <w:t xml:space="preserve"> ☐ Pendente de incorporação.</w:t>
      </w:r>
    </w:p>
    <w:p>
      <w:r>
        <w:t xml:space="preserve">3.2 RESSALVA 2 — Especificação de particionamento do Ledger vs. Chave global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Problema:</w:t>
      </w:r>
      <w:r>
        <w:t xml:space="preserve"> a especificação define block_index BIGSERIAL global. No PostgreSQL, índices únicos e chaves primárias globais não operam nativamente de forma simples sobre tabelas particionadas por mês sem inclusão da chave de partição.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Correção exigida:</w:t>
      </w:r>
      <w:r>
        <w:t xml:space="preserve"> adotar uma das seguintes alternativas sem ambiguidade:
</w:t>
      </w:r>
      <w:r>
        <w:rPr>
          <w:i/>
          <w:iCs/>
        </w:rPr>
        <w:t xml:space="preserve">Opção A (Particionado):</w:t>
      </w:r>
      <w:r>
        <w:t xml:space="preserve"> manter particionamento mensal com sequence global dedicada para block_index, índices UNIQUE por partição e função verify_chain explicitamente construída para iterar pelas partições ordenadas por created_at.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i/>
          <w:iCs/>
        </w:rPr>
        <w:t xml:space="preserve">Opção B (Tabela única):</w:t>
      </w:r>
      <w:r>
        <w:t xml:space="preserve"> simplificar para tabela ledger.ledger_blocks única com índice composto em created_at e block_index, postergando o particionamento para quando houver escala massiva de produção.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 opção selecionada deve ser expressamente documentada no relatório técnico do marco.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Marco afetado:</w:t>
      </w:r>
      <w:r>
        <w:t xml:space="preserve"> M1.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Status:</w:t>
      </w:r>
      <w:r>
        <w:t xml:space="preserve"> ☐ Pendente de incorporação.</w:t>
      </w:r>
    </w:p>
    <w:p>
      <w:r>
        <w:t xml:space="preserve">3.3 RESSALVA 3 — Injeção de contexto de sessão para RLS via camada HTTP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Problema:</w:t>
      </w:r>
      <w:r>
        <w:t xml:space="preserve"> as funções de segurança current_tenant_ids() e current_company_ids() exigem variáveis de sessão do banco de dados. Se o gateway/auth não injetar esse contexto antes da execução das queries, o Row-Level Security funcionará apenas em testes manuais via terminal SQL (psql), falhando totalmente nas requisições HTTP da API.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Correção exigida:</w:t>
      </w:r>
      <w:r>
        <w:t xml:space="preserve"> definir como entregável obrigatório do middleware/interceptor do gateway a extração do token JWT e a execução transacional de SET LOCAL app.tenant_ids = ... e SET LOCAL app.company_ids = ... a cada requisição antes de delegar a query aos repositórios. O teste de RLS deve comprovar o bloqueio (código HTTP 403) diretamente via chamadas de API.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Marco afetado:</w:t>
      </w:r>
      <w:r>
        <w:t xml:space="preserve"> M2 e M3.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Status:</w:t>
      </w:r>
      <w:r>
        <w:t xml:space="preserve"> ☐ Pendente de incorporação.</w:t>
      </w:r>
    </w:p>
    <w:p>
      <w:r>
        <w:t xml:space="preserve">3.4 RESSALVA 4 — Conformidade LGPD vs. Imutabilidade do Ledger (Pseudonimização)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Problema:</w:t>
      </w:r>
      <w:r>
        <w:t xml:space="preserve"> a imutabilidade da </w:t>
      </w:r>
      <w:r>
        <w:rPr>
          <w:i/>
          <w:iCs/>
        </w:rPr>
        <w:t xml:space="preserve">Resolução ANAC nº 458/2017</w:t>
      </w:r>
      <w:r>
        <w:t xml:space="preserve"> proíbe a exclusão de blocos, enquanto a </w:t>
      </w:r>
      <w:r>
        <w:rPr>
          <w:i/>
          <w:iCs/>
        </w:rPr>
        <w:t xml:space="preserve">Lei nº 13.709/2018 (LGPD)</w:t>
      </w:r>
      <w:r>
        <w:t xml:space="preserve"> exige o direito à anonimização/eliminação de dados pessoais. Se o payload do Ledger contiver dados pessoais não tratados em claro, haverá conflito regulatório insolúvel.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Correção exigida:</w:t>
      </w:r>
      <w:r>
        <w:t xml:space="preserve"> o payload JSON armazenado no bloco do Ledger </w:t>
      </w:r>
      <w:r>
        <w:rPr>
          <w:b/>
          <w:bCs/>
        </w:rPr>
        <w:t xml:space="preserve">jamais poderá conter PII crua</w:t>
      </w:r>
      <w:r>
        <w:t xml:space="preserve"> (nomes civis, CPFs, e-mails, telefones ou endereços). O Ledger deve registrar exclusivamente identificadores UUID, metadados de domínio, hashes SHA-256 e estruturas pseudonimizadas. O módulo de dados cadastrais da Rconta guarda a informação civil que poderá ser anonimizada sem quebrar a integridade criptográfica da cadeia.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Marco afetado:</w:t>
      </w:r>
      <w:r>
        <w:t xml:space="preserve"> M1 (motor) e M4 (documentos/privacidade).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Status:</w:t>
      </w:r>
      <w:r>
        <w:t xml:space="preserve"> ☐ Pendente de incorporação.</w:t>
      </w:r>
    </w:p>
    <w:p>
      <w:r>
        <w:t xml:space="preserve">3.5 RESSALVA 5 — Atomicidade e garantia anticoncorrência no Protocolo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Problema:</w:t>
      </w:r>
      <w:r>
        <w:t xml:space="preserve"> sob requisições concorrentes massivas, a geração do protocolo formatado AAAA-NNNNNN pode sofrer condições de corrida (</w:t>
      </w:r>
      <w:r>
        <w:rPr>
          <w:i/>
          <w:iCs/>
        </w:rPr>
        <w:t xml:space="preserve">race conditions</w:t>
      </w:r>
      <w:r>
        <w:t xml:space="preserve">), resultando em duplicidades ou gaps sequenciais não controlados.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Correção exigida:</w:t>
      </w:r>
      <w:r>
        <w:t xml:space="preserve"> implementar constraint estrita UNIQUE (protocol_year, sequence_number) associada ao uso obrigatório de pg_advisory_xact_lock no momento da reserva sequencial dentro da transação. O teste automatizado de estresse deve submeter emissões concorrentes paralelas e comprovar colisão zero.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Marco afetado:</w:t>
      </w:r>
      <w:r>
        <w:t xml:space="preserve"> M1.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Status:</w:t>
      </w:r>
      <w:r>
        <w:t xml:space="preserve"> ☐ Pendente de incorporação.</w:t>
      </w:r>
    </w:p>
    <w:p>
      <w:r>
        <w:t xml:space="preserve">3.6 RESSALVA 6 — Observabilidade base e explicitação de fronteiras de escopo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Problema:</w:t>
      </w:r>
      <w:r>
        <w:t xml:space="preserve"> ausência de especificação inicial de rotas de integridade sistêmica e falta de demarcação formal para componentes satélites (como Central de Comunicação e RLoja).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Correção exigida:</w:t>
      </w:r>
      <w:r>
        <w:t xml:space="preserve">
Incluir em todos os serviços a rota padronizada GET /health respondendo { "success": true, "data": { "status": "ok" } } e logging estruturado via biblioteca pino desde o marco M0.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Declarar explicitamente no relatório de escopo que a Central de Comunicação (Chat/E-mails/Comunicados) e a RLoja são componentes pertencentes à Fase 8, evitando expectativas funcionais prematuras nas Fases 1 a 3.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Marco afetado:</w:t>
      </w:r>
      <w:r>
        <w:t xml:space="preserve"> M0 e relatório de encerramento do M6/M7.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Status:</w:t>
      </w:r>
      <w:r>
        <w:t xml:space="preserve"> ☐ Pendente de incorporação.</w:t>
      </w:r>
    </w:p>
    <w:p>
      <w:pPr>
        <w:pStyle w:val="Heading3"/>
        <w:spacing w:before="240" w:after="120"/>
      </w:pPr>
      <w:r>
        <w:t xml:space="preserve">4. Critérios de Aceite Adicionais por Marco</w:t>
      </w:r>
    </w:p>
    <w:p>
      <w:pPr>
        <w:spacing w:before="60" w:after="120" w:line="276"/>
        <w:jc w:val="both"/>
      </w:pPr>
      <w:r>
        <w:t xml:space="preserve">A tabela abaixo consolida as verificações que devem ser realizadas antes da homologação de cada etapa: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Critério Original do Plano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Critérios Adicionais (Ressalvas VORTEX)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Monorepo Turborepo + Docker Compose base + Migração 000.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Provisionamento completo dos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19 schemas canônicos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GET /health e logger pino configurados em todos os microserviços.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Ledger imutável + Protocolo AAAA-NNNNNN + Auditoria.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Definição técnica da arquitetura de particionamento/tabela única; pg_advisory_xact_lock no protocolo;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payload 100% pseudonimizado (sem PII em claro)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(JWT, 2FA TOTP, sessões) + Gateway (Rate limit, Idempotência).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Middleware de Gateway injetando transacionalmente SET LOCAL app.tenant_ids e app.company_ids a cada request; padronização { success, data, error }.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Rconta backend (Identity, Professional, Stock, Recruitment, Catalog/Subscriptions mínimos).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Comprovação de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RLS via chamadas HTTP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(cenários de acesso cruzado resultando em 403 Forbidden); validações N1 operacionais; vínculo misto bidirecional.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Documentos MinIO + VORTEX Sign (3 níveis, verificação, hash).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de conformidade LGPD: certificar que ações de exclusão cadastral não quebram o Ledger e que documentos selados preservam hash SHA-256 e assinatura.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Shell federada + UI-Core + Rconta completa (7 módulos + 2 menus).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 ValidationBadge refletindo estados N0 a N3; isolamento de falha nos remotes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stub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alternância de temas Claro/Escuro/Personalizado operacional.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Bateria de testes de aceite das Partes 1–3 + Relatório DoD.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Relatório explícito contendo itens executados e lacunas declaradas (Regra 10); validação de 100% dos testes unitários, de integração e de concorrência.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Exportação VPS (Docker Compose Prod, backup/restore, scripts).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Scripts backup.sh (pg_dump + MinIO mirror) e restore.sh validados em ambiente limpo; checklist README-VPS.md testado; checklist final preenchido.</w:t>
            </w:r>
          </w:p>
        </w:tc>
      </w:tr>
    </w:tbl>
    <w:p>
      <w:pPr>
        <w:pStyle w:val="Heading3"/>
        <w:spacing w:before="240" w:after="120"/>
      </w:pPr>
      <w:r>
        <w:t xml:space="preserve">5. Condições Gerais de Execução</w:t>
      </w:r>
    </w:p>
    <w:p>
      <w:pPr>
        <w:spacing w:before="60" w:after="120" w:line="276"/>
        <w:jc w:val="both"/>
      </w:pPr>
      <w:r>
        <w:rPr>
          <w:b/>
          <w:bCs/>
        </w:rPr>
        <w:t xml:space="preserve">1. Sequenciamento Estrito:</w:t>
      </w:r>
      <w:r>
        <w:t xml:space="preserve"> nenhum marco de trabalho poderá ser iniciado antes que o anterior tenha sido formalmente concluído, testado e registrado em conformidade com seus respectivos critérios de aceite.</w:t>
      </w:r>
    </w:p>
    <w:p>
      <w:pPr>
        <w:spacing w:before="60" w:after="120" w:line="276"/>
        <w:jc w:val="both"/>
      </w:pPr>
      <w:r>
        <w:rPr>
          <w:b/>
          <w:bCs/>
        </w:rPr>
        <w:t xml:space="preserve">2. Transparência de Engenharia (Regra 10):</w:t>
      </w:r>
      <w:r>
        <w:t xml:space="preserve"> ao término de cada marco, o relatório de status deve expor taxativamente o que foi entregue e o que </w:t>
      </w:r>
      <w:r>
        <w:rPr>
          <w:b/>
          <w:bCs/>
        </w:rPr>
        <w:t xml:space="preserve">NÃO</w:t>
      </w:r>
      <w:r>
        <w:t xml:space="preserve"> foi entregue, detalhando o estado de conformidade de cada uma das ressalvas aplicáveis.</w:t>
      </w:r>
    </w:p>
    <w:p>
      <w:pPr>
        <w:spacing w:before="60" w:after="120" w:line="276"/>
        <w:jc w:val="both"/>
      </w:pPr>
      <w:r>
        <w:rPr>
          <w:b/>
          <w:bCs/>
        </w:rPr>
        <w:t xml:space="preserve">3. Prevalência Contratual:</w:t>
      </w:r>
      <w:r>
        <w:t xml:space="preserve"> na ocorrência de qualquer discrepância técnica entre o plano proposto e os arquivos de especificação contidos na pasta de governança, prevalecerão soberanamente o CLAUDE.md e as diretrizes regulatórias de docs/07-delimitacao.md.</w:t>
      </w:r>
    </w:p>
    <w:p>
      <w:pPr>
        <w:spacing w:before="60" w:after="120" w:line="276"/>
        <w:jc w:val="both"/>
      </w:pPr>
      <w:r>
        <w:rPr>
          <w:b/>
          <w:bCs/>
        </w:rPr>
        <w:t xml:space="preserve">4. Parâmetros Regulatórios:</w:t>
      </w:r>
      <w:r>
        <w:t xml:space="preserve"> prazos, severidades de alertas, tolerâncias e métricas normativas (como a janela de 90 dias para exames toxicológicos de ARSO ou o tempo de resposta do SESCINC) devem seguir estritamente as tabelas de referência canônica.</w:t>
      </w:r>
    </w:p>
    <w:p>
      <w:pPr>
        <w:spacing w:before="60" w:after="120" w:line="276"/>
        <w:jc w:val="both"/>
      </w:pPr>
      <w:r>
        <w:rPr>
          <w:b/>
          <w:bCs/>
        </w:rPr>
        <w:t xml:space="preserve">5. Homologação Final:</w:t>
      </w:r>
      <w:r>
        <w:t xml:space="preserve"> a validação definitiva do ciclo M0–M7 na exportação para VPS exigirá a entrega de um sumário executivo com a confirmação expressa do cumprimento de todas as 6 ressalvas deste documento.</w:t>
      </w:r>
    </w:p>
    <w:p>
      <w:pPr>
        <w:pStyle w:val="Heading3"/>
        <w:spacing w:before="240" w:after="120"/>
      </w:pPr>
      <w:r>
        <w:t xml:space="preserve">6. Checklist de Conformidade Técnica para o Agente</w:t>
      </w:r>
    </w:p>
    <w:p>
      <w:pPr>
        <w:spacing w:before="60" w:after="120" w:line="276"/>
        <w:jc w:val="both"/>
      </w:pPr>
      <w:r>
        <w:t xml:space="preserve">O agente de execução deve manter o seguinte controle de conformidade durante o desenvolvimento: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Ressalva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Correção Exigida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Marco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 de Cumprimento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Ressalva 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Criação integral dos 19 schemas na migração 000.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Pendente     ☒ Cumprida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Ressalva 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Definição da estratégia de particionamento vs. tabela única e índice.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Pendente     ☒ Cumprida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Ressalva 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Injeção de SET LOCAL no Gateway e testes de RLS via chamadas HTTP.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M2 / M3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Pendente     ☒ Cumprida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Ressalva 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Pseudonimização total de PII nos payloads gravados no Ledger.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M1 / M4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Pendente     ☒ Cumprida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Ressalva 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Constraint UNIQUE e lock transacional na emissão de protocolos.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Pendente     ☒ Cumprida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Ressalva 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Padronização de GET /health, logger pino e demarcação de escopo.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M0 / M7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Pendente     ☒ Cumprida</w:t>
            </w:r>
          </w:p>
        </w:tc>
      </w:tr>
    </w:tbl>
    <w:p>
      <w:pPr>
        <w:spacing w:before="60" w:after="120" w:line="276"/>
      </w:pPr>
      <w:r>
        <w:t xml:space="preserve">"Instrução ao Agente: confirme o recebimento e o entendimento deste documento, preenchendo o status das ressalvas antes de submeter os entregáveis dos respectivos marcos."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rPr>
          <w:i/>
          <w:iCs/>
        </w:rPr>
        <w:t xml:space="preserve">Documento elaborado em 07 de setembro de 2026. As informações contidas são de responsabilidade do solicitante.</w:t>
      </w:r>
      <w:r>
        <w:br/>
      </w:r>
    </w:p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VORTEX — Documento de governança. Uso interno restrito.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2026-09-07T20:05:35.524Z</dcterms:created>
  <dcterms:modified xsi:type="dcterms:W3CDTF">2026-09-07T20:05:35.524Z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