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QA — Assinaturas formais</w:t>
      </w:r>
    </w:p>
    <w:p>
      <w:pPr>
        <w:pStyle w:val="Subtitle"/>
      </w:pPr>
      <w:r>
        <w:t>77Gira | Fase 6 — assinatura eletrônica reforçada própria | Versão de validação local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880"/>
      </w:tblGrid>
      <w:tr>
        <w:tc>
          <w:tcPr>
            <w:tcW w:type="dxa" w:w="8880"/>
            <w:shd w:fill="EAF2FF"/>
            <w:tcBorders>
              <w:top w:val="single" w:sz="6" w:color="BFD3F2"/>
              <w:left w:val="single" w:sz="6" w:color="BFD3F2"/>
              <w:bottom w:val="single" w:sz="6" w:color="BFD3F2"/>
              <w:right w:val="single" w:sz="6" w:color="BFD3F2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18"/>
              </w:rPr>
              <w:t xml:space="preserve">OBJETIVO  </w:t>
            </w:r>
            <w:r>
              <w:rPr>
                <w:color w:val="14213D"/>
                <w:sz w:val="18"/>
              </w:rPr>
              <w:t>Validar, de ponta a ponta, a emissão, o convite, a assinatura, a recusa, o cancelamento e a trilha de auditoria dos documentos formais para todas as personas antes de levar a versão para produção.</w:t>
            </w:r>
          </w:p>
        </w:tc>
      </w:tr>
    </w:tbl>
    <w:p>
      <w:pPr>
        <w:spacing w:after="0"/>
      </w:pPr>
    </w:p>
    <w:p>
      <w:pPr>
        <w:pStyle w:val="Heading1"/>
      </w:pPr>
      <w:r>
        <w:t>1. Escopo e critério de aprovação</w:t>
      </w:r>
    </w:p>
    <w:p>
      <w:r>
        <w:t>Este manual testa somente o fluxo de assinatura formal reforçada. Ele não substitui a revisão jurídica do conteúdo dos documentos nem testa campanhas, publicidade ou consentimentos comuns fora do envelope formal.</w:t>
      </w:r>
    </w:p>
    <w:p>
      <w:pPr>
        <w:pStyle w:val="ListBullet"/>
        <w:spacing w:after="60"/>
      </w:pPr>
      <w:r>
        <w:t>A assinatura só pode ser concluída pelo destinatário correto, autenticado na conta correspondente ao e-mail convidado.</w:t>
      </w:r>
    </w:p>
    <w:p>
      <w:pPr>
        <w:pStyle w:val="ListBullet"/>
        <w:spacing w:after="60"/>
      </w:pPr>
      <w:r>
        <w:t>A confirmação exige senha atual e código único enviado por e-mail; os dois registros devem gerar evidência auditável.</w:t>
      </w:r>
    </w:p>
    <w:p>
      <w:pPr>
        <w:pStyle w:val="ListBullet"/>
        <w:spacing w:after="60"/>
      </w:pPr>
      <w:r>
        <w:t>Ações irreversíveis ou de alto impacto precisam deixar protocolo, responsável, data/hora e motivo quando aplicável.</w:t>
      </w:r>
    </w:p>
    <w:p>
      <w:pPr>
        <w:pStyle w:val="ListBullet"/>
        <w:spacing w:after="60"/>
      </w:pPr>
      <w:r>
        <w:t>Nenhum cenário bloqueante pode ficar aberto antes da publicação.</w:t>
      </w:r>
    </w:p>
    <w:p>
      <w:pPr>
        <w:pStyle w:val="Heading1"/>
      </w:pPr>
      <w:r>
        <w:t>2. Preparação do ambiente local</w:t>
      </w:r>
    </w:p>
    <w:p>
      <w:pPr>
        <w:pStyle w:val="ListNumber"/>
        <w:spacing w:after="80"/>
      </w:pPr>
      <w:r>
        <w:t>Use uma base local de testes e contas fictícias. Não use dados pessoais reais, documentos reais ou senhas de produção.</w:t>
      </w:r>
    </w:p>
    <w:p>
      <w:pPr>
        <w:pStyle w:val="ListNumber"/>
        <w:spacing w:after="80"/>
      </w:pPr>
      <w:r>
        <w:t>Confirme que o backend e o frontend estão ativos. Acesse o app em http://localhost:5173.</w:t>
      </w:r>
    </w:p>
    <w:p>
      <w:pPr>
        <w:pStyle w:val="ListNumber"/>
        <w:spacing w:after="80"/>
      </w:pPr>
      <w:r>
        <w:t>Confirme que existe ao menos uma versão documental com estado “Aprovada”, “Agendada” ou “Ativa”. Versões em rascunho não devem poder gerar assinatura.</w:t>
      </w:r>
    </w:p>
    <w:p>
      <w:pPr>
        <w:pStyle w:val="ListNumber"/>
        <w:spacing w:after="80"/>
      </w:pPr>
      <w:r>
        <w:t>Verifique a entrega de e-mail local. Use caixas de teste acessíveis para receber convite e código. Caso o envio esteja intencionalmente desativado, registre o caso como bloqueado — não o marque como aprovado.</w:t>
      </w:r>
    </w:p>
    <w:p>
      <w:pPr>
        <w:pStyle w:val="ListNumber"/>
        <w:spacing w:after="80"/>
      </w:pPr>
      <w:r>
        <w:t>Se o Prisma pedir para redefinir o schema local e apagar tudo, responda N. Não aceite uma redefinição apenas para esta validação.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880"/>
      </w:tblGrid>
      <w:tr>
        <w:tc>
          <w:tcPr>
            <w:tcW w:type="dxa" w:w="8880"/>
            <w:shd w:fill="FDF5FF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18"/>
              </w:rPr>
              <w:t xml:space="preserve">COMANDOS LOCAIS  </w:t>
            </w:r>
            <w:r>
              <w:rPr>
                <w:color w:val="14213D"/>
                <w:sz w:val="18"/>
              </w:rPr>
              <w:t>Backend: abra C:\Users\edils\OneDrive\Documentos\New project\backend e rode npm run dev. Frontend: abra C:\Users\edils\OneDrive\Documentos\New project\frontend e rode npm run dev.</w:t>
            </w:r>
          </w:p>
        </w:tc>
      </w:tr>
    </w:tbl>
    <w:p>
      <w:pPr>
        <w:spacing w:after="0"/>
      </w:pPr>
    </w:p>
    <w:p>
      <w:pPr>
        <w:pStyle w:val="Heading1"/>
      </w:pPr>
      <w:r>
        <w:t>3. Massa de teste mínima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450"/>
        <w:gridCol w:w="2450"/>
        <w:gridCol w:w="2180"/>
      </w:tblGrid>
      <w:tr>
        <w:tc>
          <w:tcPr>
            <w:tcW w:type="dxa" w:w="180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45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Conta de teste</w:t>
            </w:r>
          </w:p>
        </w:tc>
        <w:tc>
          <w:tcPr>
            <w:tcW w:type="dxa" w:w="245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Documento recomendado</w:t>
            </w:r>
          </w:p>
        </w:tc>
        <w:tc>
          <w:tcPr>
            <w:tcW w:type="dxa" w:w="218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Administrador master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admin.teste@exemplo.local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Termos internos / emissão</w:t>
            </w:r>
          </w:p>
        </w:tc>
        <w:tc>
          <w:tcPr>
            <w:tcW w:type="dxa" w:w="21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Emite, acompanha, reenvia e cancela envelopes.</w:t>
            </w:r>
          </w:p>
        </w:tc>
      </w:tr>
      <w:tr>
        <w:tc>
          <w:tcPr>
            <w:tcW w:type="dxa" w:w="1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Usuário comum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publico.teste@exemplo.local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Termos de Uso ou política aplicável</w:t>
            </w:r>
          </w:p>
        </w:tc>
        <w:tc>
          <w:tcPr>
            <w:tcW w:type="dxa" w:w="21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Recebe, abre e assina somente o próprio convite.</w:t>
            </w:r>
          </w:p>
        </w:tc>
      </w:tr>
      <w:tr>
        <w:tc>
          <w:tcPr>
            <w:tcW w:type="dxa" w:w="1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Casa ou produtor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casa.teste@exemplo.local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Termo de casa/produtor</w:t>
            </w:r>
          </w:p>
        </w:tc>
        <w:tc>
          <w:tcPr>
            <w:tcW w:type="dxa" w:w="21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Assina como representante da operação.</w:t>
            </w:r>
          </w:p>
        </w:tc>
      </w:tr>
      <w:tr>
        <w:tc>
          <w:tcPr>
            <w:tcW w:type="dxa" w:w="1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Artista / gestor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artista.teste@exemplo.local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Termo de reivindicação e gestão</w:t>
            </w:r>
          </w:p>
        </w:tc>
        <w:tc>
          <w:tcPr>
            <w:tcW w:type="dxa" w:w="21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Assina como responsável pelo perfil.</w:t>
            </w:r>
          </w:p>
        </w:tc>
      </w:tr>
      <w:tr>
        <w:tc>
          <w:tcPr>
            <w:tcW w:type="dxa" w:w="1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Anunciante / marca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anunciante.teste@exemplo.local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Termos de publicidade</w:t>
            </w:r>
          </w:p>
        </w:tc>
        <w:tc>
          <w:tcPr>
            <w:tcW w:type="dxa" w:w="21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Assina como representante comercial.</w:t>
            </w:r>
          </w:p>
        </w:tc>
      </w:tr>
      <w:tr>
        <w:tc>
          <w:tcPr>
            <w:tcW w:type="dxa" w:w="1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Conta sem permissão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restrita.teste@exemplo.local</w:t>
            </w:r>
          </w:p>
        </w:tc>
        <w:tc>
          <w:tcPr>
            <w:tcW w:type="dxa" w:w="24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Qualquer documento</w:t>
            </w:r>
          </w:p>
        </w:tc>
        <w:tc>
          <w:tcPr>
            <w:tcW w:type="dxa" w:w="21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7"/>
              </w:rPr>
              <w:t>Não acessa Operações nem assinatura de terceiros.</w:t>
            </w:r>
          </w:p>
        </w:tc>
      </w:tr>
    </w:tbl>
    <w:p>
      <w:pPr>
        <w:pStyle w:val="Heading1"/>
      </w:pPr>
      <w:r>
        <w:t>4. Roteiro principal — emissão até conclusão</w:t>
      </w:r>
    </w:p>
    <w:p>
      <w:pPr>
        <w:pStyle w:val="Heading2"/>
      </w:pPr>
      <w:r>
        <w:t>4.1 Administrador: criar e emitir</w:t>
      </w:r>
    </w:p>
    <w:p>
      <w:pPr>
        <w:pStyle w:val="ListNumber"/>
        <w:spacing w:after="80"/>
      </w:pPr>
      <w:r>
        <w:t>Entre como administrador e abra Central de Operações &gt; Documentos &gt; Assinaturas formais.</w:t>
      </w:r>
    </w:p>
    <w:p>
      <w:pPr>
        <w:pStyle w:val="ListNumber"/>
        <w:spacing w:after="80"/>
      </w:pPr>
      <w:r>
        <w:t>Crie um envelope usando uma versão documental elegível, informe nome, e-mail e papel da pessoa signatária e defina o prazo de assinatura.</w:t>
      </w:r>
    </w:p>
    <w:p>
      <w:pPr>
        <w:pStyle w:val="ListNumber"/>
        <w:spacing w:after="80"/>
      </w:pPr>
      <w:r>
        <w:t>Envie o convite. Registre o protocolo exibido e confira o status inicial: “Pendente de assinatura”.</w:t>
      </w:r>
    </w:p>
    <w:p>
      <w:pPr>
        <w:pStyle w:val="ListNumber"/>
        <w:spacing w:after="80"/>
      </w:pPr>
      <w:r>
        <w:t>Verifique se o destinatário, versão, data de emissão, autor e prazo aparecem corretamente na listagem operacional.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880"/>
      </w:tblGrid>
      <w:tr>
        <w:tc>
          <w:tcPr>
            <w:tcW w:type="dxa" w:w="8880"/>
            <w:shd w:fill="DDF5E8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18"/>
              </w:rPr>
              <w:t xml:space="preserve">APROVAR  </w:t>
            </w:r>
            <w:r>
              <w:rPr>
                <w:color w:val="14213D"/>
                <w:sz w:val="18"/>
              </w:rPr>
              <w:t>O envelope criado é individual, contém o conteúdo congelado da versão documental e não pode ser atribuído a um e-mail diferente depois de emitido.</w:t>
            </w:r>
          </w:p>
        </w:tc>
      </w:tr>
    </w:tbl>
    <w:p>
      <w:pPr>
        <w:spacing w:after="0"/>
      </w:pPr>
    </w:p>
    <w:p>
      <w:pPr>
        <w:pStyle w:val="Heading2"/>
      </w:pPr>
      <w:r>
        <w:t>4.2 Destinatário: abrir e assinar</w:t>
      </w:r>
    </w:p>
    <w:p>
      <w:pPr>
        <w:pStyle w:val="ListNumber"/>
        <w:spacing w:after="80"/>
      </w:pPr>
      <w:r>
        <w:t>Abra o convite no e-mail ou entre no 77Gira com a conta cujo e-mail é exatamente o convidado.</w:t>
      </w:r>
    </w:p>
    <w:p>
      <w:pPr>
        <w:pStyle w:val="ListNumber"/>
        <w:spacing w:after="80"/>
      </w:pPr>
      <w:r>
        <w:t>Em Configurações &gt; Documentos e aceites &gt; Assinaturas formais, abra o convite pendente.</w:t>
      </w:r>
    </w:p>
    <w:p>
      <w:pPr>
        <w:pStyle w:val="ListNumber"/>
        <w:spacing w:after="80"/>
      </w:pPr>
      <w:r>
        <w:t>Leia o documento congelado, solicite o código por e-mail e aguarde seu recebimento.</w:t>
      </w:r>
    </w:p>
    <w:p>
      <w:pPr>
        <w:pStyle w:val="ListNumber"/>
        <w:spacing w:after="80"/>
      </w:pPr>
      <w:r>
        <w:t>Digite a senha atual da conta, o código de seis dígitos e confirme a ciência da assinatura.</w:t>
      </w:r>
    </w:p>
    <w:p>
      <w:pPr>
        <w:pStyle w:val="ListNumber"/>
        <w:spacing w:after="80"/>
      </w:pPr>
      <w:r>
        <w:t>Confira a mensagem de sucesso e o status “Assinado” ou “Concluído”.</w:t>
      </w:r>
    </w:p>
    <w:p>
      <w:pPr>
        <w:pStyle w:val="ListNumber"/>
        <w:spacing w:after="80"/>
      </w:pPr>
      <w:r>
        <w:t>Volte à Central de Operações: o protocolo deve indicar quem assinou, quando e o método de evidência.</w:t>
      </w:r>
    </w:p>
    <w:p>
      <w:pPr>
        <w:pStyle w:val="Heading1"/>
      </w:pPr>
      <w:r>
        <w:t>5. Cenários obrigatórios por persona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0"/>
        <w:gridCol w:w="1750"/>
        <w:gridCol w:w="2700"/>
        <w:gridCol w:w="2650"/>
        <w:gridCol w:w="1020"/>
      </w:tblGrid>
      <w:tr>
        <w:tc>
          <w:tcPr>
            <w:tcW w:type="dxa" w:w="76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5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70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265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02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OK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SA-01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Administrador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Emitir envelope para cada uma das quatro personas externas.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Somente versões elegíveis aparecem; cada convite recebe protocolo próprio.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SA-02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Usuário comum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Abrir, solicitar código e assinar o próprio convite.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Assinatura concluída com senha + código; não há acesso a outros envelopes.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SA-03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Casa/produtor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Assinar termo operacional na conta da casa ou produtor.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Fluxo igual ao usuário; papel do participante é preservado no registro.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SA-04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Artista/gestor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Assinar termo de reivindicação/gestão.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Documento, identidade e data/hora corretos; status final atualizado.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SA-05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Anunciante/marca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Assinar termos de publicidade.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Assinatura individual é concluída e fica ligada ao representante convidado.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SA-06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Conta restrita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Tentar abrir Central de Operações e URL de assinatura de outra conta.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Acesso negado ou ausência total de dados de terceiros.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SA-07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Administrador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Reenviar convite pendente.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Novo envio é registrado sem criar duplicidade de assinatura.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SA-08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Administrador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Cancelar envelope pendente, com motivo válido.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Status “Cancelado”; assinatura posterior fica bloqueada; auditoria registra o motivo.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  <w:tr>
        <w:tc>
          <w:tcPr>
            <w:tcW w:type="dxa" w:w="76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SA-09</w:t>
            </w:r>
          </w:p>
        </w:tc>
        <w:tc>
          <w:tcPr>
            <w:tcW w:type="dxa" w:w="17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Destinatário</w:t>
            </w:r>
          </w:p>
        </w:tc>
        <w:tc>
          <w:tcPr>
            <w:tcW w:type="dxa" w:w="27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Recusar assinatura, com motivo de pelo menos 10 caracteres.</w:t>
            </w:r>
          </w:p>
        </w:tc>
        <w:tc>
          <w:tcPr>
            <w:tcW w:type="dxa" w:w="265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Status “Recusado”; motivo fica rastreável; não há conclusão do envelope.</w:t>
            </w:r>
          </w:p>
        </w:tc>
        <w:tc>
          <w:tcPr>
            <w:tcW w:type="dxa" w:w="102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>☐</w:t>
            </w:r>
          </w:p>
        </w:tc>
      </w:tr>
    </w:tbl>
    <w:p>
      <w:pPr>
        <w:pStyle w:val="Heading1"/>
      </w:pPr>
      <w:r>
        <w:t>6. Cenários de segurança e exceção</w:t>
      </w:r>
    </w:p>
    <w:p>
      <w:pPr>
        <w:pStyle w:val="Heading3"/>
      </w:pPr>
      <w:r>
        <w:t>SE-01 — Senha errada</w:t>
      </w:r>
    </w:p>
    <w:p>
      <w:r>
        <w:rPr>
          <w:b/>
        </w:rPr>
        <w:t xml:space="preserve">Ação: </w:t>
      </w:r>
      <w:r>
        <w:t>Informe uma senha atual incorreta.</w:t>
      </w:r>
      <w:r>
        <w:rPr>
          <w:b/>
        </w:rPr>
        <w:t xml:space="preserve">  Resultado esperado: </w:t>
      </w:r>
      <w:r>
        <w:t>A confirmação falha sem registrar assinatura; mensagem explica que a senha não confere.</w:t>
      </w:r>
    </w:p>
    <w:p>
      <w:pPr>
        <w:pStyle w:val="Heading3"/>
      </w:pPr>
      <w:r>
        <w:t>SE-02 — Código errado</w:t>
      </w:r>
    </w:p>
    <w:p>
      <w:r>
        <w:rPr>
          <w:b/>
        </w:rPr>
        <w:t xml:space="preserve">Ação: </w:t>
      </w:r>
      <w:r>
        <w:t>Informe um código inválido.</w:t>
      </w:r>
      <w:r>
        <w:rPr>
          <w:b/>
        </w:rPr>
        <w:t xml:space="preserve">  Resultado esperado: </w:t>
      </w:r>
      <w:r>
        <w:t>A confirmação falha; envelope continua pendente.</w:t>
      </w:r>
    </w:p>
    <w:p>
      <w:pPr>
        <w:pStyle w:val="Heading3"/>
      </w:pPr>
      <w:r>
        <w:t>SE-03 — Código expirado ou reutilizado</w:t>
      </w:r>
    </w:p>
    <w:p>
      <w:r>
        <w:rPr>
          <w:b/>
        </w:rPr>
        <w:t xml:space="preserve">Ação: </w:t>
      </w:r>
      <w:r>
        <w:t>Use um código vencido ou já utilizado.</w:t>
      </w:r>
      <w:r>
        <w:rPr>
          <w:b/>
        </w:rPr>
        <w:t xml:space="preserve">  Resultado esperado: </w:t>
      </w:r>
      <w:r>
        <w:t>A confirmação falha; o sistema solicita um novo código.</w:t>
      </w:r>
    </w:p>
    <w:p>
      <w:pPr>
        <w:pStyle w:val="Heading3"/>
      </w:pPr>
      <w:r>
        <w:t>SE-04 — E-mail divergente</w:t>
      </w:r>
    </w:p>
    <w:p>
      <w:r>
        <w:rPr>
          <w:b/>
        </w:rPr>
        <w:t xml:space="preserve">Ação: </w:t>
      </w:r>
      <w:r>
        <w:t>Entre em outra conta e tente acessar o convite.</w:t>
      </w:r>
      <w:r>
        <w:rPr>
          <w:b/>
        </w:rPr>
        <w:t xml:space="preserve">  Resultado esperado: </w:t>
      </w:r>
      <w:r>
        <w:t>O convite não é listado nem pode ser aberto por URL direta.</w:t>
      </w:r>
    </w:p>
    <w:p>
      <w:pPr>
        <w:pStyle w:val="Heading3"/>
      </w:pPr>
      <w:r>
        <w:t>SE-05 — Versão não elegível</w:t>
      </w:r>
    </w:p>
    <w:p>
      <w:r>
        <w:rPr>
          <w:b/>
        </w:rPr>
        <w:t xml:space="preserve">Ação: </w:t>
      </w:r>
      <w:r>
        <w:t>Como admin, tente emitir a partir de rascunho/versão aposentada.</w:t>
      </w:r>
      <w:r>
        <w:rPr>
          <w:b/>
        </w:rPr>
        <w:t xml:space="preserve">  Resultado esperado: </w:t>
      </w:r>
      <w:r>
        <w:t>A versão não pode ser selecionada para emissão.</w:t>
      </w:r>
    </w:p>
    <w:p>
      <w:pPr>
        <w:pStyle w:val="Heading3"/>
      </w:pPr>
      <w:r>
        <w:t>SE-06 — Envelope cancelado</w:t>
      </w:r>
    </w:p>
    <w:p>
      <w:r>
        <w:rPr>
          <w:b/>
        </w:rPr>
        <w:t xml:space="preserve">Ação: </w:t>
      </w:r>
      <w:r>
        <w:t>Após cancelamento, tente assinar pelo destinatário.</w:t>
      </w:r>
      <w:r>
        <w:rPr>
          <w:b/>
        </w:rPr>
        <w:t xml:space="preserve">  Resultado esperado: </w:t>
      </w:r>
      <w:r>
        <w:t>A ação é bloqueada e o motivo do cancelamento permanece disponível.</w:t>
      </w:r>
    </w:p>
    <w:p>
      <w:pPr>
        <w:pStyle w:val="Heading3"/>
      </w:pPr>
      <w:r>
        <w:t>SE-07 — Falha de e-mail</w:t>
      </w:r>
    </w:p>
    <w:p>
      <w:r>
        <w:rPr>
          <w:b/>
        </w:rPr>
        <w:t xml:space="preserve">Ação: </w:t>
      </w:r>
      <w:r>
        <w:t>Em ambiente controlado sem entrega configurada, emita convite.</w:t>
      </w:r>
      <w:r>
        <w:rPr>
          <w:b/>
        </w:rPr>
        <w:t xml:space="preserve">  Resultado esperado: </w:t>
      </w:r>
      <w:r>
        <w:t>O envelope permanece rastreável e a operação informa falha de entrega; não deve simular sucesso.</w:t>
      </w:r>
    </w:p>
    <w:p>
      <w:pPr>
        <w:pStyle w:val="Heading1"/>
      </w:pPr>
      <w:r>
        <w:t>7. Checklist de auditoria</w:t>
      </w:r>
    </w:p>
    <w:p>
      <w:r>
        <w:t>Ao concluir pelo menos um caso de assinatura por persona, valide os itens abaixo na Central de Operações e, quando aplicável, na auditoria técnica:</w:t>
      </w:r>
    </w:p>
    <w:p>
      <w:pPr>
        <w:pStyle w:val="ListBullet"/>
        <w:spacing w:after="60"/>
      </w:pPr>
      <w:r>
        <w:t>☐ Protocolo único do envelope e versão documental congelada.</w:t>
      </w:r>
    </w:p>
    <w:p>
      <w:pPr>
        <w:pStyle w:val="ListBullet"/>
        <w:spacing w:after="60"/>
      </w:pPr>
      <w:r>
        <w:t>☐ Nome, e-mail e papel do participante conforme o convite emitido.</w:t>
      </w:r>
    </w:p>
    <w:p>
      <w:pPr>
        <w:pStyle w:val="ListBullet"/>
        <w:spacing w:after="60"/>
      </w:pPr>
      <w:r>
        <w:t>☐ Eventos de criação, visualização, envio/reenvio, assinatura, recusa ou cancelamento.</w:t>
      </w:r>
    </w:p>
    <w:p>
      <w:pPr>
        <w:pStyle w:val="ListBullet"/>
        <w:spacing w:after="60"/>
      </w:pPr>
      <w:r>
        <w:t>☐ Data/hora, responsável e motivo obrigatório em recusa/cancelamento.</w:t>
      </w:r>
    </w:p>
    <w:p>
      <w:pPr>
        <w:pStyle w:val="ListBullet"/>
        <w:spacing w:after="60"/>
      </w:pPr>
      <w:r>
        <w:t>☐ Evidências de senha e código de e-mail registradas sem expor senha ou código em texto aberto.</w:t>
      </w:r>
    </w:p>
    <w:p>
      <w:pPr>
        <w:pStyle w:val="ListBullet"/>
        <w:spacing w:after="60"/>
      </w:pPr>
      <w:r>
        <w:t>☐ Conteúdo do documento permanece igual ao que foi aceito, mesmo se uma nova versão for publicada depois.</w:t>
      </w:r>
    </w:p>
    <w:p>
      <w:pPr>
        <w:pStyle w:val="Heading1"/>
      </w:pPr>
      <w:r>
        <w:t>8. Critérios de liberação para produção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880"/>
      </w:tblGrid>
      <w:tr>
        <w:tc>
          <w:tcPr>
            <w:tcW w:type="dxa" w:w="8880"/>
            <w:shd w:fill="FDE8E7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18"/>
              </w:rPr>
              <w:t xml:space="preserve">NÃO PUBLICAR SE  </w:t>
            </w:r>
            <w:r>
              <w:rPr>
                <w:color w:val="14213D"/>
                <w:sz w:val="18"/>
              </w:rPr>
              <w:t>qualquer persona consegue visualizar ou assinar um convite de outra conta; uma assinatura conclui sem senha e código; convite é enviado ao e-mail errado; cancelamento/recusa não exige motivo; ou a trilha de auditoria fica incompleta.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☐ Todas as personas da tabela passaram no roteiro principal.</w:t>
      </w:r>
    </w:p>
    <w:p>
      <w:pPr>
        <w:pStyle w:val="ListBullet"/>
        <w:spacing w:after="60"/>
      </w:pPr>
      <w:r>
        <w:t>☐ Todos os cenários SE-01 a SE-06 foram bloqueados corretamente.</w:t>
      </w:r>
    </w:p>
    <w:p>
      <w:pPr>
        <w:pStyle w:val="ListBullet"/>
        <w:spacing w:after="60"/>
      </w:pPr>
      <w:r>
        <w:t>☐ O convite e o código chegaram a caixas de teste acessíveis.</w:t>
      </w:r>
    </w:p>
    <w:p>
      <w:pPr>
        <w:pStyle w:val="ListBullet"/>
        <w:spacing w:after="60"/>
      </w:pPr>
      <w:r>
        <w:t>☐ A listagem operacional reflete status e histórico sem atraso perceptível.</w:t>
      </w:r>
    </w:p>
    <w:p>
      <w:pPr>
        <w:pStyle w:val="ListBullet"/>
        <w:spacing w:after="60"/>
      </w:pPr>
      <w:r>
        <w:t>☐ Foi revisada a leitura em desktop e celular.</w:t>
      </w:r>
    </w:p>
    <w:p>
      <w:pPr>
        <w:pStyle w:val="ListBullet"/>
        <w:spacing w:after="60"/>
      </w:pPr>
      <w:r>
        <w:t>☐ Não houve alteração em autenticação, permissões ou documentos fora do escopo de assinatura formal.</w:t>
      </w:r>
    </w:p>
    <w:p>
      <w:pPr>
        <w:pStyle w:val="Heading1"/>
      </w:pPr>
      <w:r>
        <w:t>9. Registro de execução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0"/>
        <w:gridCol w:w="1400"/>
        <w:gridCol w:w="1600"/>
        <w:gridCol w:w="1900"/>
        <w:gridCol w:w="1600"/>
        <w:gridCol w:w="1580"/>
      </w:tblGrid>
      <w:tr>
        <w:tc>
          <w:tcPr>
            <w:tcW w:type="dxa" w:w="80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140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Pessoa / e-mail</w:t>
            </w:r>
          </w:p>
        </w:tc>
        <w:tc>
          <w:tcPr>
            <w:tcW w:type="dxa" w:w="160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Protocolo</w:t>
            </w:r>
          </w:p>
        </w:tc>
        <w:tc>
          <w:tcPr>
            <w:tcW w:type="dxa" w:w="190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Evidência (print/e-mail)</w:t>
            </w:r>
          </w:p>
        </w:tc>
        <w:tc>
          <w:tcPr>
            <w:tcW w:type="dxa" w:w="160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580"/>
            <w:shd w:fill="1F5FB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9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60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  <w:tc>
          <w:tcPr>
            <w:tcW w:type="dxa" w:w="1580"/>
            <w:tcBorders>
              <w:top w:val="single" w:sz="6" w:color="D7E0EC"/>
              <w:left w:val="single" w:sz="6" w:color="D7E0EC"/>
              <w:bottom w:val="single" w:sz="6" w:color="D7E0EC"/>
              <w:right w:val="single" w:sz="6" w:color="D7E0EC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4213D"/>
                <w:sz w:val="16"/>
              </w:rPr>
              <w:t xml:space="preserve"> </w:t>
            </w:r>
          </w:p>
        </w:tc>
      </w:tr>
    </w:tbl>
    <w:p>
      <w:pPr>
        <w:pStyle w:val="Heading1"/>
      </w:pPr>
      <w:r>
        <w:t>10. Registro de defeito</w:t>
      </w:r>
    </w:p>
    <w:p>
      <w:r>
        <w:t>Se um cenário falhar, registre: ID do caso, persona, protocolo, data/hora, navegador/dispositivo, passos exatos, resultado esperado, resultado obtido, captura de tela e impacto. Não reutilize o mesmo envelope para “tentar de novo” sem registrar o resultado anterior.</w:t>
      </w:r>
    </w:p>
    <w:p>
      <w:pPr>
        <w:pStyle w:val="Heading2"/>
      </w:pPr>
      <w:r>
        <w:t>Encerramento de QA</w:t>
      </w:r>
    </w:p>
    <w:p>
      <w:r>
        <w:rPr>
          <w:b/>
        </w:rPr>
        <w:t xml:space="preserve">Responsável pela validação: </w:t>
      </w:r>
      <w:r>
        <w:t xml:space="preserve">____________________________________    </w:t>
      </w:r>
      <w:r>
        <w:rPr>
          <w:b/>
        </w:rPr>
        <w:t xml:space="preserve">Data: </w:t>
      </w:r>
      <w:r>
        <w:t>____/____/________</w:t>
      </w:r>
    </w:p>
    <w:p>
      <w:r>
        <w:rPr>
          <w:b/>
        </w:rPr>
        <w:t xml:space="preserve">Decisão: </w:t>
      </w:r>
      <w:r>
        <w:t>☐ Aprovado para publicação     ☐ Aprovado com ressalvas     ☐ Bloqueado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A"/>
        <w:sz w:val="16"/>
      </w:rPr>
      <w:t>Uso interno — validação em localhost antes da publicação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77A"/>
        <w:sz w:val="16"/>
      </w:rPr>
      <w:t>77Gira  |  QA de assinatura eletrônica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42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F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421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B67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