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Termos de Publicidade - 77Gira Ads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Versão 1.4 | Vigência proposta: 30/08/2026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1. Conta, campanha e revisão</w:t>
      </w:r>
    </w:p>
    <w:p>
      <w:r>
        <w:t>A Conta de Anunciante, campanhas, criativos e destinos podem depender de aprovação. O 77Gira pode aprovar, pedir ajustes, rejeitar, pausar ou encerrar itens por segurança, qualidade, direito de terceiros, fraude, ilegalidade, destino inadequado, inventário ou regra aplicável.</w:t>
      </w:r>
    </w:p>
    <w:p>
      <w:pPr>
        <w:pStyle w:val="Heading1"/>
      </w:pPr>
      <w:r>
        <w:t>2. Responsabilidade do Anunciante</w:t>
      </w:r>
    </w:p>
    <w:p>
      <w:r>
        <w:t>O Anunciante responde pelas informações, alegações, ofertas, imagens, marcas, direitos autorais, autorizações de imagem, legitimidade comercial e páginas de destino que fornecer. Aprovação interna não transfere essa responsabilidade ao 77Gira.</w:t>
      </w:r>
    </w:p>
    <w:p>
      <w:pPr>
        <w:pStyle w:val="Heading1"/>
      </w:pPr>
      <w:r>
        <w:t>3. Posicionamentos, entrega e métricas</w:t>
      </w:r>
    </w:p>
    <w:p>
      <w:r>
        <w:t>O 77Gira pode criar, alterar, incluir ou descontinuar Posicionamentos Publicitários. Antes da contratação ou consumo, o Anunciante deve receber preço, modalidade de cobrança e condições essenciais. Entrega depende de saldo, revisão, período, inventário, frequência e regras técnicas, sem promessa de performance.</w:t>
      </w:r>
    </w:p>
    <w:p>
      <w:r>
        <w:t>Métricas podem incluir entrega, impressão válida, clique, CTR, slot, período e saldo consumido. Relatórios são agregados e a segmentação regional é executada pelo 77Gira sem revelar localização individual ao Anunciante.</w:t>
      </w:r>
    </w:p>
    <w:p>
      <w:pPr>
        <w:pStyle w:val="Heading1"/>
      </w:pPr>
      <w:r>
        <w:t>4. Identificação e medidas</w:t>
      </w:r>
    </w:p>
    <w:p>
      <w:r>
        <w:t>Publicidade deve ser identificável na interface. Conteúdo enganoso, ilegal, malicioso ou que viole direitos pode ser removido, e a conta ou campanha pode sofrer medidas proporcionais.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