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Regulamento de Patacos e Milipatacos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Natureza e preço</w:t>
      </w:r>
    </w:p>
    <w:p>
      <w:r>
        <w:t>Patacos e Milipatacos são unidades internas de mídia para organizar orçamento e veiculação; não são moeda, valor mobiliário, depósito, saque ou conversão automática em dinheiro. Preço, modalidade e condições essenciais são apresentados antes do consumo aplicável.</w:t>
      </w:r>
    </w:p>
    <w:p>
      <w:pPr>
        <w:pStyle w:val="Heading1"/>
      </w:pPr>
      <w:r>
        <w:t>2. Reserva e consumo</w:t>
      </w:r>
    </w:p>
    <w:p>
      <w:r>
        <w:t>A campanha usa a fotografia de preço e condições aplicáveis no momento da contratação. Quando houver saldo aplicável, a reserva e o débito seguem o fluxo de campanha e a impressão válida reconhecida pelo sistema. Saldo promocional, se concedido, segue a regra informada na concessão.</w:t>
      </w:r>
    </w:p>
    <w:p>
      <w:pPr>
        <w:pStyle w:val="Heading1"/>
      </w:pPr>
      <w:r>
        <w:t>3. Pagamento real</w:t>
      </w:r>
    </w:p>
    <w:p>
      <w:r>
        <w:t>O gateway atual é simulado e não realiza cobrança real nem coleta dados de cartão. Pagamento real, documento fiscal, tributos, reembolso, estorno, chargeback, expiração, transferência e saldo remanescente: [DECISÃO FINANCEIRA/JURÍDICA PENDENTE]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